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AI-Based System for Personalized Career Recommendation</w:t>
      </w:r>
    </w:p>
    <w:p>
      <w:pPr>
        <w:pStyle w:val="Author"/>
      </w:pPr>
      <w:r>
        <w:t xml:space="preserve">Egemen Goncu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Wrocław University of Science and Technology</w:t>
      </w:r>
    </w:p>
    <w:p>
      <w:pPr>
        <w:pStyle w:val="BodyText"/>
      </w:pPr>
      <w:r>
        <w:rPr>
          <w:b/>
          <w:bCs/>
        </w:rPr>
        <w:t xml:space="preserve">Faculty of Electronics, Photonics and Microsystems</w:t>
      </w:r>
    </w:p>
    <w:p>
      <w:r>
        <w:pict>
          <v:rect style="width:0;height:1.5pt" o:hralign="center" o:hrstd="t" o:hr="t"/>
        </w:pict>
      </w:r>
    </w:p>
    <w:p>
      <w:pPr>
        <w:pStyle w:val="FirstParagraph"/>
      </w:pPr>
      <w:r>
        <w:rPr>
          <w:b/>
          <w:bCs/>
        </w:rPr>
        <w:t xml:space="preserve">Field of study:</w:t>
      </w:r>
      <w:r>
        <w:t xml:space="preserve"> </w:t>
      </w:r>
      <w:r>
        <w:t xml:space="preserve">Electronic and Computer Engineering</w:t>
      </w:r>
    </w:p>
    <w:p>
      <w:pPr>
        <w:pStyle w:val="BodyText"/>
      </w:pPr>
      <w:r>
        <w:rPr>
          <w:b/>
          <w:bCs/>
        </w:rPr>
        <w:t xml:space="preserve">Speciality:</w:t>
      </w:r>
      <w:r>
        <w:t xml:space="preserve"> </w:t>
      </w:r>
      <w:r>
        <w:t xml:space="preserve">—</w:t>
      </w:r>
    </w:p>
    <w:bookmarkStart w:id="10" w:name="bachelor-thesis"/>
    <w:p>
      <w:pPr>
        <w:pStyle w:val="Heading1"/>
        <w:pageBreakBefore/>
        <w:spacing w:before="0" w:after="240"/>
      </w:pPr>
      <w:r>
        <w:rPr>
          <w:b/>
          <w:i w:val="0"/>
          <w:sz w:val="36"/>
        </w:rPr>
        <w:t xml:space="preserve">Bachelor Thesis</w:t>
      </w:r>
    </w:p>
    <w:bookmarkStart w:id="9" w:name="Xd478063726b65b0452c9321f694361eb6c13481"/>
    <w:p>
      <w:pPr>
        <w:pStyle w:val="Heading2"/>
      </w:pPr>
      <w:r>
        <w:rPr>
          <w:b/>
          <w:i w:val="0"/>
          <w:sz w:val="28"/>
        </w:rPr>
        <w:t xml:space="preserve">An AI-Based System for Personalized Career Recommendation</w:t>
      </w:r>
    </w:p>
    <w:p>
      <w:pPr>
        <w:pStyle w:val="FirstParagraph"/>
      </w:pPr>
      <w:r>
        <w:rPr>
          <w:i/>
          <w:iCs/>
        </w:rPr>
        <w:t xml:space="preserve">System oparty na sztucznej inteligencji do spersonalizowanego doradztwa zawodowego</w:t>
      </w:r>
    </w:p>
    <w:p>
      <w:r>
        <w:pict>
          <v:rect style="width:0;height:1.5pt" o:hralign="center" o:hrstd="t" o:hr="t"/>
        </w:pict>
      </w:r>
    </w:p>
    <w:p>
      <w:pPr>
        <w:pStyle w:val="FirstParagraph"/>
      </w:pPr>
      <w:r>
        <w:rPr>
          <w:b/>
          <w:bCs/>
        </w:rPr>
        <w:t xml:space="preserve">AUTHOR:</w:t>
      </w:r>
      <w:r>
        <w:t xml:space="preserve"> </w:t>
      </w:r>
      <w:r>
        <w:t xml:space="preserve">Egemen Goncu</w:t>
      </w:r>
    </w:p>
    <w:p>
      <w:pPr>
        <w:pStyle w:val="BodyText"/>
      </w:pPr>
      <w:r>
        <w:rPr>
          <w:b/>
          <w:bCs/>
        </w:rPr>
        <w:t xml:space="preserve">SUPERVISOR:</w:t>
      </w:r>
      <w:r>
        <w:t xml:space="preserve"> </w:t>
      </w:r>
      <w:r>
        <w:t xml:space="preserve">dr inż. Michał Błędowski</w:t>
      </w:r>
    </w:p>
    <w:p>
      <w:r>
        <w:pict>
          <v:rect style="width:0;height:1.5pt" o:hralign="center" o:hrstd="t" o:hr="t"/>
        </w:pict>
      </w:r>
    </w:p>
    <w:p>
      <w:pPr>
        <w:pStyle w:val="FirstParagraph"/>
      </w:pPr>
      <w:r>
        <w:rPr>
          <w:b/>
          <w:bCs/>
        </w:rPr>
        <w:t xml:space="preserve">WROCŁAW 2026</w:t>
      </w:r>
    </w:p>
    <w:bookmarkEnd w:id="9"/>
    <w:bookmarkEnd w:id="10"/>
    <w:bookmarkStart w:id="13" w:name="abstract-streszczenie-abstract"/>
    <w:p>
      <w:pPr>
        <w:pStyle w:val="Heading1"/>
        <w:pageBreakBefore/>
        <w:spacing w:before="0" w:after="240"/>
      </w:pPr>
      <w:r>
        <w:rPr>
          <w:b/>
          <w:i w:val="0"/>
          <w:sz w:val="36"/>
        </w:rPr>
        <w:t xml:space="preserve">Abstract — Streszczenie / Abstract</w:t>
      </w:r>
    </w:p>
    <w:p>
      <w:r>
        <w:pict>
          <v:rect style="width:0;height:1.5pt" o:hralign="center" o:hrstd="t" o:hr="t"/>
        </w:pict>
      </w:r>
    </w:p>
    <w:bookmarkStart w:id="11" w:name="streszczenie"/>
    <w:p>
      <w:pPr>
        <w:pStyle w:val="Heading2"/>
      </w:pPr>
      <w:r>
        <w:rPr>
          <w:b/>
          <w:i w:val="0"/>
          <w:sz w:val="28"/>
          <w:lang w:val="pl"/>
        </w:rPr>
        <w:t xml:space="preserve">Streszczenie</w:t>
      </w:r>
    </w:p>
    <w:p>
      <w:pPr>
        <w:pStyle w:val="FirstParagraph"/>
      </w:pPr>
      <w:r>
        <w:rPr>
          <w:lang w:val="pl-PL" w:eastAsia="pl-PL" w:bidi="pl-PL"/>
        </w:rPr>
        <w:t xml:space="preserve">W pracy przedstawiono projekt, implementację oraz ewaluację systemu opartego na sztucznej inteligencji do spersonalizowanego doradztwa zawodowego. System, wdrożony jako aplikacja webowa na zarządzanej platformie chmurowej, integruje sześć komplementarnych narzędzi — analizę CV, dopasowanie do oferty pracy, sugestię ścieżki kariery, generowanie listu motywacyjnego, przygotowanie do rozmowy kwalifikacyjnej oraz planowanie portfolio — które razem wspierają kandydata w pełnym przepływie pracy poszukiwania zatrudnienia. Frontend zbudowano w technologiach React 19 i TanStack Start; backend wykorzystuje FastAPI oraz PostgreSQL; wnioskowanie modelu językowego delegowano do usługi Google Vertex AI Gemini 2.5 Flash. W odpowiedzi na obawy dotyczące kosztu, opóźnienia oraz zależności od dostawcy zewnętrznego modelu, rdzeń analityczny systemu obsługuje dwa przełączalne w czasie działania tryby oceny:</w:t>
      </w:r>
      <w:r>
        <w:rPr>
          <w:lang w:val="pl-PL" w:eastAsia="pl-PL" w:bidi="pl-PL"/>
        </w:rPr>
        <w:t xml:space="preserve"> </w:t>
      </w:r>
      <w:r>
        <w:rPr>
          <w:i/>
          <w:iCs/>
          <w:lang w:val="pl-PL" w:eastAsia="pl-PL" w:bidi="pl-PL"/>
        </w:rPr>
        <w:t xml:space="preserve">tryb mieszany</w:t>
      </w:r>
      <w:r>
        <w:rPr>
          <w:lang w:val="pl-PL" w:eastAsia="pl-PL" w:bidi="pl-PL"/>
        </w:rPr>
        <w:t xml:space="preserve"> </w:t>
      </w:r>
      <w:r>
        <w:rPr>
          <w:lang w:val="pl-PL" w:eastAsia="pl-PL" w:bidi="pl-PL"/>
        </w:rPr>
        <w:t xml:space="preserve">łączący deterministyczną heurystykę ze strukturalnym wyjściem modelu językowego (40% / 60%), oraz</w:t>
      </w:r>
      <w:r>
        <w:rPr>
          <w:lang w:val="pl-PL" w:eastAsia="pl-PL" w:bidi="pl-PL"/>
        </w:rPr>
        <w:t xml:space="preserve"> </w:t>
      </w:r>
      <w:r>
        <w:rPr>
          <w:i/>
          <w:iCs/>
          <w:lang w:val="pl-PL" w:eastAsia="pl-PL" w:bidi="pl-PL"/>
        </w:rPr>
        <w:t xml:space="preserve">tryb w pełni heurystyczny</w:t>
      </w:r>
      <w:r>
        <w:rPr>
          <w:lang w:val="pl-PL" w:eastAsia="pl-PL" w:bidi="pl-PL"/>
        </w:rPr>
        <w:t xml:space="preserve"> </w:t>
      </w:r>
      <w:r>
        <w:rPr>
          <w:lang w:val="pl-PL" w:eastAsia="pl-PL" w:bidi="pl-PL"/>
        </w:rPr>
        <w:t xml:space="preserve">oparty na klasycznych metodach wyszukiwania informacji — ważonej dowodem TF–IDF analizie słów kluczowych z rankingiem BM25, normalizacji umiejętności zgodnej z taksonomią ESCO, dopasowaniu rozmytym opartym na odległości Levenshteina oraz ekstrakcji cech ważonych sekcjami. Kontrolowane studium porównawcze oceniło oba tryby na 100 parach (CV, opis stanowiska) obejmujących sześć ścieżek zawodowych, w czterech rodzinach miar: zgodności wyników (Pearson, Spearman, Kendall), kształcie rozkładu, opóźnieniu oraz koszcie jednego wywołania. Zbiór ewaluacyjny stanowią deterministycznie wygenerowane</w:t>
      </w:r>
      <w:r>
        <w:rPr>
          <w:lang w:val="pl-PL" w:eastAsia="pl-PL" w:bidi="pl-PL"/>
        </w:rPr>
        <w:t xml:space="preserve"> </w:t>
      </w:r>
      <w:r>
        <w:rPr>
          <w:i/>
          <w:iCs/>
          <w:lang w:val="pl-PL" w:eastAsia="pl-PL" w:bidi="pl-PL"/>
        </w:rPr>
        <w:t xml:space="preserve">syntetyczne CV oraz syntetyczne opisy stanowisk</w:t>
      </w:r>
      <w:r>
        <w:rPr>
          <w:lang w:val="pl-PL" w:eastAsia="pl-PL" w:bidi="pl-PL"/>
        </w:rPr>
        <w:t xml:space="preserve"> </w:t>
      </w:r>
      <w:r>
        <w:rPr>
          <w:lang w:val="pl-PL" w:eastAsia="pl-PL" w:bidi="pl-PL"/>
        </w:rPr>
        <w:t xml:space="preserve">skonstruowane z rozłącznych słownikowo pul fraz — strona CV i strona opisu stanowiska nie współdzielą słownictwa treściowego poza kanonicznymi nazwami umiejętności; ograniczenia konstrukcji zbioru oraz wynikające z nich zagrożenia trafności są jawnie udokumentowane w rozdziale prezentującym wyniki. W obrębie tego syntetycznego zbioru ewaluacyjnego tryb w pełni heurystyczny śledzi tryb mieszany przy Pearsonowskim</w:t>
      </w:r>
      <w:r>
        <w:rPr>
          <w:lang w:val="pl-PL" w:eastAsia="pl-PL" w:bidi="pl-PL"/>
        </w:rPr>
        <w:t xml:space="preserve"> </w:t>
      </w:r>
      <w:r>
        <w:rPr>
          <w:i/>
          <w:iCs/>
          <w:lang w:val="pl-PL" w:eastAsia="pl-PL" w:bidi="pl-PL"/>
        </w:rPr>
        <w:t xml:space="preserve">r</w:t>
      </w:r>
      <w:r>
        <w:rPr>
          <w:lang w:val="pl-PL" w:eastAsia="pl-PL" w:bidi="pl-PL"/>
        </w:rPr>
        <w:t xml:space="preserve"> </w:t>
      </w:r>
      <w:r>
        <w:rPr>
          <w:lang w:val="pl-PL" w:eastAsia="pl-PL" w:bidi="pl-PL"/>
        </w:rPr>
        <w:t xml:space="preserve">= 0,836 [95% przedział ufności 0,762, 0,896, bootstrap klastrowy względem identyfikatora CV] oraz Spearmanowskim ρ = 0,847 na wyniku ogólnym, działa około dwa do trzech rzędów wielkości szybciej (mediana 25,5 ms wobec 18,2 s) oraz nie ponosi krańcowego kosztu po stronie modelu językowego. Korelacja między samym modelem językowym a trybem heurystycznym, odzyskana post-hoc z tożsamości formuły mieszanej w celu odseparowania składowej strukturalnej, wynosi</w:t>
      </w:r>
      <w:r>
        <w:rPr>
          <w:lang w:val="pl-PL" w:eastAsia="pl-PL" w:bidi="pl-PL"/>
        </w:rPr>
        <w:t xml:space="preserve"> </w:t>
      </w:r>
      <w:r>
        <w:rPr>
          <w:i/>
          <w:iCs/>
          <w:lang w:val="pl-PL" w:eastAsia="pl-PL" w:bidi="pl-PL"/>
        </w:rPr>
        <w:t xml:space="preserve">r</w:t>
      </w:r>
      <w:r>
        <w:rPr>
          <w:lang w:val="pl-PL" w:eastAsia="pl-PL" w:bidi="pl-PL"/>
        </w:rPr>
        <w:t xml:space="preserve"> </w:t>
      </w:r>
      <w:r>
        <w:rPr>
          <w:lang w:val="pl-PL" w:eastAsia="pl-PL" w:bidi="pl-PL"/>
        </w:rPr>
        <w:t xml:space="preserve">= 0,627 [95% CI 0,476, 0,765] — jest to zgodność krzyżowa po wyłączeniu 0,40-składnika heurystycznego, który tryb mieszany zawiera z definicji. Tryb mieszany zachowuje nieredukowalną przewagę w zakresie dowodów jakości prozy (podwynik</w:t>
      </w:r>
      <w:r>
        <w:rPr>
          <w:lang w:val="pl-PL" w:eastAsia="pl-PL" w:bidi="pl-PL"/>
        </w:rPr>
        <w:t xml:space="preserve"> </w:t>
      </w:r>
      <w:r>
        <w:rPr>
          <w:i/>
          <w:iCs/>
          <w:lang w:val="pl-PL" w:eastAsia="pl-PL" w:bidi="pl-PL"/>
        </w:rPr>
        <w:t xml:space="preserve">clarity</w:t>
      </w:r>
      <w:r>
        <w:rPr>
          <w:lang w:val="pl-PL" w:eastAsia="pl-PL" w:bidi="pl-PL"/>
        </w:rPr>
        <w:t xml:space="preserve"> </w:t>
      </w:r>
      <w:r>
        <w:rPr>
          <w:i/>
          <w:iCs/>
          <w:lang w:val="pl-PL" w:eastAsia="pl-PL" w:bidi="pl-PL"/>
        </w:rPr>
        <w:t xml:space="preserve">r</w:t>
      </w:r>
      <w:r>
        <w:rPr>
          <w:lang w:val="pl-PL" w:eastAsia="pl-PL" w:bidi="pl-PL"/>
        </w:rPr>
        <w:t xml:space="preserve"> </w:t>
      </w:r>
      <w:r>
        <w:rPr>
          <w:lang w:val="pl-PL" w:eastAsia="pl-PL" w:bidi="pl-PL"/>
        </w:rPr>
        <w:t xml:space="preserve">= 0,395), co motywuje utrzymanie komponentu językowego obok deterministycznej linii bazowej. Ograniczenia obejmują zakres jednojęzyczny (angielski), syntetyczny zbiór jednego autora oraz pojedynczą konfigurację dostawcy modelu językowego; długoterminowa walidacja podłużna pozostaje poza zakresem. Praca przyszła obejmuje integrację komponentu wyszukiwania wspomagającego, rozszerzenie o CV w języku polskim oraz uzupełnienie heurystyki o pośredni poziom dopasowania semantycznego oparty na transformatorach zdań.</w:t>
      </w:r>
    </w:p>
    <w:p>
      <w:pPr>
        <w:pStyle w:val="BodyText"/>
      </w:pPr>
      <w:r>
        <w:rPr>
          <w:b/>
          <w:bCs/>
          <w:lang w:val="pl-PL" w:eastAsia="pl-PL" w:bidi="pl-PL"/>
        </w:rPr>
        <w:t xml:space="preserve">Słowa kluczowe:</w:t>
      </w:r>
      <w:r>
        <w:rPr>
          <w:lang w:val="pl-PL" w:eastAsia="pl-PL" w:bidi="pl-PL"/>
        </w:rPr>
        <w:t xml:space="preserve"> </w:t>
      </w:r>
      <w:r>
        <w:rPr>
          <w:lang w:val="pl-PL" w:eastAsia="pl-PL" w:bidi="pl-PL"/>
        </w:rPr>
        <w:t xml:space="preserve">doradztwo zawodowe, analiza CV, duże modele językowe, wyszukiwanie informacji, taksonomia ESCO, ocena hybrydowa, FastAPI, React.</w:t>
      </w:r>
    </w:p>
    <w:bookmarkEnd w:id="11"/>
    <w:bookmarkStart w:id="12" w:name="abstract-english"/>
    <w:p>
      <w:pPr>
        <w:pStyle w:val="Heading2"/>
      </w:pPr>
      <w:r>
        <w:rPr>
          <w:b/>
          <w:i w:val="0"/>
          <w:sz w:val="28"/>
        </w:rPr>
        <w:t xml:space="preserve">Abstract (English)</w:t>
      </w:r>
    </w:p>
    <w:p>
      <w:pPr>
        <w:pStyle w:val="FirstParagraph"/>
      </w:pPr>
      <w:r>
        <w:t xml:space="preserve">This thesis presents the design, implementation, and evaluation of an AI-based system for personalized career recommendation. The system, deployed as a web application on a managed cloud platform, integrates six complementary tools — resume analysis, job-description matching, career-path suggestion, cover-letter generation, interview preparation, and portfolio planning — that together support a candidate through the full job-search workflow. The frontend is built with React 19 and TanStack Start; the backend uses FastAPI and PostgreSQL; large language model inference is delegated to Google Vertex AI Gemini 2.5 Flash. To address concerns of cost, latency, and dependence on a third-party model provider, the analytical core of the system supports two scoring modes that can be switched at runtime: a</w:t>
      </w:r>
      <w:r>
        <w:t xml:space="preserve"> </w:t>
      </w:r>
      <w:r>
        <w:rPr>
          <w:i/>
          <w:iCs/>
        </w:rPr>
        <w:t xml:space="preserve">blended mode</w:t>
      </w:r>
      <w:r>
        <w:t xml:space="preserve"> </w:t>
      </w:r>
      <w:r>
        <w:t xml:space="preserve">that combines a deterministic heuristic with the language model’s structured output (40% / 60% weighting), and a</w:t>
      </w:r>
      <w:r>
        <w:t xml:space="preserve"> </w:t>
      </w:r>
      <w:r>
        <w:rPr>
          <w:i/>
          <w:iCs/>
        </w:rPr>
        <w:t xml:space="preserve">fully heuristic mode</w:t>
      </w:r>
      <w:r>
        <w:t xml:space="preserve"> </w:t>
      </w:r>
      <w:r>
        <w:t xml:space="preserve">grounded in classical information-retrieval methods — TF–IDF–weighted keyword evidence with BM25 ranking, ESCO-aligned skill normalization, Levenshtein-style fuzzy matching, and section-weighted feature extraction. A controlled comparative study evaluated both modes on 100 (resume, job-description) pairs spanning six role tracks across four metric families: score agreement (Pearson, Spearman, Kendall), distribution shape, latency, and per-call cost. The benchmark is a synthetic, deterministically generated set of</w:t>
      </w:r>
      <w:r>
        <w:t xml:space="preserve"> </w:t>
      </w:r>
      <w:r>
        <w:rPr>
          <w:i/>
          <w:iCs/>
        </w:rPr>
        <w:t xml:space="preserve">template-synthesised resumes and template-synthesised job descriptions</w:t>
      </w:r>
      <w:r>
        <w:t xml:space="preserve"> </w:t>
      </w:r>
      <w:r>
        <w:t xml:space="preserve">under a</w:t>
      </w:r>
      <w:r>
        <w:t xml:space="preserve"> </w:t>
      </w:r>
      <w:r>
        <w:rPr>
          <w:i/>
          <w:iCs/>
        </w:rPr>
        <w:t xml:space="preserve">disjoint-vocabulary</w:t>
      </w:r>
      <w:r>
        <w:t xml:space="preserve"> </w:t>
      </w:r>
      <w:r>
        <w:t xml:space="preserve">construction in which resume-side and JD-side phrase pools share no content-word vocabulary beyond the canonical skill terms; the construction limits and the corresponding threats to validity are documented explicitly in the chapter that reports the result. Within this synthetic evaluation set, the heuristic mode tracks the blended mode at Pearson</w:t>
      </w:r>
      <w:r>
        <w:t xml:space="preserve"> </w:t>
      </w:r>
      <w:r>
        <w:rPr>
          <w:i/>
          <w:iCs/>
        </w:rPr>
        <w:t xml:space="preserve">r</w:t>
      </w:r>
      <w:r>
        <w:t xml:space="preserve"> </w:t>
      </w:r>
      <w:r>
        <w:t xml:space="preserve">= 0.836 [95% confidence interval 0.762, 0.896 under cluster bootstrap on resume identity] and Spearman ρ = 0.847 on the overall score, runs roughly two-to-three orders of magnitude faster (median 25.5 ms vs 18.2 s), and incurs zero LLM-side marginal cost. The post-hoc LLM-only-versus-heuristic correlation, recovered from the locked-prepass identity to isolate the structural blended-formula component, is</w:t>
      </w:r>
      <w:r>
        <w:t xml:space="preserve"> </w:t>
      </w:r>
      <w:r>
        <w:rPr>
          <w:i/>
          <w:iCs/>
        </w:rPr>
        <w:t xml:space="preserve">r</w:t>
      </w:r>
      <w:r>
        <w:t xml:space="preserve"> </w:t>
      </w:r>
      <w:r>
        <w:t xml:space="preserve">= 0.627 [95% CI 0.476, 0.765] — the cross-mode agreement after controlling for the 0.40 heuristic share that the blended mode carries by construction. The blended mode retains an irreducible advantage on prose-quality evidence (clarity sub-score</w:t>
      </w:r>
      <w:r>
        <w:t xml:space="preserve"> </w:t>
      </w:r>
      <w:r>
        <w:rPr>
          <w:i/>
          <w:iCs/>
        </w:rPr>
        <w:t xml:space="preserve">r</w:t>
      </w:r>
      <w:r>
        <w:t xml:space="preserve"> </w:t>
      </w:r>
      <w:r>
        <w:t xml:space="preserve">= 0.395) that motivates keeping the language-model component available alongside the deterministic baseline. Limitations include a single-language scope (English), a single-author synthetic dataset, and a single LLM-provider configuration; long-horizon longitudinal validation is out of scope. Future work proposes integrating a retrieval-augmented component, expanding to Polish-language resumes, and extending the heuristic with sentence-transformer–based semantic matching as an intermediate tier.</w:t>
      </w:r>
    </w:p>
    <w:p>
      <w:pPr>
        <w:pStyle w:val="BodyText"/>
      </w:pPr>
      <w:r>
        <w:rPr>
          <w:b/>
          <w:bCs/>
        </w:rPr>
        <w:t xml:space="preserve">Keywords:</w:t>
      </w:r>
      <w:r>
        <w:t xml:space="preserve"> </w:t>
      </w:r>
      <w:r>
        <w:t xml:space="preserve">career recommendation, resume analysis, large language models, information retrieval, ESCO taxonomy, hybrid scoring, FastAPI, React.</w:t>
      </w:r>
    </w:p>
    <w:bookmarkEnd w:id="12"/>
    <w:bookmarkEnd w:id="13"/>
    <w:bookmarkStart w:id="14" w:name="acknowledgements"/>
    <w:p>
      <w:pPr>
        <w:pStyle w:val="Heading1"/>
        <w:pageBreakBefore/>
        <w:spacing w:before="0" w:after="240"/>
      </w:pPr>
      <w:r>
        <w:rPr>
          <w:b/>
          <w:i w:val="0"/>
          <w:sz w:val="36"/>
        </w:rPr>
        <w:t xml:space="preserve">Acknowledgements</w:t>
      </w:r>
    </w:p>
    <w:p>
      <w:pPr>
        <w:pStyle w:val="FirstParagraph"/>
      </w:pPr>
      <w:r>
        <w:t xml:space="preserve">I would like to thank my supervisor,</w:t>
      </w:r>
      <w:r>
        <w:t xml:space="preserve"> </w:t>
      </w:r>
      <w:r>
        <w:rPr>
          <w:b/>
          <w:bCs/>
        </w:rPr>
        <w:t xml:space="preserve">dr inż. Michał Błędowski</w:t>
      </w:r>
      <w:r>
        <w:t xml:space="preserve">, for the time he invested in shaping the scope of this thesis, the clarity of his feedback during the development of the system, and his suggestion to extend the work with the comparative study reported in Chapter 4. The shape of the engineering and research aspects of this project owes much to those conversations.</w:t>
      </w:r>
    </w:p>
    <w:p>
      <w:pPr>
        <w:pStyle w:val="BodyText"/>
      </w:pPr>
      <w:r>
        <w:t xml:space="preserve">I am grateful to the</w:t>
      </w:r>
      <w:r>
        <w:t xml:space="preserve"> </w:t>
      </w:r>
      <w:r>
        <w:rPr>
          <w:b/>
          <w:bCs/>
        </w:rPr>
        <w:t xml:space="preserve">Faculty of Electronics, Photonics and Microsystems</w:t>
      </w:r>
      <w:r>
        <w:t xml:space="preserve"> </w:t>
      </w:r>
      <w:r>
        <w:t xml:space="preserve">at Wrocław University of Science and Technology for providing the academic environment in which this thesis was prepared, and to the staff and lecturers whose courses across the</w:t>
      </w:r>
      <w:r>
        <w:t xml:space="preserve"> </w:t>
      </w:r>
      <w:r>
        <w:rPr>
          <w:i/>
          <w:iCs/>
        </w:rPr>
        <w:t xml:space="preserve">Electronic and Computer Engineering</w:t>
      </w:r>
      <w:r>
        <w:t xml:space="preserve"> </w:t>
      </w:r>
      <w:r>
        <w:t xml:space="preserve">curriculum gave me the technical foundation on which this work builds.</w:t>
      </w:r>
    </w:p>
    <w:p>
      <w:pPr>
        <w:pStyle w:val="BodyText"/>
      </w:pPr>
      <w:r>
        <w:t xml:space="preserve">My thanks to the open-source maintainers of the FastAPI, TanStack, React, and SQLAlchemy projects, whose libraries made it possible for a single developer to ship a system at this scope on a thesis-bound schedule.</w:t>
      </w:r>
    </w:p>
    <w:p>
      <w:pPr>
        <w:pStyle w:val="BodyText"/>
      </w:pPr>
      <w:r>
        <w:t xml:space="preserve">Egemen Goncu</w:t>
      </w:r>
      <w:r>
        <w:t xml:space="preserve"> </w:t>
      </w:r>
      <w:r>
        <w:t xml:space="preserve">Wrocław, May 2026</w:t>
      </w:r>
    </w:p>
    <w:bookmarkEnd w:id="14"/>
    <w:bookmarkStart w:id="16" w:name="list-of-abbreviations-and-symbols"/>
    <w:p>
      <w:pPr>
        <w:pStyle w:val="Heading1"/>
        <w:pageBreakBefore/>
        <w:spacing w:before="0" w:after="240"/>
      </w:pPr>
      <w:r>
        <w:rPr>
          <w:b/>
          <w:i w:val="0"/>
          <w:sz w:val="36"/>
        </w:rPr>
        <w:t xml:space="preserve">List of abbreviations and symbols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Expansion</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APA</w:t>
            </w:r>
          </w:p>
        </w:tc>
        <w:tc>
          <w:tcPr/>
          <w:p>
            <w:pPr>
              <w:pStyle w:val="Compact"/>
            </w:pPr>
            <w:r>
              <w:t xml:space="preserve">American Psychological Association (citation style)</w:t>
            </w:r>
          </w:p>
        </w:tc>
      </w:tr>
      <w:tr>
        <w:tc>
          <w:tcPr/>
          <w:p>
            <w:pPr>
              <w:pStyle w:val="Compact"/>
            </w:pPr>
            <w:r>
              <w:t xml:space="preserve">APD</w:t>
            </w:r>
          </w:p>
        </w:tc>
        <w:tc>
          <w:tcPr/>
          <w:p>
            <w:pPr>
              <w:pStyle w:val="Compact"/>
            </w:pPr>
            <w:r>
              <w:t xml:space="preserve">Archive of Diploma Theses (USOS-APD)</w:t>
            </w:r>
          </w:p>
        </w:tc>
      </w:tr>
      <w:tr>
        <w:tc>
          <w:tcPr/>
          <w:p>
            <w:pPr>
              <w:pStyle w:val="Compact"/>
            </w:pPr>
            <w:r>
              <w:t xml:space="preserve">ATS</w:t>
            </w:r>
          </w:p>
        </w:tc>
        <w:tc>
          <w:tcPr/>
          <w:p>
            <w:pPr>
              <w:pStyle w:val="Compact"/>
            </w:pPr>
            <w:r>
              <w:t xml:space="preserve">Applicant Tracking System</w:t>
            </w:r>
          </w:p>
        </w:tc>
      </w:tr>
      <w:tr>
        <w:tc>
          <w:tcPr/>
          <w:p>
            <w:pPr>
              <w:pStyle w:val="Compact"/>
            </w:pPr>
            <w:r>
              <w:t xml:space="preserve">BERT</w:t>
            </w:r>
          </w:p>
        </w:tc>
        <w:tc>
          <w:tcPr/>
          <w:p>
            <w:pPr>
              <w:pStyle w:val="Compact"/>
            </w:pPr>
            <w:r>
              <w:t xml:space="preserve">Bidirectional Encoder Representations from Transformers</w:t>
            </w:r>
          </w:p>
        </w:tc>
      </w:tr>
      <w:tr>
        <w:tc>
          <w:tcPr/>
          <w:p>
            <w:pPr>
              <w:pStyle w:val="Compact"/>
            </w:pPr>
            <w:r>
              <w:t xml:space="preserve">BM25</w:t>
            </w:r>
          </w:p>
        </w:tc>
        <w:tc>
          <w:tcPr/>
          <w:p>
            <w:pPr>
              <w:pStyle w:val="Compact"/>
            </w:pPr>
            <w:r>
              <w:t xml:space="preserve">Best Match 25 (probabilistic relevance ranking function)</w:t>
            </w:r>
          </w:p>
        </w:tc>
      </w:tr>
      <w:tr>
        <w:tc>
          <w:tcPr/>
          <w:p>
            <w:pPr>
              <w:pStyle w:val="Compact"/>
            </w:pPr>
            <w:r>
              <w:t xml:space="preserve">BS4</w:t>
            </w:r>
          </w:p>
        </w:tc>
        <w:tc>
          <w:tcPr/>
          <w:p>
            <w:pPr>
              <w:pStyle w:val="Compact"/>
            </w:pPr>
            <w:r>
              <w:t xml:space="preserve">BeautifulSoup 4 (HTML parsing library)</w:t>
            </w:r>
          </w:p>
        </w:tc>
      </w:tr>
      <w:tr>
        <w:tc>
          <w:tcPr/>
          <w:p>
            <w:pPr>
              <w:pStyle w:val="Compact"/>
            </w:pPr>
            <w:r>
              <w:t xml:space="preserve">CC</w:t>
            </w:r>
          </w:p>
        </w:tc>
        <w:tc>
          <w:tcPr/>
          <w:p>
            <w:pPr>
              <w:pStyle w:val="Compact"/>
            </w:pPr>
            <w:r>
              <w:t xml:space="preserve">Creative Commons</w:t>
            </w:r>
          </w:p>
        </w:tc>
      </w:tr>
      <w:tr>
        <w:tc>
          <w:tcPr/>
          <w:p>
            <w:pPr>
              <w:pStyle w:val="Compact"/>
            </w:pPr>
            <w:r>
              <w:t xml:space="preserve">CDN</w:t>
            </w:r>
          </w:p>
        </w:tc>
        <w:tc>
          <w:tcPr/>
          <w:p>
            <w:pPr>
              <w:pStyle w:val="Compact"/>
            </w:pPr>
            <w:r>
              <w:t xml:space="preserve">Content Delivery Network</w:t>
            </w:r>
          </w:p>
        </w:tc>
      </w:tr>
      <w:tr>
        <w:tc>
          <w:tcPr/>
          <w:p>
            <w:pPr>
              <w:pStyle w:val="Compact"/>
            </w:pPr>
            <w:r>
              <w:t xml:space="preserve">CI / CD</w:t>
            </w:r>
          </w:p>
        </w:tc>
        <w:tc>
          <w:tcPr/>
          <w:p>
            <w:pPr>
              <w:pStyle w:val="Compact"/>
            </w:pPr>
            <w:r>
              <w:t xml:space="preserve">Continuous Integration / Continuous Deployment</w:t>
            </w:r>
          </w:p>
        </w:tc>
      </w:tr>
      <w:tr>
        <w:tc>
          <w:tcPr/>
          <w:p>
            <w:pPr>
              <w:pStyle w:val="Compact"/>
            </w:pPr>
            <w:r>
              <w:t xml:space="preserve">CLI</w:t>
            </w:r>
          </w:p>
        </w:tc>
        <w:tc>
          <w:tcPr/>
          <w:p>
            <w:pPr>
              <w:pStyle w:val="Compact"/>
            </w:pPr>
            <w:r>
              <w:t xml:space="preserve">Command-Line Interface</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CSRF</w:t>
            </w:r>
          </w:p>
        </w:tc>
        <w:tc>
          <w:tcPr/>
          <w:p>
            <w:pPr>
              <w:pStyle w:val="Compact"/>
            </w:pPr>
            <w:r>
              <w:t xml:space="preserve">Cross-Site Request Forgery</w:t>
            </w:r>
          </w:p>
        </w:tc>
      </w:tr>
      <w:tr>
        <w:tc>
          <w:tcPr/>
          <w:p>
            <w:pPr>
              <w:pStyle w:val="Compact"/>
            </w:pPr>
            <w:r>
              <w:t xml:space="preserve">CSS</w:t>
            </w:r>
          </w:p>
        </w:tc>
        <w:tc>
          <w:tcPr/>
          <w:p>
            <w:pPr>
              <w:pStyle w:val="Compact"/>
            </w:pPr>
            <w:r>
              <w:t xml:space="preserve">Cascading Style Sheets</w:t>
            </w:r>
          </w:p>
        </w:tc>
      </w:tr>
      <w:tr>
        <w:tc>
          <w:tcPr/>
          <w:p>
            <w:pPr>
              <w:pStyle w:val="Compact"/>
            </w:pPr>
            <w:r>
              <w:t xml:space="preserve">CSV</w:t>
            </w:r>
          </w:p>
        </w:tc>
        <w:tc>
          <w:tcPr/>
          <w:p>
            <w:pPr>
              <w:pStyle w:val="Compact"/>
            </w:pPr>
            <w:r>
              <w:t xml:space="preserve">Comma-Separated Values</w:t>
            </w:r>
          </w:p>
        </w:tc>
      </w:tr>
      <w:tr>
        <w:tc>
          <w:tcPr/>
          <w:p>
            <w:pPr>
              <w:pStyle w:val="Compact"/>
            </w:pPr>
            <w:r>
              <w:t xml:space="preserve">DOM</w:t>
            </w:r>
          </w:p>
        </w:tc>
        <w:tc>
          <w:tcPr/>
          <w:p>
            <w:pPr>
              <w:pStyle w:val="Compact"/>
            </w:pPr>
            <w:r>
              <w:t xml:space="preserve">Document Object Model</w:t>
            </w:r>
          </w:p>
        </w:tc>
      </w:tr>
      <w:tr>
        <w:tc>
          <w:tcPr/>
          <w:p>
            <w:pPr>
              <w:pStyle w:val="Compact"/>
            </w:pPr>
            <w:r>
              <w:t xml:space="preserve">ECE</w:t>
            </w:r>
          </w:p>
        </w:tc>
        <w:tc>
          <w:tcPr/>
          <w:p>
            <w:pPr>
              <w:pStyle w:val="Compact"/>
            </w:pPr>
            <w:r>
              <w:t xml:space="preserve">Electronic and Computer Engineering</w:t>
            </w:r>
          </w:p>
        </w:tc>
      </w:tr>
      <w:tr>
        <w:tc>
          <w:tcPr/>
          <w:p>
            <w:pPr>
              <w:pStyle w:val="Compact"/>
            </w:pPr>
            <w:r>
              <w:t xml:space="preserve">EN</w:t>
            </w:r>
          </w:p>
        </w:tc>
        <w:tc>
          <w:tcPr/>
          <w:p>
            <w:pPr>
              <w:pStyle w:val="Compact"/>
            </w:pPr>
            <w:r>
              <w:t xml:space="preserve">English</w:t>
            </w:r>
          </w:p>
        </w:tc>
      </w:tr>
      <w:tr>
        <w:tc>
          <w:tcPr/>
          <w:p>
            <w:pPr>
              <w:pStyle w:val="Compact"/>
            </w:pPr>
            <w:r>
              <w:t xml:space="preserve">ESCO</w:t>
            </w:r>
          </w:p>
        </w:tc>
        <w:tc>
          <w:tcPr/>
          <w:p>
            <w:pPr>
              <w:pStyle w:val="Compact"/>
            </w:pPr>
            <w:r>
              <w:t xml:space="preserve">European Skills, Competences, Qualifications and Occupations (EU multilingual taxonomy)</w:t>
            </w:r>
          </w:p>
        </w:tc>
      </w:tr>
      <w:tr>
        <w:tc>
          <w:tcPr/>
          <w:p>
            <w:pPr>
              <w:pStyle w:val="Compact"/>
            </w:pPr>
            <w:r>
              <w:t xml:space="preserve">EU</w:t>
            </w:r>
          </w:p>
        </w:tc>
        <w:tc>
          <w:tcPr/>
          <w:p>
            <w:pPr>
              <w:pStyle w:val="Compact"/>
            </w:pPr>
            <w:r>
              <w:t xml:space="preserve">European Union</w:t>
            </w:r>
          </w:p>
        </w:tc>
      </w:tr>
      <w:tr>
        <w:tc>
          <w:tcPr/>
          <w:p>
            <w:pPr>
              <w:pStyle w:val="Compact"/>
            </w:pPr>
            <w:r>
              <w:t xml:space="preserve">FAS</w:t>
            </w:r>
          </w:p>
        </w:tc>
        <w:tc>
          <w:tcPr/>
          <w:p>
            <w:pPr>
              <w:pStyle w:val="Compact"/>
            </w:pPr>
            <w:r>
              <w:t xml:space="preserve">Faculty of Arts and Sciences (Harvard, source of action-verb list)</w:t>
            </w:r>
          </w:p>
        </w:tc>
      </w:tr>
      <w:tr>
        <w:tc>
          <w:tcPr/>
          <w:p>
            <w:pPr>
              <w:pStyle w:val="Compact"/>
            </w:pPr>
            <w:r>
              <w:t xml:space="preserve">FAT*</w:t>
            </w:r>
          </w:p>
        </w:tc>
        <w:tc>
          <w:tcPr/>
          <w:p>
            <w:pPr>
              <w:pStyle w:val="Compact"/>
            </w:pPr>
            <w:r>
              <w:t xml:space="preserve">Fairness, Accountability, and Transparency (ACM conference series)</w:t>
            </w:r>
          </w:p>
        </w:tc>
      </w:tr>
      <w:tr>
        <w:tc>
          <w:tcPr/>
          <w:p>
            <w:pPr>
              <w:pStyle w:val="Compact"/>
            </w:pPr>
            <w:r>
              <w:t xml:space="preserve">GDPR</w:t>
            </w:r>
          </w:p>
        </w:tc>
        <w:tc>
          <w:tcPr/>
          <w:p>
            <w:pPr>
              <w:pStyle w:val="Compact"/>
            </w:pPr>
            <w:r>
              <w:t xml:space="preserve">General Data Protection Regulation</w:t>
            </w:r>
          </w:p>
        </w:tc>
      </w:tr>
      <w:tr>
        <w:tc>
          <w:tcPr/>
          <w:p>
            <w:pPr>
              <w:pStyle w:val="Compact"/>
            </w:pPr>
            <w:r>
              <w:t xml:space="preserve">Gemini</w:t>
            </w:r>
          </w:p>
        </w:tc>
        <w:tc>
          <w:tcPr/>
          <w:p>
            <w:pPr>
              <w:pStyle w:val="Compact"/>
            </w:pPr>
            <w:r>
              <w:t xml:space="preserve">Google’s family of large language models (2.5 Flash used here)</w:t>
            </w:r>
          </w:p>
        </w:tc>
      </w:tr>
      <w:tr>
        <w:tc>
          <w:tcPr/>
          <w:p>
            <w:pPr>
              <w:pStyle w:val="Compact"/>
            </w:pPr>
            <w:r>
              <w:t xml:space="preserve">GPT</w:t>
            </w:r>
          </w:p>
        </w:tc>
        <w:tc>
          <w:tcPr/>
          <w:p>
            <w:pPr>
              <w:pStyle w:val="Compact"/>
            </w:pPr>
            <w:r>
              <w:t xml:space="preserve">Generative Pre-trained Transformer</w:t>
            </w:r>
          </w:p>
        </w:tc>
      </w:tr>
      <w:tr>
        <w:tc>
          <w:tcPr/>
          <w:p>
            <w:pPr>
              <w:pStyle w:val="Compact"/>
            </w:pPr>
            <w:r>
              <w:t xml:space="preserve">GraphQL</w:t>
            </w:r>
          </w:p>
        </w:tc>
        <w:tc>
          <w:tcPr/>
          <w:p>
            <w:pPr>
              <w:pStyle w:val="Compact"/>
            </w:pPr>
            <w:r>
              <w:t xml:space="preserve">Query language for APIs</w:t>
            </w:r>
          </w:p>
        </w:tc>
      </w:tr>
      <w:tr>
        <w:tc>
          <w:tcPr/>
          <w:p>
            <w:pPr>
              <w:pStyle w:val="Compact"/>
            </w:pPr>
            <w:r>
              <w:t xml:space="preserve">GUI</w:t>
            </w:r>
          </w:p>
        </w:tc>
        <w:tc>
          <w:tcPr/>
          <w:p>
            <w:pPr>
              <w:pStyle w:val="Compact"/>
            </w:pPr>
            <w:r>
              <w:t xml:space="preserve">Graphical User Interface</w:t>
            </w:r>
          </w:p>
        </w:tc>
      </w:tr>
      <w:tr>
        <w:tc>
          <w:tcPr/>
          <w:p>
            <w:pPr>
              <w:pStyle w:val="Compact"/>
            </w:pPr>
            <w:r>
              <w:t xml:space="preserve">HR</w:t>
            </w:r>
          </w:p>
        </w:tc>
        <w:tc>
          <w:tcPr/>
          <w:p>
            <w:pPr>
              <w:pStyle w:val="Compact"/>
            </w:pPr>
            <w:r>
              <w:t xml:space="preserve">Human Resources</w:t>
            </w:r>
          </w:p>
        </w:tc>
      </w:tr>
      <w:tr>
        <w:tc>
          <w:tcPr/>
          <w:p>
            <w:pPr>
              <w:pStyle w:val="Compact"/>
            </w:pPr>
            <w:r>
              <w:t xml:space="preserve">HTML</w:t>
            </w:r>
          </w:p>
        </w:tc>
        <w:tc>
          <w:tcPr/>
          <w:p>
            <w:pPr>
              <w:pStyle w:val="Compact"/>
            </w:pPr>
            <w:r>
              <w:t xml:space="preserve">HyperText Markup Language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HTTP Secure</w:t>
            </w:r>
          </w:p>
        </w:tc>
      </w:tr>
      <w:tr>
        <w:tc>
          <w:tcPr/>
          <w:p>
            <w:pPr>
              <w:pStyle w:val="Compact"/>
            </w:pPr>
            <w:r>
              <w:t xml:space="preserve">HttpOnly</w:t>
            </w:r>
          </w:p>
        </w:tc>
        <w:tc>
          <w:tcPr/>
          <w:p>
            <w:pPr>
              <w:pStyle w:val="Compact"/>
            </w:pPr>
            <w:r>
              <w:t xml:space="preserve">Cookie attribute preventing JavaScript access</w:t>
            </w:r>
          </w:p>
        </w:tc>
      </w:tr>
      <w:tr>
        <w:tc>
          <w:tcPr/>
          <w:p>
            <w:pPr>
              <w:pStyle w:val="Compact"/>
            </w:pPr>
            <w:r>
              <w:t xml:space="preserve">ID</w:t>
            </w:r>
          </w:p>
        </w:tc>
        <w:tc>
          <w:tcPr/>
          <w:p>
            <w:pPr>
              <w:pStyle w:val="Compact"/>
            </w:pPr>
            <w:r>
              <w:t xml:space="preserve">Identifier</w:t>
            </w:r>
          </w:p>
        </w:tc>
      </w:tr>
      <w:tr>
        <w:tc>
          <w:tcPr/>
          <w:p>
            <w:pPr>
              <w:pStyle w:val="Compact"/>
            </w:pPr>
            <w:r>
              <w:t xml:space="preserve">IDF</w:t>
            </w:r>
          </w:p>
        </w:tc>
        <w:tc>
          <w:tcPr/>
          <w:p>
            <w:pPr>
              <w:pStyle w:val="Compact"/>
            </w:pPr>
            <w:r>
              <w:t xml:space="preserve">Inverse Document Frequency</w:t>
            </w:r>
          </w:p>
        </w:tc>
      </w:tr>
      <w:tr>
        <w:tc>
          <w:tcPr/>
          <w:p>
            <w:pPr>
              <w:pStyle w:val="Compact"/>
            </w:pPr>
            <w:r>
              <w:t xml:space="preserve">IR</w:t>
            </w:r>
          </w:p>
        </w:tc>
        <w:tc>
          <w:tcPr/>
          <w:p>
            <w:pPr>
              <w:pStyle w:val="Compact"/>
            </w:pPr>
            <w:r>
              <w:t xml:space="preserve">Information Retrieval</w:t>
            </w:r>
          </w:p>
        </w:tc>
      </w:tr>
      <w:tr>
        <w:tc>
          <w:tcPr/>
          <w:p>
            <w:pPr>
              <w:pStyle w:val="Compact"/>
            </w:pPr>
            <w:r>
              <w:t xml:space="preserve">ISCO</w:t>
            </w:r>
          </w:p>
        </w:tc>
        <w:tc>
          <w:tcPr/>
          <w:p>
            <w:pPr>
              <w:pStyle w:val="Compact"/>
            </w:pPr>
            <w:r>
              <w:t xml:space="preserve">International Standard Classification of Occupations</w:t>
            </w:r>
          </w:p>
        </w:tc>
      </w:tr>
      <w:tr>
        <w:tc>
          <w:tcPr/>
          <w:p>
            <w:pPr>
              <w:pStyle w:val="Compact"/>
            </w:pPr>
            <w:r>
              <w:t xml:space="preserve">JD</w:t>
            </w:r>
          </w:p>
        </w:tc>
        <w:tc>
          <w:tcPr/>
          <w:p>
            <w:pPr>
              <w:pStyle w:val="Compact"/>
            </w:pPr>
            <w:r>
              <w:t xml:space="preserve">Job Description</w:t>
            </w:r>
          </w:p>
        </w:tc>
      </w:tr>
      <w:tr>
        <w:tc>
          <w:tcPr/>
          <w:p>
            <w:pPr>
              <w:pStyle w:val="Compact"/>
            </w:pPr>
            <w:r>
              <w:t xml:space="preserve">JS</w:t>
            </w:r>
          </w:p>
        </w:tc>
        <w:tc>
          <w:tcPr/>
          <w:p>
            <w:pPr>
              <w:pStyle w:val="Compact"/>
            </w:pPr>
            <w:r>
              <w:t xml:space="preserve">JavaScript</w:t>
            </w:r>
          </w:p>
        </w:tc>
      </w:tr>
      <w:tr>
        <w:tc>
          <w:tcPr/>
          <w:p>
            <w:pPr>
              <w:pStyle w:val="Compact"/>
            </w:pPr>
            <w:r>
              <w:t xml:space="preserve">JSA</w:t>
            </w:r>
          </w:p>
        </w:tc>
        <w:tc>
          <w:tcPr/>
          <w:p>
            <w:pPr>
              <w:pStyle w:val="Compact"/>
            </w:pPr>
            <w:r>
              <w:t xml:space="preserve">Jednolity System Antyplagiatowy (Polish national anti-plagiarism system)</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KS</w:t>
            </w:r>
          </w:p>
        </w:tc>
        <w:tc>
          <w:tcPr/>
          <w:p>
            <w:pPr>
              <w:pStyle w:val="Compact"/>
            </w:pPr>
            <w:r>
              <w:t xml:space="preserve">Kolmogorov–Smirnov (statistical distance)</w:t>
            </w:r>
          </w:p>
        </w:tc>
      </w:tr>
      <w:tr>
        <w:tc>
          <w:tcPr/>
          <w:p>
            <w:pPr>
              <w:pStyle w:val="Compact"/>
            </w:pPr>
            <w:r>
              <w:t xml:space="preserve">LLM</w:t>
            </w:r>
          </w:p>
        </w:tc>
        <w:tc>
          <w:tcPr/>
          <w:p>
            <w:pPr>
              <w:pStyle w:val="Compact"/>
            </w:pPr>
            <w:r>
              <w:t xml:space="preserve">Large Language Model</w:t>
            </w:r>
          </w:p>
        </w:tc>
      </w:tr>
      <w:tr>
        <w:tc>
          <w:tcPr/>
          <w:p>
            <w:pPr>
              <w:pStyle w:val="Compact"/>
            </w:pPr>
            <w:r>
              <w:t xml:space="preserve">MIT</w:t>
            </w:r>
          </w:p>
        </w:tc>
        <w:tc>
          <w:tcPr/>
          <w:p>
            <w:pPr>
              <w:pStyle w:val="Compact"/>
            </w:pPr>
            <w:r>
              <w:t xml:space="preserve">Massachusetts Institute of Technology</w:t>
            </w:r>
          </w:p>
        </w:tc>
      </w:tr>
      <w:tr>
        <w:tc>
          <w:tcPr/>
          <w:p>
            <w:pPr>
              <w:pStyle w:val="Compact"/>
            </w:pPr>
            <w:r>
              <w:t xml:space="preserve">ML</w:t>
            </w:r>
          </w:p>
        </w:tc>
        <w:tc>
          <w:tcPr/>
          <w:p>
            <w:pPr>
              <w:pStyle w:val="Compact"/>
            </w:pPr>
            <w:r>
              <w:t xml:space="preserve">Machine Learning</w:t>
            </w:r>
          </w:p>
        </w:tc>
      </w:tr>
      <w:tr>
        <w:tc>
          <w:tcPr/>
          <w:p>
            <w:pPr>
              <w:pStyle w:val="Compact"/>
            </w:pPr>
            <w:r>
              <w:t xml:space="preserve">nDCG</w:t>
            </w:r>
          </w:p>
        </w:tc>
        <w:tc>
          <w:tcPr/>
          <w:p>
            <w:pPr>
              <w:pStyle w:val="Compact"/>
            </w:pPr>
            <w:r>
              <w:t xml:space="preserve">Normalised Discounted Cumulative Gain</w:t>
            </w:r>
          </w:p>
        </w:tc>
      </w:tr>
      <w:tr>
        <w:tc>
          <w:tcPr/>
          <w:p>
            <w:pPr>
              <w:pStyle w:val="Compact"/>
            </w:pPr>
            <w:r>
              <w:t xml:space="preserve">NER</w:t>
            </w:r>
          </w:p>
        </w:tc>
        <w:tc>
          <w:tcPr/>
          <w:p>
            <w:pPr>
              <w:pStyle w:val="Compact"/>
            </w:pPr>
            <w:r>
              <w:t xml:space="preserve">Named-Entity Recognition</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OAuth</w:t>
            </w:r>
          </w:p>
        </w:tc>
        <w:tc>
          <w:tcPr/>
          <w:p>
            <w:pPr>
              <w:pStyle w:val="Compact"/>
            </w:pPr>
            <w:r>
              <w:t xml:space="preserve">Open Authorization (federated-identity protocol)</w:t>
            </w:r>
          </w:p>
        </w:tc>
      </w:tr>
      <w:tr>
        <w:tc>
          <w:tcPr/>
          <w:p>
            <w:pPr>
              <w:pStyle w:val="Compact"/>
            </w:pPr>
            <w:r>
              <w:t xml:space="preserve">OECD</w:t>
            </w:r>
          </w:p>
        </w:tc>
        <w:tc>
          <w:tcPr/>
          <w:p>
            <w:pPr>
              <w:pStyle w:val="Compact"/>
            </w:pPr>
            <w:r>
              <w:t xml:space="preserve">Organisation for Economic Co-operation and Development</w:t>
            </w:r>
          </w:p>
        </w:tc>
      </w:tr>
      <w:tr>
        <w:tc>
          <w:tcPr/>
          <w:p>
            <w:pPr>
              <w:pStyle w:val="Compact"/>
            </w:pPr>
            <w:r>
              <w:t xml:space="preserve">O*NET</w:t>
            </w:r>
          </w:p>
        </w:tc>
        <w:tc>
          <w:tcPr/>
          <w:p>
            <w:pPr>
              <w:pStyle w:val="Compact"/>
            </w:pPr>
            <w:r>
              <w:t xml:space="preserve">Occupational Information Network (US Department of Labor taxonomy)</w:t>
            </w:r>
          </w:p>
        </w:tc>
      </w:tr>
      <w:tr>
        <w:tc>
          <w:tcPr/>
          <w:p>
            <w:pPr>
              <w:pStyle w:val="Compact"/>
            </w:pPr>
            <w:r>
              <w:t xml:space="preserve">ORM</w:t>
            </w:r>
          </w:p>
        </w:tc>
        <w:tc>
          <w:tcPr/>
          <w:p>
            <w:pPr>
              <w:pStyle w:val="Compact"/>
            </w:pPr>
            <w:r>
              <w:t xml:space="preserve">Object–Relational Mapping</w:t>
            </w:r>
          </w:p>
        </w:tc>
      </w:tr>
      <w:tr>
        <w:tc>
          <w:tcPr/>
          <w:p>
            <w:pPr>
              <w:pStyle w:val="Compact"/>
            </w:pPr>
            <w:r>
              <w:t xml:space="preserve">PDF</w:t>
            </w:r>
          </w:p>
        </w:tc>
        <w:tc>
          <w:tcPr/>
          <w:p>
            <w:pPr>
              <w:pStyle w:val="Compact"/>
            </w:pPr>
            <w:r>
              <w:t xml:space="preserve">Portable Document Format</w:t>
            </w:r>
          </w:p>
        </w:tc>
      </w:tr>
      <w:tr>
        <w:tc>
          <w:tcPr/>
          <w:p>
            <w:pPr>
              <w:pStyle w:val="Compact"/>
            </w:pPr>
            <w:r>
              <w:t xml:space="preserve">PL</w:t>
            </w:r>
          </w:p>
        </w:tc>
        <w:tc>
          <w:tcPr/>
          <w:p>
            <w:pPr>
              <w:pStyle w:val="Compact"/>
            </w:pPr>
            <w:r>
              <w:t xml:space="preserve">Polish (language)</w:t>
            </w:r>
          </w:p>
        </w:tc>
      </w:tr>
      <w:tr>
        <w:tc>
          <w:tcPr/>
          <w:p>
            <w:pPr>
              <w:pStyle w:val="Compact"/>
            </w:pPr>
            <w:r>
              <w:t xml:space="preserve">PR</w:t>
            </w:r>
          </w:p>
        </w:tc>
        <w:tc>
          <w:tcPr/>
          <w:p>
            <w:pPr>
              <w:pStyle w:val="Compact"/>
            </w:pPr>
            <w:r>
              <w:t xml:space="preserve">Pull Request / Pattern Recognition (latter in example thesis)</w:t>
            </w:r>
          </w:p>
        </w:tc>
      </w:tr>
      <w:tr>
        <w:tc>
          <w:tcPr/>
          <w:p>
            <w:pPr>
              <w:pStyle w:val="Compact"/>
            </w:pPr>
            <w:r>
              <w:t xml:space="preserve">PWr</w:t>
            </w:r>
          </w:p>
        </w:tc>
        <w:tc>
          <w:tcPr/>
          <w:p>
            <w:pPr>
              <w:pStyle w:val="Compact"/>
            </w:pPr>
            <w:r>
              <w:t xml:space="preserve">Politechnika Wrocławska (Wrocław University of Science and Technology)</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RBO</w:t>
            </w:r>
          </w:p>
        </w:tc>
        <w:tc>
          <w:tcPr/>
          <w:p>
            <w:pPr>
              <w:pStyle w:val="Compact"/>
            </w:pPr>
            <w:r>
              <w:t xml:space="preserve">Ranked Biased Overlap</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RPM</w:t>
            </w:r>
          </w:p>
        </w:tc>
        <w:tc>
          <w:tcPr/>
          <w:p>
            <w:pPr>
              <w:pStyle w:val="Compact"/>
            </w:pPr>
            <w:r>
              <w:t xml:space="preserve">Requests Per Minute</w:t>
            </w:r>
          </w:p>
        </w:tc>
      </w:tr>
      <w:tr>
        <w:tc>
          <w:tcPr/>
          <w:p>
            <w:pPr>
              <w:pStyle w:val="Compact"/>
            </w:pPr>
            <w:r>
              <w:t xml:space="preserve">SaaS</w:t>
            </w:r>
          </w:p>
        </w:tc>
        <w:tc>
          <w:tcPr/>
          <w:p>
            <w:pPr>
              <w:pStyle w:val="Compact"/>
            </w:pPr>
            <w:r>
              <w:t xml:space="preserve">Software as a Service</w:t>
            </w:r>
          </w:p>
        </w:tc>
      </w:tr>
      <w:tr>
        <w:tc>
          <w:tcPr/>
          <w:p>
            <w:pPr>
              <w:pStyle w:val="Compact"/>
            </w:pPr>
            <w:r>
              <w:t xml:space="preserve">SBERT</w:t>
            </w:r>
          </w:p>
        </w:tc>
        <w:tc>
          <w:tcPr/>
          <w:p>
            <w:pPr>
              <w:pStyle w:val="Compact"/>
            </w:pPr>
            <w:r>
              <w:t xml:space="preserve">Sentence-BERT</w:t>
            </w:r>
          </w:p>
        </w:tc>
      </w:tr>
      <w:tr>
        <w:tc>
          <w:tcPr/>
          <w:p>
            <w:pPr>
              <w:pStyle w:val="Compact"/>
            </w:pPr>
            <w:r>
              <w:t xml:space="preserve">SDK</w:t>
            </w:r>
          </w:p>
        </w:tc>
        <w:tc>
          <w:tcPr/>
          <w:p>
            <w:pPr>
              <w:pStyle w:val="Compact"/>
            </w:pPr>
            <w:r>
              <w:t xml:space="preserve">Software Development Kit</w:t>
            </w:r>
          </w:p>
        </w:tc>
      </w:tr>
      <w:tr>
        <w:tc>
          <w:tcPr/>
          <w:p>
            <w:pPr>
              <w:pStyle w:val="Compact"/>
            </w:pPr>
            <w:r>
              <w:t xml:space="preserve">SOA</w:t>
            </w:r>
          </w:p>
        </w:tc>
        <w:tc>
          <w:tcPr/>
          <w:p>
            <w:pPr>
              <w:pStyle w:val="Compact"/>
            </w:pPr>
            <w:r>
              <w:t xml:space="preserve">Service-Oriented Architecture</w:t>
            </w:r>
          </w:p>
        </w:tc>
      </w:tr>
      <w:tr>
        <w:tc>
          <w:tcPr/>
          <w:p>
            <w:pPr>
              <w:pStyle w:val="Compact"/>
            </w:pPr>
            <w:r>
              <w:t xml:space="preserve">SPA</w:t>
            </w:r>
          </w:p>
        </w:tc>
        <w:tc>
          <w:tcPr/>
          <w:p>
            <w:pPr>
              <w:pStyle w:val="Compact"/>
            </w:pPr>
            <w:r>
              <w:t xml:space="preserve">Single-Page Application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TF</w:t>
            </w:r>
          </w:p>
        </w:tc>
        <w:tc>
          <w:tcPr/>
          <w:p>
            <w:pPr>
              <w:pStyle w:val="Compact"/>
            </w:pPr>
            <w:r>
              <w:t xml:space="preserve">Term Frequency</w:t>
            </w:r>
          </w:p>
        </w:tc>
      </w:tr>
      <w:tr>
        <w:tc>
          <w:tcPr/>
          <w:p>
            <w:pPr>
              <w:pStyle w:val="Compact"/>
            </w:pPr>
            <w:r>
              <w:t xml:space="preserve">TF–IDF</w:t>
            </w:r>
          </w:p>
        </w:tc>
        <w:tc>
          <w:tcPr/>
          <w:p>
            <w:pPr>
              <w:pStyle w:val="Compact"/>
            </w:pPr>
            <w:r>
              <w:t xml:space="preserve">Term Frequency–Inverse Document Frequency</w:t>
            </w:r>
          </w:p>
        </w:tc>
      </w:tr>
      <w:tr>
        <w:tc>
          <w:tcPr/>
          <w:p>
            <w:pPr>
              <w:pStyle w:val="Compact"/>
            </w:pPr>
            <w:r>
              <w:t xml:space="preserve">TLS</w:t>
            </w:r>
          </w:p>
        </w:tc>
        <w:tc>
          <w:tcPr/>
          <w:p>
            <w:pPr>
              <w:pStyle w:val="Compact"/>
            </w:pPr>
            <w:r>
              <w:t xml:space="preserve">Transport Layer Security</w:t>
            </w:r>
          </w:p>
        </w:tc>
      </w:tr>
      <w:tr>
        <w:tc>
          <w:tcPr/>
          <w:p>
            <w:pPr>
              <w:pStyle w:val="Compact"/>
            </w:pPr>
            <w:r>
              <w:t xml:space="preserve">TTL</w:t>
            </w:r>
          </w:p>
        </w:tc>
        <w:tc>
          <w:tcPr/>
          <w:p>
            <w:pPr>
              <w:pStyle w:val="Compact"/>
            </w:pPr>
            <w:r>
              <w:t xml:space="preserve">Time-To-Live</w:t>
            </w:r>
          </w:p>
        </w:tc>
      </w:tr>
      <w:tr>
        <w:tc>
          <w:tcPr/>
          <w:p>
            <w:pPr>
              <w:pStyle w:val="Compact"/>
            </w:pPr>
            <w:r>
              <w:t xml:space="preserve">UI</w:t>
            </w:r>
          </w:p>
        </w:tc>
        <w:tc>
          <w:tcPr/>
          <w:p>
            <w:pPr>
              <w:pStyle w:val="Compact"/>
            </w:pPr>
            <w:r>
              <w:t xml:space="preserve">User Interface</w:t>
            </w:r>
          </w:p>
        </w:tc>
      </w:tr>
      <w:tr>
        <w:tc>
          <w:tcPr/>
          <w:p>
            <w:pPr>
              <w:pStyle w:val="Compact"/>
            </w:pPr>
            <w:r>
              <w:t xml:space="preserve">URL</w:t>
            </w:r>
          </w:p>
        </w:tc>
        <w:tc>
          <w:tcPr/>
          <w:p>
            <w:pPr>
              <w:pStyle w:val="Compact"/>
            </w:pPr>
            <w:r>
              <w:t xml:space="preserve">Uniform Resource Locator</w:t>
            </w:r>
          </w:p>
        </w:tc>
      </w:tr>
      <w:tr>
        <w:tc>
          <w:tcPr/>
          <w:p>
            <w:pPr>
              <w:pStyle w:val="Compact"/>
            </w:pPr>
            <w:r>
              <w:t xml:space="preserve">USOS</w:t>
            </w:r>
          </w:p>
        </w:tc>
        <w:tc>
          <w:tcPr/>
          <w:p>
            <w:pPr>
              <w:pStyle w:val="Compact"/>
            </w:pPr>
            <w:r>
              <w:t xml:space="preserve">Uniwersytecki System Obsługi Studiów (PWr student information system)</w:t>
            </w:r>
          </w:p>
        </w:tc>
      </w:tr>
      <w:tr>
        <w:tc>
          <w:tcPr/>
          <w:p>
            <w:pPr>
              <w:pStyle w:val="Compact"/>
            </w:pPr>
            <w:r>
              <w:t xml:space="preserve">USOS-APD</w:t>
            </w:r>
          </w:p>
        </w:tc>
        <w:tc>
          <w:tcPr/>
          <w:p>
            <w:pPr>
              <w:pStyle w:val="Compact"/>
            </w:pPr>
            <w:r>
              <w:t xml:space="preserve">USOS Archive of Diploma Theses</w:t>
            </w:r>
          </w:p>
        </w:tc>
      </w:tr>
      <w:tr>
        <w:tc>
          <w:tcPr/>
          <w:p>
            <w:pPr>
              <w:pStyle w:val="Compact"/>
            </w:pPr>
            <w:r>
              <w:t xml:space="preserve">UUID</w:t>
            </w:r>
          </w:p>
        </w:tc>
        <w:tc>
          <w:tcPr/>
          <w:p>
            <w:pPr>
              <w:pStyle w:val="Compact"/>
            </w:pPr>
            <w:r>
              <w:t xml:space="preserve">Universally Unique Identifier</w:t>
            </w:r>
          </w:p>
        </w:tc>
      </w:tr>
      <w:tr>
        <w:tc>
          <w:tcPr/>
          <w:p>
            <w:pPr>
              <w:pStyle w:val="Compact"/>
            </w:pPr>
            <w:r>
              <w:t xml:space="preserve">UX</w:t>
            </w:r>
          </w:p>
        </w:tc>
        <w:tc>
          <w:tcPr/>
          <w:p>
            <w:pPr>
              <w:pStyle w:val="Compact"/>
            </w:pPr>
            <w:r>
              <w:t xml:space="preserve">User Experience</w:t>
            </w:r>
          </w:p>
        </w:tc>
      </w:tr>
      <w:tr>
        <w:tc>
          <w:tcPr/>
          <w:p>
            <w:pPr>
              <w:pStyle w:val="Compact"/>
            </w:pPr>
            <w:r>
              <w:t xml:space="preserve">V1 / V1.1</w:t>
            </w:r>
          </w:p>
        </w:tc>
        <w:tc>
          <w:tcPr/>
          <w:p>
            <w:pPr>
              <w:pStyle w:val="Compact"/>
            </w:pPr>
            <w:r>
              <w:t xml:space="preserve">Version 1 / Version 1.1 (release-numbering convention used in this thesis)</w:t>
            </w:r>
          </w:p>
        </w:tc>
      </w:tr>
      <w:tr>
        <w:tc>
          <w:tcPr/>
          <w:p>
            <w:pPr>
              <w:pStyle w:val="Compact"/>
            </w:pPr>
            <w:r>
              <w:t xml:space="preserve">WCAG</w:t>
            </w:r>
          </w:p>
        </w:tc>
        <w:tc>
          <w:tcPr/>
          <w:p>
            <w:pPr>
              <w:pStyle w:val="Compact"/>
            </w:pPr>
            <w:r>
              <w:t xml:space="preserve">Web Content Accessibility Guidelines</w:t>
            </w:r>
          </w:p>
        </w:tc>
      </w:tr>
      <w:tr>
        <w:tc>
          <w:tcPr/>
          <w:p>
            <w:pPr>
              <w:pStyle w:val="Compact"/>
            </w:pPr>
            <w:r>
              <w:t xml:space="preserve">WEFiM</w:t>
            </w:r>
          </w:p>
        </w:tc>
        <w:tc>
          <w:tcPr/>
          <w:p>
            <w:pPr>
              <w:pStyle w:val="Compact"/>
            </w:pPr>
            <w:r>
              <w:t xml:space="preserve">Wydział Elektroniki, Fotoniki i Mikrosystemów (Faculty of Electronics, Photonics and Microsystems)</w:t>
            </w:r>
          </w:p>
        </w:tc>
      </w:tr>
      <w:tr>
        <w:tc>
          <w:tcPr/>
          <w:p>
            <w:pPr>
              <w:pStyle w:val="Compact"/>
            </w:pPr>
            <w:r>
              <w:t xml:space="preserve">XML</w:t>
            </w:r>
          </w:p>
        </w:tc>
        <w:tc>
          <w:tcPr/>
          <w:p>
            <w:pPr>
              <w:pStyle w:val="Compact"/>
            </w:pPr>
            <w:r>
              <w:t xml:space="preserve">eXtensible Markup Language</w:t>
            </w:r>
          </w:p>
        </w:tc>
      </w:tr>
      <w:tr>
        <w:tc>
          <w:tcPr/>
          <w:p>
            <w:pPr>
              <w:pStyle w:val="Compact"/>
            </w:pPr>
            <w:r>
              <w:t xml:space="preserve">Zod</w:t>
            </w:r>
          </w:p>
        </w:tc>
        <w:tc>
          <w:tcPr/>
          <w:p>
            <w:pPr>
              <w:pStyle w:val="Compact"/>
            </w:pPr>
            <w:r>
              <w:t xml:space="preserve">Runtime schema-validation library for TypeScript</w:t>
            </w:r>
          </w:p>
        </w:tc>
      </w:tr>
    </w:tbl>
    <w:bookmarkStart w:id="15" w:name="symbols-used-in-formulas-in-chapter-4"/>
    <w:p>
      <w:pPr>
        <w:pStyle w:val="Heading2"/>
      </w:pPr>
      <w:r>
        <w:rPr>
          <w:b/>
          <w:i w:val="0"/>
          <w:sz w:val="28"/>
        </w:rPr>
        <w:t xml:space="preserve">Symbols (used in formulas in Chapter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rPr>
                <w:i/>
                <w:iCs/>
              </w:rPr>
              <w:t xml:space="preserve">r</w:t>
            </w:r>
          </w:p>
        </w:tc>
        <w:tc>
          <w:tcPr/>
          <w:p>
            <w:pPr>
              <w:pStyle w:val="Compact"/>
            </w:pPr>
            <w:r>
              <w:t xml:space="preserve">Pearson correlation coefficient</w:t>
            </w:r>
          </w:p>
        </w:tc>
      </w:tr>
      <w:tr>
        <w:tc>
          <w:tcPr/>
          <w:p>
            <w:pPr>
              <w:pStyle w:val="Compact"/>
            </w:pPr>
            <w:r>
              <w:rPr>
                <w:i/>
                <w:iCs/>
              </w:rPr>
              <w:t xml:space="preserve">k₁</w:t>
            </w:r>
            <w:r>
              <w:t xml:space="preserve">,</w:t>
            </w:r>
            <w:r>
              <w:t xml:space="preserve"> </w:t>
            </w:r>
            <w:r>
              <w:rPr>
                <w:i/>
                <w:iCs/>
              </w:rPr>
              <w:t xml:space="preserve">b</w:t>
            </w:r>
          </w:p>
        </w:tc>
        <w:tc>
          <w:tcPr/>
          <w:p>
            <w:pPr>
              <w:pStyle w:val="Compact"/>
            </w:pPr>
            <w:r>
              <w:t xml:space="preserve">BM25 hyperparameters (term-frequency saturation and document-length normalisation)</w:t>
            </w:r>
          </w:p>
        </w:tc>
      </w:tr>
      <w:tr>
        <w:tc>
          <w:tcPr/>
          <w:p>
            <w:pPr>
              <w:pStyle w:val="Compact"/>
            </w:pPr>
            <w:r>
              <w:rPr>
                <w:i/>
                <w:iCs/>
              </w:rPr>
              <w:t xml:space="preserve">τ</w:t>
            </w:r>
          </w:p>
        </w:tc>
        <w:tc>
          <w:tcPr/>
          <w:p>
            <w:pPr>
              <w:pStyle w:val="Compact"/>
            </w:pPr>
            <w:r>
              <w:t xml:space="preserve">Fuzzy-matching threshold (Levenshtein-similarity ratio)</w:t>
            </w:r>
          </w:p>
        </w:tc>
      </w:tr>
      <w:tr>
        <w:tc>
          <w:tcPr/>
          <w:p>
            <w:pPr>
              <w:pStyle w:val="Compact"/>
            </w:pPr>
            <w:r>
              <w:t xml:space="preserve">idf(t)</w:t>
            </w:r>
          </w:p>
        </w:tc>
        <w:tc>
          <w:tcPr/>
          <w:p>
            <w:pPr>
              <w:pStyle w:val="Compact"/>
            </w:pPr>
            <w:r>
              <w:t xml:space="preserve">Inverse document frequency of term</w:t>
            </w:r>
            <w:r>
              <w:t xml:space="preserve"> </w:t>
            </w:r>
            <w:r>
              <w:rPr>
                <w:i/>
                <w:iCs/>
              </w:rPr>
              <w:t xml:space="preserve">t</w:t>
            </w:r>
          </w:p>
        </w:tc>
      </w:tr>
      <w:tr>
        <w:tc>
          <w:tcPr/>
          <w:p>
            <w:pPr>
              <w:pStyle w:val="Compact"/>
            </w:pPr>
            <w:r>
              <w:rPr>
                <w:i/>
                <w:iCs/>
              </w:rPr>
              <w:t xml:space="preserve">N</w:t>
            </w:r>
            <w:r>
              <w:t xml:space="preserve">,</w:t>
            </w:r>
            <w:r>
              <w:t xml:space="preserve"> </w:t>
            </w:r>
            <w:r>
              <w:rPr>
                <w:i/>
                <w:iCs/>
              </w:rPr>
              <w:t xml:space="preserve">M</w:t>
            </w:r>
          </w:p>
        </w:tc>
        <w:tc>
          <w:tcPr/>
          <w:p>
            <w:pPr>
              <w:pStyle w:val="Compact"/>
            </w:pPr>
            <w:r>
              <w:t xml:space="preserve">Number of resumes and number of job descriptions in the evaluation set</w:t>
            </w:r>
          </w:p>
        </w:tc>
      </w:tr>
      <w:tr>
        <w:tc>
          <w:tcPr/>
          <w:p>
            <w:pPr>
              <w:pStyle w:val="Compact"/>
            </w:pPr>
            <w:r>
              <w:rPr>
                <w:i/>
                <w:iCs/>
              </w:rPr>
              <w:t xml:space="preserve">R</w:t>
            </w:r>
            <w:r>
              <w:t xml:space="preserve">,</w:t>
            </w:r>
            <w:r>
              <w:t xml:space="preserve"> </w:t>
            </w:r>
            <w:r>
              <w:rPr>
                <w:i/>
                <w:iCs/>
              </w:rPr>
              <w:t xml:space="preserve">J</w:t>
            </w:r>
          </w:p>
        </w:tc>
        <w:tc>
          <w:tcPr/>
          <w:p>
            <w:pPr>
              <w:pStyle w:val="Compact"/>
            </w:pPr>
            <w:r>
              <w:t xml:space="preserve">A single resume and a single job description</w:t>
            </w:r>
          </w:p>
        </w:tc>
      </w:tr>
      <w:tr>
        <w:tc>
          <w:tcPr/>
          <w:p>
            <w:pPr>
              <w:pStyle w:val="Compact"/>
            </w:pPr>
            <w:r>
              <w:rPr>
                <w:i/>
                <w:iCs/>
              </w:rPr>
              <w:t xml:space="preserve">K</w:t>
            </w:r>
            <w:r>
              <w:t xml:space="preserve">(·)</w:t>
            </w:r>
          </w:p>
        </w:tc>
        <w:tc>
          <w:tcPr/>
          <w:p>
            <w:pPr>
              <w:pStyle w:val="Compact"/>
            </w:pPr>
            <w:r>
              <w:t xml:space="preserve">Keyword extractor function (returns the keyword set of an input)</w:t>
            </w:r>
          </w:p>
        </w:tc>
      </w:tr>
      <w:tr>
        <w:tc>
          <w:tcPr/>
          <w:p>
            <w:pPr>
              <w:pStyle w:val="Compact"/>
            </w:pPr>
            <w:r>
              <w:t xml:space="preserve">dl, avgdl</w:t>
            </w:r>
          </w:p>
        </w:tc>
        <w:tc>
          <w:tcPr/>
          <w:p>
            <w:pPr>
              <w:pStyle w:val="Compact"/>
            </w:pPr>
            <w:r>
              <w:t xml:space="preserve">Document length, average document length (BM25 normalisation)</w:t>
            </w:r>
          </w:p>
        </w:tc>
      </w:tr>
    </w:tbl>
    <w:bookmarkEnd w:id="15"/>
    <w:bookmarkEnd w:id="16"/>
    <w:bookmarkStart w:id="23" w:name="chapter-1-introduction"/>
    <w:p>
      <w:pPr>
        <w:pStyle w:val="Heading1"/>
        <w:pageBreakBefore/>
        <w:spacing w:before="0" w:after="240"/>
      </w:pPr>
      <w:r>
        <w:rPr>
          <w:b/>
          <w:i w:val="0"/>
          <w:sz w:val="36"/>
        </w:rPr>
        <w:t xml:space="preserve">Chapter 1 — Introduction</w:t>
      </w:r>
    </w:p>
    <w:p>
      <w:pPr>
        <w:pStyle w:val="FirstParagraph"/>
      </w:pPr>
      <w:r>
        <w:t xml:space="preserve">Choosing a career path has become substantially harder over the last decade. The labour market changes faster than any individual can track manually: new job titles appear, established roles fragment into specialisations, and the skills that employers list on a job advertisement now turn over on the order of years rather than decades [3]. At the same time, the number of resumes a hiring team sees per opening has grown, and most large employers route applications through automated screening systems before any human reviewer touches the document [18]. The candidate sits between these two pressures: they need to understand which roles fit their evolving experience, and they need to present that experience in a form that survives algorithmic filtering.</w:t>
      </w:r>
    </w:p>
    <w:p>
      <w:pPr>
        <w:pStyle w:val="BodyText"/>
      </w:pPr>
      <w:r>
        <w:t xml:space="preserve">A working candidate trying to answer those questions today typically uses a fragmented set of tools — a generic resume builder, a job board’s</w:t>
      </w:r>
      <w:r>
        <w:t xml:space="preserve"> </w:t>
      </w:r>
      <w:r>
        <w:t xml:space="preserve">“match score”</w:t>
      </w:r>
      <w:r>
        <w:t xml:space="preserve">, a separate cover-letter writing prompt, an interview-preparation list curated by hand. Each of those tools sees only a slice of the candidate. None of them carry context across the workflow. The thesis presented here builds a single, integrated AI-based system that collapses that workflow into one workspace, and uses the candidate’s resume as the shared substrate across every tool in the system.</w:t>
      </w:r>
    </w:p>
    <w:p>
      <w:pPr>
        <w:pStyle w:val="BodyText"/>
      </w:pPr>
      <w:r>
        <w:t xml:space="preserve">The immediate motivation for the topic of this thesis was the author’s experience as an international student at Wrocław University of Science and Technology. During an internship search the author used three or four of the fragmented career tools described above — a generic resume editor, a job-board match score, a separate cover-letter prompt, an interview-question generator — and the friction that emerged was not in any single tool’s output but in the manual re-entry of the same resume into each one. Every tool started from zero context and none of them passed information forward to the next stage of the workflow. The thesis project began as an attempt to remove that friction and, over the months of implementation, grew into the integrated AI-augmented decision-support system [1, 2] that this thesis describes.</w:t>
      </w:r>
    </w:p>
    <w:bookmarkStart w:id="17" w:name="the-career-decision-problem"/>
    <w:p>
      <w:pPr>
        <w:pStyle w:val="Heading2"/>
      </w:pPr>
      <w:r>
        <w:rPr>
          <w:b/>
          <w:i w:val="0"/>
          <w:sz w:val="28"/>
        </w:rPr>
        <w:t xml:space="preserve">1.1 The career decision problem</w:t>
      </w:r>
    </w:p>
    <w:p>
      <w:pPr>
        <w:pStyle w:val="FirstParagraph"/>
      </w:pPr>
      <w:r>
        <w:t xml:space="preserve">Career decision making sits at the intersection of three difficult sub-problems.</w:t>
      </w:r>
      <w:r>
        <w:t xml:space="preserve"> </w:t>
      </w:r>
      <w:r>
        <w:rPr>
          <w:i/>
          <w:iCs/>
        </w:rPr>
        <w:t xml:space="preserve">Self-assessment</w:t>
      </w:r>
      <w:r>
        <w:t xml:space="preserve"> </w:t>
      </w:r>
      <w:r>
        <w:t xml:space="preserve">asks the candidate to inventory their skills, experience, and preferences in a form that other systems can reason over.</w:t>
      </w:r>
      <w:r>
        <w:t xml:space="preserve"> </w:t>
      </w:r>
      <w:r>
        <w:rPr>
          <w:i/>
          <w:iCs/>
        </w:rPr>
        <w:t xml:space="preserve">Market alignment</w:t>
      </w:r>
      <w:r>
        <w:t xml:space="preserve"> </w:t>
      </w:r>
      <w:r>
        <w:t xml:space="preserve">asks how the candidate’s profile compares to the current demand expressed in job advertisements.</w:t>
      </w:r>
      <w:r>
        <w:t xml:space="preserve"> </w:t>
      </w:r>
      <w:r>
        <w:rPr>
          <w:i/>
          <w:iCs/>
        </w:rPr>
        <w:t xml:space="preserve">Action planning</w:t>
      </w:r>
      <w:r>
        <w:t xml:space="preserve"> </w:t>
      </w:r>
      <w:r>
        <w:t xml:space="preserve">asks what concrete steps — a sharper resume bullet, a portfolio gap to close, a story to rehearse for an interview — would move the candidate from where they are to where they want to be.</w:t>
      </w:r>
    </w:p>
    <w:p>
      <w:pPr>
        <w:pStyle w:val="BodyText"/>
      </w:pPr>
      <w:r>
        <w:t xml:space="preserve">Each of those sub-problems has been studied in isolation. Career-counselling research treats self-assessment as a structured interview problem [15]. Information-retrieval research treats market alignment as a ranking problem over a corpus of job postings [13, 21]. Behavioural-economics research treats action planning as a goal-setting problem under uncertainty. What has been missing in practice — and what motivates this thesis — is an integrated system in which these three sub-problems share a single representation of the candidate, so that the output of one stage feeds the next without manual re-entry of information.</w:t>
      </w:r>
    </w:p>
    <w:bookmarkEnd w:id="17"/>
    <w:bookmarkStart w:id="18" w:name="Xb2b33d9c0e4613654e8bd0dc0463185643a1762"/>
    <w:p>
      <w:pPr>
        <w:pStyle w:val="Heading2"/>
      </w:pPr>
      <w:r>
        <w:rPr>
          <w:b/>
          <w:i w:val="0"/>
          <w:sz w:val="28"/>
        </w:rPr>
        <w:t xml:space="preserve">1.2 AI-based recommendation systems for careers</w:t>
      </w:r>
    </w:p>
    <w:p>
      <w:pPr>
        <w:pStyle w:val="FirstParagraph"/>
      </w:pPr>
      <w:r>
        <w:t xml:space="preserve">Recommendation systems were originally developed for content domains in which the</w:t>
      </w:r>
      <w:r>
        <w:t xml:space="preserve"> </w:t>
      </w:r>
      <w:r>
        <w:rPr>
          <w:i/>
          <w:iCs/>
        </w:rPr>
        <w:t xml:space="preserve">items</w:t>
      </w:r>
      <w:r>
        <w:t xml:space="preserve"> </w:t>
      </w:r>
      <w:r>
        <w:t xml:space="preserve">— films, books, songs, products — are dense, well-described, and observed many times across many users. Career recommendation differs from those classical settings on every one of those properties. Job titles are sparse and inconsistently labelled across employers, the relevant features of a candidate are hidden inside a free-text resume, and a single user generates only a handful of explicit preference signals over their working life. As a result, the most successful recent career-recommendation systems do not rely on classical collaborative filtering at all; they instead treat the problem as a structured matching problem between two semi-structured documents — a resume and a job description — projected into a shared representation [6, 8, 9, 10].</w:t>
      </w:r>
    </w:p>
    <w:p>
      <w:pPr>
        <w:pStyle w:val="BodyText"/>
      </w:pPr>
      <w:r>
        <w:t xml:space="preserve">Several recent systems illustrate this shift. CareerRec [15] applies tree-based classifiers (XGBoost and Random Forest) to a labelled dataset of 2,255 information-technology employees in Saudi Arabia and reports an accuracy of approximately 70 % on a multi-class career-path classification task. The broader stream of AI-augmented decision-support research [1, 2] frames the same dual problem of profile representation and outcome prediction in domains adjacent to recruitment — strategic-marketing decision-making and operations research — and confirms that the methodological pattern of</w:t>
      </w:r>
      <w:r>
        <w:t xml:space="preserve"> </w:t>
      </w:r>
      <w:r>
        <w:rPr>
          <w:i/>
          <w:iCs/>
        </w:rPr>
        <w:t xml:space="preserve">learned representations over hand-engineered features</w:t>
      </w:r>
      <w:r>
        <w:t xml:space="preserve"> </w:t>
      </w:r>
      <w:r>
        <w:t xml:space="preserve">has converged across these neighbouring fields. The common thread across the recent neural career systems is that they substitute learned representations of resumes and jobs for hand-engineered features but stop at producing a list of recommended job titles. None of them address the full workflow of</w:t>
      </w:r>
      <w:r>
        <w:t xml:space="preserve"> </w:t>
      </w:r>
      <w:r>
        <w:rPr>
          <w:i/>
          <w:iCs/>
        </w:rPr>
        <w:t xml:space="preserve">acting</w:t>
      </w:r>
      <w:r>
        <w:t xml:space="preserve"> </w:t>
      </w:r>
      <w:r>
        <w:t xml:space="preserve">on a recommendation, which is where the present thesis extends the state of the practice.</w:t>
      </w:r>
    </w:p>
    <w:bookmarkEnd w:id="18"/>
    <w:bookmarkStart w:id="19" w:name="X0f507a345d505e2b6b09af5902860f6a3d367ad"/>
    <w:p>
      <w:pPr>
        <w:pStyle w:val="Heading2"/>
      </w:pPr>
      <w:r>
        <w:rPr>
          <w:b/>
          <w:i w:val="0"/>
          <w:sz w:val="28"/>
        </w:rPr>
        <w:t xml:space="preserve">1.3 Resume parsing and job-description analysis</w:t>
      </w:r>
    </w:p>
    <w:p>
      <w:pPr>
        <w:pStyle w:val="FirstParagraph"/>
      </w:pPr>
      <w:r>
        <w:t xml:space="preserve">For any of the matching approaches above to work, the first step is to extract structure from a resume that arrives as an unstructured PDF or text file. Resume parsing is an old problem — the earliest approaches were rule-based, using hand-written regular expressions and section-header dictionaries to pull out candidate information [14]. Those rule-based parsers are brittle in the presence of unusual formatting, but they remain useful as a deterministic baseline because their behaviour is fully inspectable.</w:t>
      </w:r>
    </w:p>
    <w:p>
      <w:pPr>
        <w:pStyle w:val="BodyText"/>
      </w:pPr>
      <w:r>
        <w:t xml:space="preserve">Modern resume parsers are predominantly neural. Named-entity-recognition (NER) models trained on annotated resume corpora extract person names, organisations, dates, and skills, and the broader role of natural-language processing techniques in human-resources and management research is surveyed in [4]. Transformer-based models such as BERT, RoBERTa, and DeBERTa improve on raw NER by capturing the contextual meaning of skill phrases — a single token like</w:t>
      </w:r>
      <w:r>
        <w:t xml:space="preserve"> </w:t>
      </w:r>
      <w:r>
        <w:t xml:space="preserve">“Python”</w:t>
      </w:r>
      <w:r>
        <w:t xml:space="preserve"> </w:t>
      </w:r>
      <w:r>
        <w:t xml:space="preserve">can refer to a programming language or to a surface-level mention in a list of hobbies, and contextual models are substantially better at telling those apart. Resume2Vec [18] reports a 15.85 % improvement in normalised discounted cumulative gain over a non-contextual ATS baseline, attributing the gain entirely to its use of transformer embeddings.</w:t>
      </w:r>
    </w:p>
    <w:p>
      <w:pPr>
        <w:pStyle w:val="BodyText"/>
      </w:pPr>
      <w:r>
        <w:t xml:space="preserve">Job-description analysis is the symmetric problem on the demand side. The most consequential recent research direction in this area is the linking of free-text job postings to standardised skill taxonomies — primarily</w:t>
      </w:r>
      <w:r>
        <w:t xml:space="preserve"> </w:t>
      </w:r>
      <w:r>
        <w:rPr>
          <w:i/>
          <w:iCs/>
        </w:rPr>
        <w:t xml:space="preserve">ESCO</w:t>
      </w:r>
      <w:r>
        <w:t xml:space="preserve">, the European multilingual classification published by the European Commission [8], and O*NET, maintained by the United States Department of Labor. Linking a job posting to ESCO produces, for each posting, a list of normalised skill identifiers that can be compared across postings and across resumes; without normalisation,</w:t>
      </w:r>
      <w:r>
        <w:t xml:space="preserve"> </w:t>
      </w:r>
      <w:r>
        <w:t xml:space="preserve">“JavaScript”</w:t>
      </w:r>
      <w:r>
        <w:t xml:space="preserve">,</w:t>
      </w:r>
      <w:r>
        <w:t xml:space="preserve"> </w:t>
      </w:r>
      <w:r>
        <w:t xml:space="preserve">“JS”</w:t>
      </w:r>
      <w:r>
        <w:t xml:space="preserve">, and</w:t>
      </w:r>
      <w:r>
        <w:t xml:space="preserve"> </w:t>
      </w:r>
      <w:r>
        <w:t xml:space="preserve">“ECMAScript”</w:t>
      </w:r>
      <w:r>
        <w:t xml:space="preserve"> </w:t>
      </w:r>
      <w:r>
        <w:t xml:space="preserve">appear as three independent skills even though a hiring manager treats them as one. Recent work demonstrates both top-down approaches (matching detected phrases against the ESCO knowledge base) and bottom-up approaches that train models such as JobBERT and ESCOXLM-R directly on annotated postings [9, 10, 11, 12, 13]. The system described in this thesis adopts a top-down strategy: a curated subset of ESCO skill labels is bundled with the application and used as a normalisation layer on both the resume side and the job-description side.</w:t>
      </w:r>
    </w:p>
    <w:bookmarkEnd w:id="19"/>
    <w:bookmarkStart w:id="20" w:name="Xa6a123f0eef37d7de42a3068fa80ba2182618c4"/>
    <w:p>
      <w:pPr>
        <w:pStyle w:val="Heading2"/>
      </w:pPr>
      <w:r>
        <w:rPr>
          <w:b/>
          <w:i w:val="0"/>
          <w:sz w:val="28"/>
        </w:rPr>
        <w:t xml:space="preserve">1.4 Heuristic and language-model scoring approaches</w:t>
      </w:r>
    </w:p>
    <w:p>
      <w:pPr>
        <w:pStyle w:val="FirstParagraph"/>
      </w:pPr>
      <w:r>
        <w:t xml:space="preserve">The central design tension addressed by this thesis is the choice between two families of methods for scoring the alignment between a resume and a job description.</w:t>
      </w:r>
    </w:p>
    <w:p>
      <w:pPr>
        <w:pStyle w:val="BodyText"/>
      </w:pPr>
      <w:r>
        <w:t xml:space="preserve">The first family is</w:t>
      </w:r>
      <w:r>
        <w:t xml:space="preserve"> </w:t>
      </w:r>
      <w:r>
        <w:rPr>
          <w:i/>
          <w:iCs/>
        </w:rPr>
        <w:t xml:space="preserve">heuristic</w:t>
      </w:r>
      <w:r>
        <w:t xml:space="preserve">: classical information-retrieval techniques that rely on statistical regularities of text. The foundational methods in this family —</w:t>
      </w:r>
      <w:r>
        <w:t xml:space="preserve"> </w:t>
      </w:r>
      <w:r>
        <w:rPr>
          <w:i/>
          <w:iCs/>
        </w:rPr>
        <w:t xml:space="preserve">TF–IDF</w:t>
      </w:r>
      <w:r>
        <w:t xml:space="preserve"> </w:t>
      </w:r>
      <w:r>
        <w:t xml:space="preserve">[5] and</w:t>
      </w:r>
      <w:r>
        <w:t xml:space="preserve"> </w:t>
      </w:r>
      <w:r>
        <w:rPr>
          <w:i/>
          <w:iCs/>
        </w:rPr>
        <w:t xml:space="preserve">BM25</w:t>
      </w:r>
      <w:r>
        <w:t xml:space="preserve"> </w:t>
      </w:r>
      <w:r>
        <w:t xml:space="preserve">[6] — weight individual terms by how distinctive they are within a corpus, so that a rare technical skill counts for more than a common word. Fuzzy-matching algorithms based on the</w:t>
      </w:r>
      <w:r>
        <w:t xml:space="preserve"> </w:t>
      </w:r>
      <w:r>
        <w:rPr>
          <w:i/>
          <w:iCs/>
        </w:rPr>
        <w:t xml:space="preserve">Levenshtein edit distance</w:t>
      </w:r>
      <w:r>
        <w:t xml:space="preserve"> </w:t>
      </w:r>
      <w:r>
        <w:t xml:space="preserve">[7] absorb minor surface variation, allowing</w:t>
      </w:r>
      <w:r>
        <w:t xml:space="preserve"> </w:t>
      </w:r>
      <w:r>
        <w:t xml:space="preserve">“Postgres”</w:t>
      </w:r>
      <w:r>
        <w:t xml:space="preserve"> </w:t>
      </w:r>
      <w:r>
        <w:t xml:space="preserve">and</w:t>
      </w:r>
      <w:r>
        <w:t xml:space="preserve"> </w:t>
      </w:r>
      <w:r>
        <w:t xml:space="preserve">“PostgreSQL”</w:t>
      </w:r>
      <w:r>
        <w:t xml:space="preserve"> </w:t>
      </w:r>
      <w:r>
        <w:t xml:space="preserve">to register as the same term. Skill-taxonomy lookups against ESCO or O</w:t>
      </w:r>
      <w:r>
        <w:rPr>
          <w:i/>
          <w:iCs/>
        </w:rPr>
        <w:t xml:space="preserve">NET [8, 9] provide the normalisation step described in the previous section. Section-weighted feature extraction recognises that a skill listed in a dedicated</w:t>
      </w:r>
      <w:r>
        <w:rPr>
          <w:i/>
          <w:iCs/>
        </w:rPr>
        <w:t xml:space="preserve"> </w:t>
      </w:r>
      <w:r>
        <w:t xml:space="preserve">Skills* section carries different meaning from the same skill mentioned in passing within a project description [18]. Together, these techniques form a scoring pipeline whose every step is inspectable, deterministic, and free of any external service dependency. The cost per analysis is dominated by string operations that take milliseconds on commodity hardware. The defendable claim, supported by decades of information-retrieval research, is that these techniques</w:t>
      </w:r>
      <w:r>
        <w:t xml:space="preserve"> </w:t>
      </w:r>
      <w:r>
        <w:rPr>
          <w:i/>
          <w:iCs/>
        </w:rPr>
        <w:t xml:space="preserve">already</w:t>
      </w:r>
      <w:r>
        <w:t xml:space="preserve"> </w:t>
      </w:r>
      <w:r>
        <w:t xml:space="preserve">capture most of what a recruiter scans for during the first pass over a resume.</w:t>
      </w:r>
    </w:p>
    <w:p>
      <w:pPr>
        <w:pStyle w:val="BodyText"/>
      </w:pPr>
      <w:r>
        <w:t xml:space="preserve">The second family is</w:t>
      </w:r>
      <w:r>
        <w:t xml:space="preserve"> </w:t>
      </w:r>
      <w:r>
        <w:rPr>
          <w:i/>
          <w:iCs/>
        </w:rPr>
        <w:t xml:space="preserve">language-model</w:t>
      </w:r>
      <w:r>
        <w:t xml:space="preserve">: large-language-model (LLM) services that read the resume and the job description as natural language, reason over them, and emit structured output describing the alignment. Recent research demonstrates that LLM-based agents reduce the time-to-decision in resume screening by an order of magnitude relative to manual review [16, 17, 19] and produce qualitatively richer feedback than keyword-overlap baselines. Resume2Vec [18] documents the same effect on a ranking task. The cost of these methods is a per-call charge to a third-party API, latency on the order of one to several seconds per analysis, and an opaque reasoning process that is difficult to audit.</w:t>
      </w:r>
    </w:p>
    <w:p>
      <w:pPr>
        <w:pStyle w:val="BodyText"/>
      </w:pPr>
      <w:r>
        <w:t xml:space="preserve">This dichotomy is the foundation of the comparative study reported in Chapter 4. The system described in this thesis exposes both modes through a single user-facing interface; an administrator can switch the analytical core between</w:t>
      </w:r>
      <w:r>
        <w:t xml:space="preserve"> </w:t>
      </w:r>
      <w:r>
        <w:rPr>
          <w:i/>
          <w:iCs/>
        </w:rPr>
        <w:t xml:space="preserve">fully heuristic</w:t>
      </w:r>
      <w:r>
        <w:t xml:space="preserve"> </w:t>
      </w:r>
      <w:r>
        <w:t xml:space="preserve">and</w:t>
      </w:r>
      <w:r>
        <w:t xml:space="preserve"> </w:t>
      </w:r>
      <w:r>
        <w:rPr>
          <w:i/>
          <w:iCs/>
        </w:rPr>
        <w:t xml:space="preserve">blended</w:t>
      </w:r>
      <w:r>
        <w:t xml:space="preserve"> </w:t>
      </w:r>
      <w:r>
        <w:t xml:space="preserve">(heuristic plus language model, weighted) at runtime, and the same input is then scored by both methods on demand. The research question is not whether one approach is universally better — both have well-understood failure modes — but rather:</w:t>
      </w:r>
      <w:r>
        <w:t xml:space="preserve"> </w:t>
      </w:r>
      <w:r>
        <w:rPr>
          <w:i/>
          <w:iCs/>
        </w:rPr>
        <w:t xml:space="preserve">under a controlled within-set characterisation on a synthetic, deterministically generated benchmark of resumes and job descriptions, how much of the discriminative power of the blended mode is recoverable from a strictly classical-IR heuristic, and at what cost ratio?</w:t>
      </w:r>
      <w:r>
        <w:t xml:space="preserve"> </w:t>
      </w:r>
      <w:r>
        <w:t xml:space="preserve">The deliberately within-set framing is important; the benchmark and its construction limits are documented in Section 4.1.4.</w:t>
      </w:r>
    </w:p>
    <w:p>
      <w:pPr>
        <w:pStyle w:val="BodyText"/>
      </w:pPr>
      <w:r>
        <w:t xml:space="preserve">The order in which the two modes were built deserves explicit mention. The implementation began with the blended mode as the primary path; the comparative study was added to the scope later, after the supervisor proposed the heuristic-only mode as a research dimension that would balance the engineering and research aspects of the thesis. The strong heuristic that Chapter 4 describes was therefore designed</w:t>
      </w:r>
      <w:r>
        <w:t xml:space="preserve"> </w:t>
      </w:r>
      <w:r>
        <w:rPr>
          <w:i/>
          <w:iCs/>
        </w:rPr>
        <w:t xml:space="preserve">after</w:t>
      </w:r>
      <w:r>
        <w:t xml:space="preserve"> </w:t>
      </w:r>
      <w:r>
        <w:t xml:space="preserve">the blended pipeline already existed — a sequencing detail flagged here because it shaped the heuristic toward the specific decisions the language model was already making in production rather than toward an idealised retrieval-research baseline.</w:t>
      </w:r>
    </w:p>
    <w:bookmarkEnd w:id="20"/>
    <w:bookmarkStart w:id="21" w:name="purpose-of-the-thesis"/>
    <w:p>
      <w:pPr>
        <w:pStyle w:val="Heading2"/>
      </w:pPr>
      <w:r>
        <w:rPr>
          <w:b/>
          <w:i w:val="0"/>
          <w:sz w:val="28"/>
        </w:rPr>
        <w:t xml:space="preserve">1.5 Purpose of the thesis</w:t>
      </w:r>
    </w:p>
    <w:p>
      <w:pPr>
        <w:pStyle w:val="FirstParagraph"/>
      </w:pPr>
      <w:r>
        <w:t xml:space="preserve">The objective of the thesis is to develop and evaluate a system that helps users choose suitable career paths based on their skills, experience, and current job-market trends, generating personalised career suggestions through a combination of classical information-retrieval methods and large-language-model inference.</w:t>
      </w:r>
    </w:p>
    <w:p>
      <w:pPr>
        <w:pStyle w:val="BodyText"/>
      </w:pPr>
      <w:r>
        <w:t xml:space="preserve">The scope of the thesis follows the application approved in the</w:t>
      </w:r>
      <w:r>
        <w:t xml:space="preserve"> </w:t>
      </w:r>
      <w:r>
        <w:rPr>
          <w:i/>
          <w:iCs/>
        </w:rPr>
        <w:t xml:space="preserve">Archive of Diploma Theses</w:t>
      </w:r>
      <w:r>
        <w:t xml:space="preserve"> </w:t>
      </w:r>
      <w:r>
        <w:t xml:space="preserve">on 3 February 2026 and consists of two parallel aspects.</w:t>
      </w:r>
    </w:p>
    <w:p>
      <w:pPr>
        <w:pStyle w:val="BodyText"/>
      </w:pPr>
      <w:r>
        <w:t xml:space="preserve">The</w:t>
      </w:r>
      <w:r>
        <w:t xml:space="preserve"> </w:t>
      </w:r>
      <w:r>
        <w:rPr>
          <w:b/>
          <w:bCs/>
        </w:rPr>
        <w:t xml:space="preserve">engineering aspect</w:t>
      </w:r>
      <w:r>
        <w:t xml:space="preserve"> </w:t>
      </w:r>
      <w:r>
        <w:t xml:space="preserve">covers the design and implementation of a deployed web application that integrates six complementary tools (Resume Analyzer, Job Match, Career Path, Cover Letter, Interview Q&amp;A, and Portfolio Planner). The implementation comprises a Python/FastAPI backend, a React/TanStack Start frontend, a relational data model for users and tool-run history, integration with Google Vertex AI Gemini 2.5 Flash for language-model inference, deployment to Railway with a continuous-deployment pipeline, and operational observability through Sentry and Railway metrics.</w:t>
      </w:r>
    </w:p>
    <w:p>
      <w:pPr>
        <w:pStyle w:val="BodyText"/>
      </w:pPr>
      <w:r>
        <w:t xml:space="preserve">The</w:t>
      </w:r>
      <w:r>
        <w:t xml:space="preserve"> </w:t>
      </w:r>
      <w:r>
        <w:rPr>
          <w:b/>
          <w:bCs/>
        </w:rPr>
        <w:t xml:space="preserve">research aspect</w:t>
      </w:r>
      <w:r>
        <w:t xml:space="preserve"> </w:t>
      </w:r>
      <w:r>
        <w:t xml:space="preserve">covers a controlled comparative study of two scoring methods. The system supports a</w:t>
      </w:r>
      <w:r>
        <w:t xml:space="preserve"> </w:t>
      </w:r>
      <w:r>
        <w:rPr>
          <w:i/>
          <w:iCs/>
        </w:rPr>
        <w:t xml:space="preserve">blended mode</w:t>
      </w:r>
      <w:r>
        <w:t xml:space="preserve"> </w:t>
      </w:r>
      <w:r>
        <w:t xml:space="preserve">(heuristic 40%, language model 60%) and a</w:t>
      </w:r>
      <w:r>
        <w:t xml:space="preserve"> </w:t>
      </w:r>
      <w:r>
        <w:rPr>
          <w:i/>
          <w:iCs/>
        </w:rPr>
        <w:t xml:space="preserve">fully heuristic mode</w:t>
      </w:r>
      <w:r>
        <w:t xml:space="preserve"> </w:t>
      </w:r>
      <w:r>
        <w:t xml:space="preserve">grounded in TF–IDF–weighted keyword evidence, ESCO-aligned skill normalisation, fuzzy matching against a curated skill list, section-weighted features, and quantification detection. A small evaluation harness runs both modes against a curated</w:t>
      </w:r>
      <w:r>
        <w:t xml:space="preserve"> </w:t>
      </w:r>
      <w:r>
        <w:rPr>
          <w:i/>
          <w:iCs/>
        </w:rPr>
        <w:t xml:space="preserve">synthetic single-author</w:t>
      </w:r>
      <w:r>
        <w:t xml:space="preserve"> </w:t>
      </w:r>
      <w:r>
        <w:t xml:space="preserve">dataset of resumes and job descriptions and reports four metric families — score agreement, score distribution, latency, and per-call cost — with the goal of characterising the trade-offs</w:t>
      </w:r>
      <w:r>
        <w:t xml:space="preserve"> </w:t>
      </w:r>
      <w:r>
        <w:rPr>
          <w:i/>
          <w:iCs/>
        </w:rPr>
        <w:t xml:space="preserve">within that evaluation set</w:t>
      </w:r>
      <w:r>
        <w:t xml:space="preserve"> </w:t>
      </w:r>
      <w:r>
        <w:t xml:space="preserve">in a way that informs both the deployment of this specific system and the design of comparable systems in future research.</w:t>
      </w:r>
    </w:p>
    <w:p>
      <w:pPr>
        <w:pStyle w:val="BodyText"/>
      </w:pPr>
      <w:r>
        <w:t xml:space="preserve">The thesis explicitly does not attempt to establish that one scoring method is universally superior. The deliberate choice to include both modes as runtime-switchable configurations, rather than to commit to a single approach, is itself the most defendable answer to the design question, because it preserves the option to fall back to the deterministic mode in any context where third-party LLM access is unavailable, prohibitively costly, or insufficiently auditable.</w:t>
      </w:r>
    </w:p>
    <w:p>
      <w:pPr>
        <w:pStyle w:val="BodyText"/>
      </w:pPr>
      <w:r>
        <w:t xml:space="preserve">The dual-mode design followed from a more pragmatic motivation than would have been predicted at project start. The</w:t>
      </w:r>
      <w:r>
        <w:t xml:space="preserve"> </w:t>
      </w:r>
      <w:r>
        <w:rPr>
          <w:i/>
          <w:iCs/>
        </w:rPr>
        <w:t xml:space="preserve">retry-with-jitter</w:t>
      </w:r>
      <w:r>
        <w:t xml:space="preserve"> </w:t>
      </w:r>
      <w:r>
        <w:t xml:space="preserve">policy in the LLM client (described in Section 3.1.1, with delays at 5, 10, 20 and 40 seconds plus a small random offset) absorbs almost all transient failures, but during early development a small number of cascades occurred where consecutive retries still failed and the user-facing tool surfaced a generic error. Wiring up the heuristic</w:t>
      </w:r>
      <w:r>
        <w:t xml:space="preserve"> </w:t>
      </w:r>
      <w:r>
        <w:rPr>
          <w:i/>
          <w:iCs/>
        </w:rPr>
        <w:t xml:space="preserve">fallback policy</w:t>
      </w:r>
      <w:r>
        <w:t xml:space="preserve"> </w:t>
      </w:r>
      <w:r>
        <w:t xml:space="preserve">so that those cases produced a still-useful result accompanied by an explicit confidence note was a small change in code but a meaningful improvement in perceived reliability. Once that fallback path existed, the comparative study reported in Chapter 4 became a natural extension of it: if the deterministic mode is good enough to ship as a safety net, it deserves a measured comparison against the LLM-augmented mode it falls back from rather than only being treated as an emergency path.</w:t>
      </w:r>
    </w:p>
    <w:bookmarkEnd w:id="21"/>
    <w:bookmarkStart w:id="22" w:name="structure-of-the-thesis"/>
    <w:p>
      <w:pPr>
        <w:pStyle w:val="Heading2"/>
      </w:pPr>
      <w:r>
        <w:rPr>
          <w:b/>
          <w:i w:val="0"/>
          <w:sz w:val="28"/>
        </w:rPr>
        <w:t xml:space="preserve">1.6 Structure of the thesis</w:t>
      </w:r>
    </w:p>
    <w:p>
      <w:pPr>
        <w:pStyle w:val="FirstParagraph"/>
      </w:pPr>
      <w:r>
        <w:t xml:space="preserve">The remainder of the thesis is organised as follows.</w:t>
      </w:r>
    </w:p>
    <w:p>
      <w:pPr>
        <w:pStyle w:val="BodyText"/>
      </w:pPr>
      <w:r>
        <w:rPr>
          <w:b/>
          <w:bCs/>
        </w:rPr>
        <w:t xml:space="preserve">Chapter 2</w:t>
      </w:r>
      <w:r>
        <w:t xml:space="preserve"> </w:t>
      </w:r>
      <w:r>
        <w:t xml:space="preserve">describes the architecture of the system. It presents the functional and non-functional requirements, justifies the chosen technology stack (FastAPI, React 19, TanStack Start, PostgreSQL, Vertex AI), and explains the structure of the backend (router/service/pipeline layering), the frontend (file-based routing, session state, and the resume-carry mechanism that propagates context across tools), and the persistence model (users, tool runs, refresh-token chains). The chapter closes with the deployment topology on Railway and the choice of in-memory caching with a planned upgrade path to Redis.</w:t>
      </w:r>
    </w:p>
    <w:p>
      <w:pPr>
        <w:pStyle w:val="BodyText"/>
      </w:pPr>
      <w:r>
        <w:rPr>
          <w:b/>
          <w:bCs/>
        </w:rPr>
        <w:t xml:space="preserve">Chapter 3</w:t>
      </w:r>
      <w:r>
        <w:t xml:space="preserve"> </w:t>
      </w:r>
      <w:r>
        <w:t xml:space="preserve">describes the implementation of each of the six tools, highlighting the cross-cutting concerns that are shared by all of them: the unified</w:t>
      </w:r>
      <w:r>
        <w:t xml:space="preserve"> </w:t>
      </w:r>
      <w:r>
        <w:rPr>
          <w:rStyle w:val="VerbatimChar"/>
        </w:rPr>
        <w:t xml:space="preserve">tool_pipeline</w:t>
      </w:r>
      <w:r>
        <w:t xml:space="preserve"> </w:t>
      </w:r>
      <w:r>
        <w:t xml:space="preserve">(sanitise → cache → service → persist → respond), prompt construction, structured-output validation against a Pydantic schema, retry and fallback policies, and the heuristic prepass that produces a deterministic baseline before any LLM call is dispatched.</w:t>
      </w:r>
    </w:p>
    <w:p>
      <w:pPr>
        <w:pStyle w:val="BodyText"/>
      </w:pPr>
      <w:r>
        <w:rPr>
          <w:b/>
          <w:bCs/>
        </w:rPr>
        <w:t xml:space="preserve">Chapter 4</w:t>
      </w:r>
      <w:r>
        <w:t xml:space="preserve"> </w:t>
      </w:r>
      <w:r>
        <w:t xml:space="preserve">presents the conducted study. Section 4.1 introduces the methodology and the curated evaluation dataset. Section 4.2 specifies the implementation of the strong heuristic, including the TF–IDF and BM25 weighting, the ESCO skill subset, and the fuzzy-matching configuration. Section 4.3 reports the comparative results for the two scoring modes on score agreement, distribution shape, latency, and cost. Section 4.4 discusses the limitations of the study — single-subject evaluation, English-only resumes, and the dependence of the LLM mode on a single model provider.</w:t>
      </w:r>
    </w:p>
    <w:p>
      <w:pPr>
        <w:pStyle w:val="BodyText"/>
      </w:pPr>
      <w:r>
        <w:rPr>
          <w:b/>
          <w:bCs/>
        </w:rPr>
        <w:t xml:space="preserve">Chapter 5</w:t>
      </w:r>
      <w:r>
        <w:t xml:space="preserve"> </w:t>
      </w:r>
      <w:r>
        <w:t xml:space="preserve">concludes the thesis. It summarises the contributions, characterises the limitations, and outlines three directions for future development: a sentence-transformer–based intermediate tier between the strict heuristic and the LLM (in the lineage of Sentence-BERT [20]), integration with the Polish-language portion of ESCO, and a retrieval-augmented variant of the blended mode that grounds the language-model output in a corpus of curated, source-attributed labour-market documents [25].</w:t>
      </w:r>
    </w:p>
    <w:p>
      <w:pPr>
        <w:pStyle w:val="BodyText"/>
      </w:pPr>
      <w:r>
        <w:t xml:space="preserve">The bibliography lists the cited works grouped by topic. Appendix A reproduces the most important source listings of the heuristic implementation and the cross-cutting tool pipeline. Appendix B documents the synthetic evaluation dataset, including the synthesis procedure and the per-track pair distribution. Appendix C provides four production screenshots illustrating the landing page, the Resume Analyzer (input and blended-mode result), and the Job Match result, captured against the live deployment of the system on the day of submission. Appendix D records the configuration reference for the deployed backend.</w:t>
      </w:r>
    </w:p>
    <w:bookmarkEnd w:id="22"/>
    <w:bookmarkEnd w:id="23"/>
    <w:bookmarkStart w:id="49" w:name="chapter-2-system-architecture"/>
    <w:p>
      <w:pPr>
        <w:pStyle w:val="Heading1"/>
        <w:pageBreakBefore/>
        <w:spacing w:before="0" w:after="240"/>
      </w:pPr>
      <w:r>
        <w:rPr>
          <w:b/>
          <w:i w:val="0"/>
          <w:sz w:val="36"/>
        </w:rPr>
        <w:t xml:space="preserve">Chapter 2 — System architecture</w:t>
      </w:r>
    </w:p>
    <w:p>
      <w:pPr>
        <w:pStyle w:val="FirstParagraph"/>
      </w:pPr>
      <w:r>
        <w:t xml:space="preserve">This chapter describes the architecture of the system whose evaluation is the subject of the thesis. The chapter is organised in the same order in which design decisions were made during implementation: requirements first, then the choice of technology stack, then the backend, the frontend, the persistence model, and finally the deployment topology that ties the running components together. Where a decision could plausibly have been made differently, the rationale is stated explicitly so that the reasoning is auditable rather than implicit.</w:t>
      </w:r>
    </w:p>
    <w:bookmarkStart w:id="26" w:name="X543fc3ee69d8b9eebfbf21368042f80b38ec856"/>
    <w:p>
      <w:pPr>
        <w:pStyle w:val="Heading2"/>
      </w:pPr>
      <w:r>
        <w:rPr>
          <w:b/>
          <w:i w:val="0"/>
          <w:sz w:val="28"/>
        </w:rPr>
        <w:t xml:space="preserve">2.1 Functional and non-functional requirements</w:t>
      </w:r>
    </w:p>
    <w:p>
      <w:pPr>
        <w:pStyle w:val="FirstParagraph"/>
      </w:pPr>
      <w:r>
        <w:t xml:space="preserve">The system was designed to satisfy six functional requirements, each corresponding to one of the user-facing tools, and seven non-functional requirements that constrain how those tools are delivered.</w:t>
      </w:r>
    </w:p>
    <w:bookmarkStart w:id="24" w:name="functional-requirements"/>
    <w:p>
      <w:pPr>
        <w:pStyle w:val="Heading3"/>
      </w:pPr>
      <w:r>
        <w:rPr>
          <w:b/>
          <w:i/>
          <w:sz w:val="24"/>
        </w:rPr>
        <w:t xml:space="preserve">2.1.1 Functional requirements</w:t>
      </w:r>
    </w:p>
    <w:tbl>
      <w:tblPr>
        <w:tblStyle w:val="Table"/>
        <w:tblW w:type="pct" w:w="5000"/>
        <w:tblLayout w:type="fixed"/>
        <w:tblLook w:firstRow="1" w:lastRow="0" w:firstColumn="0" w:lastColumn="0" w:noHBand="0" w:noVBand="0" w:val="0020"/>
      </w:tblPr>
      <w:tblGrid>
        <w:gridCol w:w="1056"/>
        <w:gridCol w:w="1584"/>
        <w:gridCol w:w="5280"/>
      </w:tblGrid>
      <w:tr>
        <w:trPr>
          <w:tblHeader w:val="on"/>
        </w:trPr>
        <w:tc>
          <w:tcPr/>
          <w:p>
            <w:pPr>
              <w:pStyle w:val="Compact"/>
            </w:pPr>
            <w:r>
              <w:t xml:space="preserve">ID</w:t>
            </w:r>
          </w:p>
        </w:tc>
        <w:tc>
          <w:tcPr/>
          <w:p>
            <w:pPr>
              <w:pStyle w:val="Compact"/>
            </w:pPr>
            <w:r>
              <w:t xml:space="preserve">Tool</w:t>
            </w:r>
          </w:p>
        </w:tc>
        <w:tc>
          <w:tcPr/>
          <w:p>
            <w:pPr>
              <w:pStyle w:val="Compact"/>
            </w:pPr>
            <w:r>
              <w:t xml:space="preserve">Required behaviour</w:t>
            </w:r>
          </w:p>
        </w:tc>
      </w:tr>
      <w:tr>
        <w:tc>
          <w:tcPr/>
          <w:p>
            <w:pPr>
              <w:pStyle w:val="Compact"/>
            </w:pPr>
            <w:r>
              <w:t xml:space="preserve">F1</w:t>
            </w:r>
          </w:p>
        </w:tc>
        <w:tc>
          <w:tcPr/>
          <w:p>
            <w:pPr>
              <w:pStyle w:val="Compact"/>
            </w:pPr>
            <w:r>
              <w:t xml:space="preserve">Resume Analyzer</w:t>
            </w:r>
          </w:p>
        </w:tc>
        <w:tc>
          <w:tcPr/>
          <w:p>
            <w:pPr>
              <w:pStyle w:val="Compact"/>
            </w:pPr>
            <w:r>
              <w:t xml:space="preserve">Accept a free-text or uploaded resume, return a structured assessment with overall score, per-category sub-scores, identified issues, prioritised actions, and detected strengths.</w:t>
            </w:r>
          </w:p>
        </w:tc>
      </w:tr>
      <w:tr>
        <w:tc>
          <w:tcPr/>
          <w:p>
            <w:pPr>
              <w:pStyle w:val="Compact"/>
            </w:pPr>
            <w:r>
              <w:t xml:space="preserve">F2</w:t>
            </w:r>
          </w:p>
        </w:tc>
        <w:tc>
          <w:tcPr/>
          <w:p>
            <w:pPr>
              <w:pStyle w:val="Compact"/>
            </w:pPr>
            <w:r>
              <w:t xml:space="preserve">Job Match</w:t>
            </w:r>
          </w:p>
        </w:tc>
        <w:tc>
          <w:tcPr/>
          <w:p>
            <w:pPr>
              <w:pStyle w:val="Compact"/>
            </w:pPr>
            <w:r>
              <w:t xml:space="preserve">Accept a resume and a job description (text or URL), return a match score, matched keywords, missing keywords, a recruiter-style verdict, and a list of evidence-grounded action items.</w:t>
            </w:r>
          </w:p>
        </w:tc>
      </w:tr>
      <w:tr>
        <w:tc>
          <w:tcPr/>
          <w:p>
            <w:pPr>
              <w:pStyle w:val="Compact"/>
            </w:pPr>
            <w:r>
              <w:t xml:space="preserve">F3</w:t>
            </w:r>
          </w:p>
        </w:tc>
        <w:tc>
          <w:tcPr/>
          <w:p>
            <w:pPr>
              <w:pStyle w:val="Compact"/>
            </w:pPr>
            <w:r>
              <w:t xml:space="preserve">Career Path</w:t>
            </w:r>
          </w:p>
        </w:tc>
        <w:tc>
          <w:tcPr/>
          <w:p>
            <w:pPr>
              <w:pStyle w:val="Compact"/>
            </w:pPr>
            <w:r>
              <w:t xml:space="preserve">Accept a resume and optional preferences, return a ranked list of suggested career paths with rationale, requisite skills, and a notional progression timeline.</w:t>
            </w:r>
          </w:p>
        </w:tc>
      </w:tr>
      <w:tr>
        <w:tc>
          <w:tcPr/>
          <w:p>
            <w:pPr>
              <w:pStyle w:val="Compact"/>
            </w:pPr>
            <w:r>
              <w:t xml:space="preserve">F4</w:t>
            </w:r>
          </w:p>
        </w:tc>
        <w:tc>
          <w:tcPr/>
          <w:p>
            <w:pPr>
              <w:pStyle w:val="Compact"/>
            </w:pPr>
            <w:r>
              <w:t xml:space="preserve">Cover Letter</w:t>
            </w:r>
          </w:p>
        </w:tc>
        <w:tc>
          <w:tcPr/>
          <w:p>
            <w:pPr>
              <w:pStyle w:val="Compact"/>
            </w:pPr>
            <w:r>
              <w:t xml:space="preserve">Accept a resume and a job description, return a tailored cover letter with explicit structural sections that the user can copy and adapt.</w:t>
            </w:r>
          </w:p>
        </w:tc>
      </w:tr>
      <w:tr>
        <w:tc>
          <w:tcPr/>
          <w:p>
            <w:pPr>
              <w:pStyle w:val="Compact"/>
            </w:pPr>
            <w:r>
              <w:t xml:space="preserve">F5</w:t>
            </w:r>
          </w:p>
        </w:tc>
        <w:tc>
          <w:tcPr/>
          <w:p>
            <w:pPr>
              <w:pStyle w:val="Compact"/>
            </w:pPr>
            <w:r>
              <w:t xml:space="preserve">Interview Q&amp;A</w:t>
            </w:r>
          </w:p>
        </w:tc>
        <w:tc>
          <w:tcPr/>
          <w:p>
            <w:pPr>
              <w:pStyle w:val="Compact"/>
            </w:pPr>
            <w:r>
              <w:t xml:space="preserve">Accept a resume and a job description, return a curated list of likely interview questions clustered by category (behavioural, technical, role-specific), each with a coaching note.</w:t>
            </w:r>
          </w:p>
        </w:tc>
      </w:tr>
      <w:tr>
        <w:tc>
          <w:tcPr/>
          <w:p>
            <w:pPr>
              <w:pStyle w:val="Compact"/>
            </w:pPr>
            <w:r>
              <w:t xml:space="preserve">F6</w:t>
            </w:r>
          </w:p>
        </w:tc>
        <w:tc>
          <w:tcPr/>
          <w:p>
            <w:pPr>
              <w:pStyle w:val="Compact"/>
            </w:pPr>
            <w:r>
              <w:t xml:space="preserve">Portfolio Planner</w:t>
            </w:r>
          </w:p>
        </w:tc>
        <w:tc>
          <w:tcPr/>
          <w:p>
            <w:pPr>
              <w:pStyle w:val="Compact"/>
            </w:pPr>
            <w:r>
              <w:t xml:space="preserve">Accept a resume and a target role, return a prioritised list of skill gaps and concrete artefact ideas (project briefs, contributions, certifications) that would close those gaps.</w:t>
            </w:r>
          </w:p>
        </w:tc>
      </w:tr>
    </w:tbl>
    <w:p>
      <w:pPr>
        <w:pStyle w:val="BodyText"/>
      </w:pPr>
      <w:r>
        <w:t xml:space="preserve">The same uploaded resume must serve as input across all six tools without re-entry. Tool runs must be re-runnable (regeneration must produce a new history record rather than overwriting the original), and a previously generated result must be referenceable as context when invoking another tool.</w:t>
      </w:r>
    </w:p>
    <w:bookmarkEnd w:id="24"/>
    <w:bookmarkStart w:id="25" w:name="non-functional-requirements"/>
    <w:p>
      <w:pPr>
        <w:pStyle w:val="Heading3"/>
      </w:pPr>
      <w:r>
        <w:rPr>
          <w:b/>
          <w:i/>
          <w:sz w:val="24"/>
        </w:rPr>
        <w:t xml:space="preserve">2.1.2 Non-functional requirements</w:t>
      </w:r>
    </w:p>
    <w:p>
      <w:pPr>
        <w:pStyle w:val="FirstParagraph"/>
      </w:pPr>
      <w:r>
        <w:t xml:space="preserve">The non-functional requirements were derived from the practical constraints of a single-developer, thesis-scoped deployment.</w:t>
      </w:r>
    </w:p>
    <w:p>
      <w:pPr>
        <w:pStyle w:val="Compact"/>
        <w:numPr>
          <w:ilvl w:val="0"/>
          <w:numId w:val="1001"/>
        </w:numPr>
      </w:pPr>
      <w:r>
        <w:rPr>
          <w:b/>
          <w:bCs/>
        </w:rPr>
        <w:t xml:space="preserve">N1 — Latency.</w:t>
      </w:r>
      <w:r>
        <w:t xml:space="preserve"> </w:t>
      </w:r>
      <w:r>
        <w:t xml:space="preserve">Two targets are stated separately because the analytical core supports two scoring modes (Section 4.2.9) whose cost models differ by two orders of magnitude.</w:t>
      </w:r>
    </w:p>
    <w:p>
      <w:pPr>
        <w:pStyle w:val="Compact"/>
        <w:numPr>
          <w:ilvl w:val="1"/>
          <w:numId w:val="1002"/>
        </w:numPr>
      </w:pPr>
      <w:r>
        <w:rPr>
          <w:b/>
          <w:bCs/>
        </w:rPr>
        <w:t xml:space="preserve">N1a (heuristic-only path):</w:t>
      </w:r>
      <w:r>
        <w:t xml:space="preserve"> </w:t>
      </w:r>
      <w:r>
        <w:t xml:space="preserve">end-to-end tool latency at the 95th percentile under nominal load should remain below 50 ms; everything in the path is local string processing on commodity hardware.</w:t>
      </w:r>
    </w:p>
    <w:p>
      <w:pPr>
        <w:pStyle w:val="Compact"/>
        <w:numPr>
          <w:ilvl w:val="1"/>
          <w:numId w:val="1002"/>
        </w:numPr>
      </w:pPr>
      <w:r>
        <w:rPr>
          <w:b/>
          <w:bCs/>
        </w:rPr>
        <w:t xml:space="preserve">N1b (blended LLM path):</w:t>
      </w:r>
      <w:r>
        <w:t xml:space="preserve"> </w:t>
      </w:r>
      <w:r>
        <w:t xml:space="preserve">end-to-end tool latency at the 95th percentile under nominal load should remain below 25 s on the cold path, dominated by the upstream Gemini structured-output call; production cached-path latency is materially lower as reported in Section 3.9. The original single-target 95th-percentile-under-five-seconds figure that an earlier draft of this section stated cannot be met by the cold-path blended mode and was split into the two targets above to match the measured behaviour reported in Section 4.3.3.</w:t>
      </w:r>
    </w:p>
    <w:p>
      <w:pPr>
        <w:pStyle w:val="Compact"/>
        <w:numPr>
          <w:ilvl w:val="0"/>
          <w:numId w:val="1001"/>
        </w:numPr>
      </w:pPr>
      <w:r>
        <w:rPr>
          <w:b/>
          <w:bCs/>
        </w:rPr>
        <w:t xml:space="preserve">N2 — Cost ceiling.</w:t>
      </w:r>
      <w:r>
        <w:t xml:space="preserve"> </w:t>
      </w:r>
      <w:r>
        <w:t xml:space="preserve">Per-call LLM cost is bounded by the choice of Gemini 2.5 Flash, a low-cost variant of the model family. The fully-heuristic mode introduced in Chapter 4 reduces this to zero on the LLM side.</w:t>
      </w:r>
    </w:p>
    <w:p>
      <w:pPr>
        <w:pStyle w:val="Compact"/>
        <w:numPr>
          <w:ilvl w:val="0"/>
          <w:numId w:val="1001"/>
        </w:numPr>
      </w:pPr>
      <w:r>
        <w:rPr>
          <w:b/>
          <w:bCs/>
        </w:rPr>
        <w:t xml:space="preserve">N3 — Availability.</w:t>
      </w:r>
      <w:r>
        <w:t xml:space="preserve"> </w:t>
      </w:r>
      <w:r>
        <w:t xml:space="preserve">A degraded but useful service is preferred over a hard failure. When the LLM call fails or times out, analytical tools (Resume, Job Match) fall back to a heuristic-only response and surface a</w:t>
      </w:r>
      <w:r>
        <w:t xml:space="preserve"> </w:t>
      </w:r>
      <w:r>
        <w:rPr>
          <w:rStyle w:val="VerbatimChar"/>
        </w:rPr>
        <w:t xml:space="preserve">confidence_note</w:t>
      </w:r>
      <w:r>
        <w:t xml:space="preserve"> </w:t>
      </w:r>
      <w:r>
        <w:t xml:space="preserve">to the user. Generative tools (Cover Letter, Interview Q&amp;A) fail loudly with a structured error rather than producing fabricated content.</w:t>
      </w:r>
    </w:p>
    <w:p>
      <w:pPr>
        <w:pStyle w:val="Compact"/>
        <w:numPr>
          <w:ilvl w:val="0"/>
          <w:numId w:val="1001"/>
        </w:numPr>
      </w:pPr>
      <w:r>
        <w:rPr>
          <w:b/>
          <w:bCs/>
        </w:rPr>
        <w:t xml:space="preserve">N4 — Auditability.</w:t>
      </w:r>
      <w:r>
        <w:t xml:space="preserve"> </w:t>
      </w:r>
      <w:r>
        <w:t xml:space="preserve">Every tool invocation produces a persistent record with the inputs (hashed), the output (full), and the timing and access mode. This supports the experimental work in Chapter 4 and gives the operator a forensic trail.</w:t>
      </w:r>
    </w:p>
    <w:p>
      <w:pPr>
        <w:pStyle w:val="Compact"/>
        <w:numPr>
          <w:ilvl w:val="0"/>
          <w:numId w:val="1001"/>
        </w:numPr>
      </w:pPr>
      <w:r>
        <w:rPr>
          <w:b/>
          <w:bCs/>
        </w:rPr>
        <w:t xml:space="preserve">N5 — Privacy.</w:t>
      </w:r>
      <w:r>
        <w:t xml:space="preserve"> </w:t>
      </w:r>
      <w:r>
        <w:t xml:space="preserve">No third-party analytics or advertising scripts are loaded on a logged-in user’s screen. Personal data is encrypted in transit and at rest by the managed PostgreSQL provider; passwords are stored as bcrypt hashes only.</w:t>
      </w:r>
    </w:p>
    <w:p>
      <w:pPr>
        <w:pStyle w:val="Compact"/>
        <w:numPr>
          <w:ilvl w:val="0"/>
          <w:numId w:val="1001"/>
        </w:numPr>
      </w:pPr>
      <w:r>
        <w:rPr>
          <w:b/>
          <w:bCs/>
        </w:rPr>
        <w:t xml:space="preserve">N6 — Single deployment surface.</w:t>
      </w:r>
      <w:r>
        <w:t xml:space="preserve"> </w:t>
      </w:r>
      <w:r>
        <w:t xml:space="preserve">The thesis-scoped deployment runs as a single Railway project that bundles the frontend service, the backend service, and a managed Postgres add-on. The two application services share a single hostname through path-based routing, so externally the system presents itself as one origin. There is no separate microservice architecture, no message broker, and no container orchestrator beyond what Railway provides natively.</w:t>
      </w:r>
    </w:p>
    <w:p>
      <w:pPr>
        <w:pStyle w:val="Compact"/>
        <w:numPr>
          <w:ilvl w:val="0"/>
          <w:numId w:val="1001"/>
        </w:numPr>
      </w:pPr>
      <w:r>
        <w:rPr>
          <w:b/>
          <w:bCs/>
        </w:rPr>
        <w:t xml:space="preserve">N7 — Demonstrability.</w:t>
      </w:r>
      <w:r>
        <w:t xml:space="preserve"> </w:t>
      </w:r>
      <w:r>
        <w:t xml:space="preserve">The running system must be operable and demonstrable from a laptop without specialised tooling. Both modes of the analytical core (blended and fully heuristic) must be switchable at runtime through an administrative interface, so that the comparative study reported in Chapter 4 can be reproduced live during the diploma defence.</w:t>
      </w:r>
    </w:p>
    <w:bookmarkEnd w:id="25"/>
    <w:bookmarkEnd w:id="26"/>
    <w:bookmarkStart w:id="27" w:name="technology-stack-and-rationale"/>
    <w:p>
      <w:pPr>
        <w:pStyle w:val="Heading2"/>
      </w:pPr>
      <w:r>
        <w:rPr>
          <w:b/>
          <w:i w:val="0"/>
          <w:sz w:val="28"/>
        </w:rPr>
        <w:t xml:space="preserve">2.2 Technology stack and rationale</w:t>
      </w:r>
    </w:p>
    <w:p>
      <w:pPr>
        <w:pStyle w:val="FirstParagraph"/>
      </w:pPr>
      <w:r>
        <w:t xml:space="preserve">The technology stack is summarised in Table 2.1.</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Layer</w:t>
            </w:r>
          </w:p>
        </w:tc>
        <w:tc>
          <w:tcPr/>
          <w:p>
            <w:pPr>
              <w:pStyle w:val="Compact"/>
            </w:pPr>
            <w:r>
              <w:t xml:space="preserve">Choice</w:t>
            </w:r>
          </w:p>
        </w:tc>
        <w:tc>
          <w:tcPr/>
          <w:p>
            <w:pPr>
              <w:pStyle w:val="Compact"/>
            </w:pPr>
            <w:r>
              <w:t xml:space="preserve">Rationale</w:t>
            </w:r>
          </w:p>
        </w:tc>
      </w:tr>
      <w:tr>
        <w:tc>
          <w:tcPr/>
          <w:p>
            <w:pPr>
              <w:pStyle w:val="Compact"/>
            </w:pPr>
            <w:r>
              <w:t xml:space="preserve">Backend framework</w:t>
            </w:r>
          </w:p>
        </w:tc>
        <w:tc>
          <w:tcPr/>
          <w:p>
            <w:pPr>
              <w:pStyle w:val="Compact"/>
            </w:pPr>
            <w:r>
              <w:t xml:space="preserve">FastAPI 0.115</w:t>
            </w:r>
          </w:p>
        </w:tc>
        <w:tc>
          <w:tcPr/>
          <w:p>
            <w:pPr>
              <w:pStyle w:val="Compact"/>
            </w:pPr>
            <w:r>
              <w:t xml:space="preserve">Python-native, asynchronous, automatic OpenAPI generation, Pydantic-driven schema validation.</w:t>
            </w:r>
          </w:p>
        </w:tc>
      </w:tr>
      <w:tr>
        <w:tc>
          <w:tcPr/>
          <w:p>
            <w:pPr>
              <w:pStyle w:val="Compact"/>
            </w:pPr>
            <w:r>
              <w:t xml:space="preserve">ORM and migrations</w:t>
            </w:r>
          </w:p>
        </w:tc>
        <w:tc>
          <w:tcPr/>
          <w:p>
            <w:pPr>
              <w:pStyle w:val="Compact"/>
            </w:pPr>
            <w:r>
              <w:t xml:space="preserve">SQLAlchemy 2.0 + Alembic</w:t>
            </w:r>
          </w:p>
        </w:tc>
        <w:tc>
          <w:tcPr/>
          <w:p>
            <w:pPr>
              <w:pStyle w:val="Compact"/>
            </w:pPr>
            <w:r>
              <w:t xml:space="preserve">Mature, type-safe in 2.0, integrates with FastAPI’s dependency injection.</w:t>
            </w:r>
          </w:p>
        </w:tc>
      </w:tr>
      <w:tr>
        <w:tc>
          <w:tcPr/>
          <w:p>
            <w:pPr>
              <w:pStyle w:val="Compact"/>
            </w:pPr>
            <w:r>
              <w:t xml:space="preserve">Database</w:t>
            </w:r>
          </w:p>
        </w:tc>
        <w:tc>
          <w:tcPr/>
          <w:p>
            <w:pPr>
              <w:pStyle w:val="Compact"/>
            </w:pPr>
            <w:r>
              <w:t xml:space="preserve">PostgreSQL 16 (Railway managed)</w:t>
            </w:r>
          </w:p>
        </w:tc>
        <w:tc>
          <w:tcPr/>
          <w:p>
            <w:pPr>
              <w:pStyle w:val="Compact"/>
            </w:pPr>
            <w:r>
              <w:t xml:space="preserve">Single-node managed Postgres is sufficient for the workload; no sharding required.</w:t>
            </w:r>
          </w:p>
        </w:tc>
      </w:tr>
      <w:tr>
        <w:tc>
          <w:tcPr/>
          <w:p>
            <w:pPr>
              <w:pStyle w:val="Compact"/>
            </w:pPr>
            <w:r>
              <w:t xml:space="preserve">LLM provider</w:t>
            </w:r>
          </w:p>
        </w:tc>
        <w:tc>
          <w:tcPr/>
          <w:p>
            <w:pPr>
              <w:pStyle w:val="Compact"/>
            </w:pPr>
            <w:r>
              <w:t xml:space="preserve">Google Vertex AI Gemini 2.5 Flash</w:t>
            </w:r>
          </w:p>
        </w:tc>
        <w:tc>
          <w:tcPr/>
          <w:p>
            <w:pPr>
              <w:pStyle w:val="Compact"/>
            </w:pPr>
            <w:r>
              <w:t xml:space="preserve">Lowest cost per 1M tokens in the production-quality tier at the time of selection; native asynchronous client; reliable structured-output mode.</w:t>
            </w:r>
          </w:p>
        </w:tc>
      </w:tr>
      <w:tr>
        <w:tc>
          <w:tcPr/>
          <w:p>
            <w:pPr>
              <w:pStyle w:val="Compact"/>
            </w:pPr>
            <w:r>
              <w:t xml:space="preserve">Frontend framework</w:t>
            </w:r>
          </w:p>
        </w:tc>
        <w:tc>
          <w:tcPr/>
          <w:p>
            <w:pPr>
              <w:pStyle w:val="Compact"/>
            </w:pPr>
            <w:r>
              <w:t xml:space="preserve">React 19</w:t>
            </w:r>
          </w:p>
        </w:tc>
        <w:tc>
          <w:tcPr/>
          <w:p>
            <w:pPr>
              <w:pStyle w:val="Compact"/>
            </w:pPr>
            <w:r>
              <w:t xml:space="preserve">Concurrent rendering, automatic batching, and the most mature component ecosystem.</w:t>
            </w:r>
          </w:p>
        </w:tc>
      </w:tr>
      <w:tr>
        <w:tc>
          <w:tcPr/>
          <w:p>
            <w:pPr>
              <w:pStyle w:val="Compact"/>
            </w:pPr>
            <w:r>
              <w:t xml:space="preserve">Routing</w:t>
            </w:r>
          </w:p>
        </w:tc>
        <w:tc>
          <w:tcPr/>
          <w:p>
            <w:pPr>
              <w:pStyle w:val="Compact"/>
            </w:pPr>
            <w:r>
              <w:t xml:space="preserve">TanStack Router via TanStack Start</w:t>
            </w:r>
          </w:p>
        </w:tc>
        <w:tc>
          <w:tcPr/>
          <w:p>
            <w:pPr>
              <w:pStyle w:val="Compact"/>
            </w:pPr>
            <w:r>
              <w:t xml:space="preserve">File-based routes, type-safe links, search-param state co-location.</w:t>
            </w:r>
          </w:p>
        </w:tc>
      </w:tr>
      <w:tr>
        <w:tc>
          <w:tcPr/>
          <w:p>
            <w:pPr>
              <w:pStyle w:val="Compact"/>
            </w:pPr>
            <w:r>
              <w:t xml:space="preserve">Build tool</w:t>
            </w:r>
          </w:p>
        </w:tc>
        <w:tc>
          <w:tcPr/>
          <w:p>
            <w:pPr>
              <w:pStyle w:val="Compact"/>
            </w:pPr>
            <w:r>
              <w:t xml:space="preserve">Vite 7</w:t>
            </w:r>
          </w:p>
        </w:tc>
        <w:tc>
          <w:tcPr/>
          <w:p>
            <w:pPr>
              <w:pStyle w:val="Compact"/>
            </w:pPr>
            <w:r>
              <w:t xml:space="preserve">Sub-second hot module replacement during development.</w:t>
            </w:r>
          </w:p>
        </w:tc>
      </w:tr>
      <w:tr>
        <w:tc>
          <w:tcPr/>
          <w:p>
            <w:pPr>
              <w:pStyle w:val="Compact"/>
            </w:pPr>
            <w:r>
              <w:t xml:space="preserve">Styling</w:t>
            </w:r>
          </w:p>
        </w:tc>
        <w:tc>
          <w:tcPr/>
          <w:p>
            <w:pPr>
              <w:pStyle w:val="Compact"/>
            </w:pPr>
            <w:r>
              <w:t xml:space="preserve">Tailwind 4 + Radix UI primitives</w:t>
            </w:r>
          </w:p>
        </w:tc>
        <w:tc>
          <w:tcPr/>
          <w:p>
            <w:pPr>
              <w:pStyle w:val="Compact"/>
            </w:pPr>
            <w:r>
              <w:t xml:space="preserve">Utility-first CSS without a parallel design-token system; Radix provides accessibility-correct primitives for menus, dialogs, and toggles.</w:t>
            </w:r>
          </w:p>
        </w:tc>
      </w:tr>
      <w:tr>
        <w:tc>
          <w:tcPr/>
          <w:p>
            <w:pPr>
              <w:pStyle w:val="Compact"/>
            </w:pPr>
            <w:r>
              <w:t xml:space="preserve">Animation</w:t>
            </w:r>
          </w:p>
        </w:tc>
        <w:tc>
          <w:tcPr/>
          <w:p>
            <w:pPr>
              <w:pStyle w:val="Compact"/>
            </w:pPr>
            <w:r>
              <w:t xml:space="preserve">Framer Motion</w:t>
            </w:r>
          </w:p>
        </w:tc>
        <w:tc>
          <w:tcPr/>
          <w:p>
            <w:pPr>
              <w:pStyle w:val="Compact"/>
            </w:pPr>
            <w:r>
              <w:t xml:space="preserve">Declarative timeline animations for the input page heroes.</w:t>
            </w:r>
          </w:p>
        </w:tc>
      </w:tr>
      <w:tr>
        <w:tc>
          <w:tcPr/>
          <w:p>
            <w:pPr>
              <w:pStyle w:val="Compact"/>
            </w:pPr>
            <w:r>
              <w:t xml:space="preserve">Authentication</w:t>
            </w:r>
          </w:p>
        </w:tc>
        <w:tc>
          <w:tcPr/>
          <w:p>
            <w:pPr>
              <w:pStyle w:val="Compact"/>
            </w:pPr>
            <w:r>
              <w:t xml:space="preserve">JWT in HttpOnly cookies + Google OAuth (authlib)</w:t>
            </w:r>
          </w:p>
        </w:tc>
        <w:tc>
          <w:tcPr/>
          <w:p>
            <w:pPr>
              <w:pStyle w:val="Compact"/>
            </w:pPr>
            <w:r>
              <w:t xml:space="preserve">No client-readable tokens; standard refresh-rotation pattern.</w:t>
            </w:r>
          </w:p>
        </w:tc>
      </w:tr>
      <w:tr>
        <w:tc>
          <w:tcPr/>
          <w:p>
            <w:pPr>
              <w:pStyle w:val="Compact"/>
            </w:pPr>
            <w:r>
              <w:t xml:space="preserve">Transactional email</w:t>
            </w:r>
          </w:p>
        </w:tc>
        <w:tc>
          <w:tcPr/>
          <w:p>
            <w:pPr>
              <w:pStyle w:val="Compact"/>
            </w:pPr>
            <w:r>
              <w:t xml:space="preserve">Resend</w:t>
            </w:r>
          </w:p>
        </w:tc>
        <w:tc>
          <w:tcPr/>
          <w:p>
            <w:pPr>
              <w:pStyle w:val="Compact"/>
            </w:pPr>
            <w:r>
              <w:t xml:space="preserve">Used only for password-reset emails (no welcome or marketing email is sent in V1).</w:t>
            </w:r>
          </w:p>
        </w:tc>
      </w:tr>
      <w:tr>
        <w:tc>
          <w:tcPr/>
          <w:p>
            <w:pPr>
              <w:pStyle w:val="Compact"/>
            </w:pPr>
            <w:r>
              <w:t xml:space="preserve">Hosting</w:t>
            </w:r>
          </w:p>
        </w:tc>
        <w:tc>
          <w:tcPr/>
          <w:p>
            <w:pPr>
              <w:pStyle w:val="Compact"/>
            </w:pPr>
            <w:r>
              <w:t xml:space="preserve">Railway (backend, frontend, Postgres)</w:t>
            </w:r>
          </w:p>
        </w:tc>
        <w:tc>
          <w:tcPr/>
          <w:p>
            <w:pPr>
              <w:pStyle w:val="Compact"/>
            </w:pPr>
            <w:r>
              <w:t xml:space="preserve">Single dashboard, single billing relationship, native GitHub deploy hooks.</w:t>
            </w:r>
          </w:p>
        </w:tc>
      </w:tr>
      <w:tr>
        <w:tc>
          <w:tcPr/>
          <w:p>
            <w:pPr>
              <w:pStyle w:val="Compact"/>
            </w:pPr>
            <w:r>
              <w:t xml:space="preserve">Observability</w:t>
            </w:r>
          </w:p>
        </w:tc>
        <w:tc>
          <w:tcPr/>
          <w:p>
            <w:pPr>
              <w:pStyle w:val="Compact"/>
            </w:pPr>
            <w:r>
              <w:t xml:space="preserve">Railway built-in metrics + Sentry free tier</w:t>
            </w:r>
          </w:p>
        </w:tc>
        <w:tc>
          <w:tcPr/>
          <w:p>
            <w:pPr>
              <w:pStyle w:val="Compact"/>
            </w:pPr>
            <w:r>
              <w:t xml:space="preserve">Sufficient for thesis-scope traffic; can be extended to a paid tier without code changes.</w:t>
            </w:r>
          </w:p>
        </w:tc>
      </w:tr>
    </w:tbl>
    <w:p>
      <w:pPr>
        <w:pStyle w:val="BodyText"/>
      </w:pPr>
      <w:r>
        <w:t xml:space="preserve">Two stack decisions deserve explicit defence because either could plausibly have been made differently.</w:t>
      </w:r>
    </w:p>
    <w:p>
      <w:pPr>
        <w:pStyle w:val="BodyText"/>
      </w:pPr>
      <w:r>
        <w:rPr>
          <w:b/>
          <w:bCs/>
        </w:rPr>
        <w:t xml:space="preserve">Why FastAPI rather than a Node/TypeScript backend.</w:t>
      </w:r>
      <w:r>
        <w:t xml:space="preserve"> </w:t>
      </w:r>
      <w:r>
        <w:t xml:space="preserve">A unified TypeScript backend would have eliminated the language boundary at the API contract. FastAPI was preferred because the official Google Vertex AI client (used for the LLM path described in Chapter 3) and the most mature standard-library and third-party tools for text processing — Python’s</w:t>
      </w:r>
      <w:r>
        <w:t xml:space="preserve"> </w:t>
      </w:r>
      <w:r>
        <w:rPr>
          <w:rStyle w:val="VerbatimChar"/>
        </w:rPr>
        <w:t xml:space="preserve">re</w:t>
      </w:r>
      <w:r>
        <w:t xml:space="preserve">,</w:t>
      </w:r>
      <w:r>
        <w:t xml:space="preserve"> </w:t>
      </w:r>
      <w:r>
        <w:rPr>
          <w:rStyle w:val="VerbatimChar"/>
        </w:rPr>
        <w:t xml:space="preserve">difflib</w:t>
      </w:r>
      <w:r>
        <w:t xml:space="preserve">,</w:t>
      </w:r>
      <w:r>
        <w:t xml:space="preserve"> </w:t>
      </w:r>
      <w:r>
        <w:rPr>
          <w:rStyle w:val="VerbatimChar"/>
        </w:rPr>
        <w:t xml:space="preserve">unicodedata</w:t>
      </w:r>
      <w:r>
        <w:t xml:space="preserve">, and the optional</w:t>
      </w:r>
      <w:r>
        <w:t xml:space="preserve"> </w:t>
      </w:r>
      <w:r>
        <w:rPr>
          <w:rStyle w:val="VerbatimChar"/>
        </w:rPr>
        <w:t xml:space="preserve">rapidfuzz</w:t>
      </w:r>
      <w:r>
        <w:t xml:space="preserve"> </w:t>
      </w:r>
      <w:r>
        <w:t xml:space="preserve">and</w:t>
      </w:r>
      <w:r>
        <w:t xml:space="preserve"> </w:t>
      </w:r>
      <w:r>
        <w:rPr>
          <w:rStyle w:val="VerbatimChar"/>
        </w:rPr>
        <w:t xml:space="preserve">scikit-learn</w:t>
      </w:r>
      <w:r>
        <w:t xml:space="preserve"> </w:t>
      </w:r>
      <w:r>
        <w:t xml:space="preserve">ecosystems available if the heuristic is later extended — are all native Python. Keeping the analytical core in Python avoids introducing fidelity risks on the critical path of the comparative study reported in Chapter 4, where any subtle difference between, for example, a Python regex and a JavaScript regex would be a confound rather than a finding.</w:t>
      </w:r>
    </w:p>
    <w:p>
      <w:pPr>
        <w:pStyle w:val="BodyText"/>
      </w:pPr>
      <w:r>
        <w:rPr>
          <w:b/>
          <w:bCs/>
        </w:rPr>
        <w:t xml:space="preserve">Why TanStack Start rather than Next.js.</w:t>
      </w:r>
      <w:r>
        <w:t xml:space="preserve"> </w:t>
      </w:r>
      <w:r>
        <w:t xml:space="preserve">Next.js is the dominant framework for React applications in production. The decision to use TanStack Start instead was driven by three considerations specific to this project: (i) the application is fundamentally an authenticated single-page workspace rather than a content site, so server components and ISR offer little benefit; (ii) TanStack Router’s file-based, type-safe routing produces fewer subtle bugs at refactor time; and (iii) co-locating search-parameter state and route-level data loaders made the multi-tool workflow easier to reason about. The trade-off is a thinner ecosystem of templates and tutorials.</w:t>
      </w:r>
    </w:p>
    <w:p>
      <w:pPr>
        <w:pStyle w:val="BodyText"/>
      </w:pPr>
      <w:r>
        <w:t xml:space="preserve">In practice this trade-off was occasionally felt during the early weeks of frontend work, when answers to TanStack Start questions on Stack Overflow were still sparse and the official documentation had to fill the gap. By mid-development the framework’s type-safety wins were paying back the early friction; the result-page route pattern</w:t>
      </w:r>
      <w:r>
        <w:t xml:space="preserve"> </w:t>
      </w:r>
      <w:r>
        <w:rPr>
          <w:rStyle w:val="VerbatimChar"/>
        </w:rPr>
        <w:t xml:space="preserve">tool_/result/$historyId.tsx</w:t>
      </w:r>
      <w:r>
        <w:t xml:space="preserve"> </w:t>
      </w:r>
      <w:r>
        <w:t xml:space="preserve">would have required substantially more glue in a Next.js setup.</w:t>
      </w:r>
    </w:p>
    <w:bookmarkEnd w:id="27"/>
    <w:bookmarkStart w:id="38" w:name="backend-architecture"/>
    <w:p>
      <w:pPr>
        <w:pStyle w:val="Heading2"/>
      </w:pPr>
      <w:r>
        <w:rPr>
          <w:b/>
          <w:i w:val="0"/>
          <w:sz w:val="28"/>
        </w:rPr>
        <w:t xml:space="preserve">2.3 Backend architecture</w:t>
      </w:r>
    </w:p>
    <w:p>
      <w:pPr>
        <w:pStyle w:val="FirstParagraph"/>
      </w:pPr>
      <w:r>
        <w:t xml:space="preserve">The backend is structured in four horizontal layers (Figure 2.1).</w:t>
      </w:r>
    </w:p>
    <w:p>
      <w:pPr>
        <w:pStyle w:val="CaptionedFigure"/>
        <w:jc w:val="center"/>
      </w:pPr>
      <w:r>
        <w:drawing>
          <wp:inline>
            <wp:extent cx="5334000" cy="3769267"/>
            <wp:effectExtent b="0" l="0" r="0" t="0"/>
            <wp:docPr descr="Figure 2.1 — Backend layered architecture. The FastAPI surface (routers and schemas) delegates to a service layer that runs every analytical tool through the shared run_tool_pipeline, which in turn invokes the heuristic prepass, the LLM gateway (Vertex AI Gemini 2.5 Flash via ai_client.py), and the persistence layer (SQLAlchemy 2.0 + Alembic over PostgreSQL)." title="" id="29" name="Picture"/>
            <a:graphic>
              <a:graphicData uri="http://schemas.openxmlformats.org/drawingml/2006/picture">
                <pic:pic>
                  <pic:nvPicPr>
                    <pic:cNvPr descr="figures/figure-2-1-architecture.png" id="30" name="Picture"/>
                    <pic:cNvPicPr>
                      <a:picLocks noChangeArrowheads="1" noChangeAspect="1"/>
                    </pic:cNvPicPr>
                  </pic:nvPicPr>
                  <pic:blipFill>
                    <a:blip r:embed="rId28"/>
                    <a:stretch>
                      <a:fillRect/>
                    </a:stretch>
                  </pic:blipFill>
                  <pic:spPr bwMode="auto">
                    <a:xfrm>
                      <a:off x="0" y="0"/>
                      <a:ext cx="5334000" cy="3769267"/>
                    </a:xfrm>
                    <a:prstGeom prst="rect">
                      <a:avLst/>
                    </a:prstGeom>
                    <a:noFill/>
                    <a:ln w="9525">
                      <a:noFill/>
                      <a:headEnd/>
                      <a:tailEnd/>
                    </a:ln>
                  </pic:spPr>
                </pic:pic>
              </a:graphicData>
            </a:graphic>
          </wp:inline>
        </w:drawing>
      </w:r>
    </w:p>
    <w:p>
      <w:pPr>
        <w:pStyle w:val="ImageCaption"/>
      </w:pPr>
      <w:r>
        <w:t xml:space="preserve">Figure 2.1 — Backend layered architecture. The FastAPI surface (routers and schemas) delegates to a service layer that runs every analytical tool through the shared</w:t>
      </w:r>
      <w:r>
        <w:t xml:space="preserve"> </w:t>
      </w:r>
      <w:r>
        <w:rPr>
          <w:rStyle w:val="VerbatimChar"/>
        </w:rPr>
        <w:t xml:space="preserve">run_tool_pipeline</w:t>
      </w:r>
      <w:r>
        <w:t xml:space="preserve">, which in turn invokes the heuristic prepass, the LLM gateway (Vertex AI Gemini 2.5 Flash via</w:t>
      </w:r>
      <w:r>
        <w:t xml:space="preserve"> </w:t>
      </w:r>
      <w:r>
        <w:rPr>
          <w:rStyle w:val="VerbatimChar"/>
        </w:rPr>
        <w:t xml:space="preserve">ai_client.py</w:t>
      </w:r>
      <w:r>
        <w:t xml:space="preserve">), and the persistence layer (SQLAlchemy 2.0 + Alembic over PostgreSQL).</w:t>
      </w:r>
    </w:p>
    <w:bookmarkStart w:id="31" w:name="routers"/>
    <w:p>
      <w:pPr>
        <w:pStyle w:val="Heading3"/>
      </w:pPr>
      <w:r>
        <w:rPr>
          <w:b/>
          <w:i/>
          <w:sz w:val="24"/>
        </w:rPr>
        <w:t xml:space="preserve">2.3.1 Routers</w:t>
      </w:r>
    </w:p>
    <w:p>
      <w:pPr>
        <w:pStyle w:val="FirstParagraph"/>
      </w:pPr>
      <w:r>
        <w:t xml:space="preserve">Each domain has its own router file in</w:t>
      </w:r>
      <w:r>
        <w:t xml:space="preserve"> </w:t>
      </w:r>
      <w:r>
        <w:rPr>
          <w:rStyle w:val="VerbatimChar"/>
        </w:rPr>
        <w:t xml:space="preserve">app/routers/</w:t>
      </w:r>
      <w:r>
        <w:t xml:space="preserve">:</w:t>
      </w:r>
      <w:r>
        <w:t xml:space="preserve"> </w:t>
      </w:r>
      <w:r>
        <w:rPr>
          <w:rStyle w:val="VerbatimChar"/>
        </w:rPr>
        <w:t xml:space="preserve">auth</w:t>
      </w:r>
      <w:r>
        <w:t xml:space="preserve">,</w:t>
      </w:r>
      <w:r>
        <w:t xml:space="preserve"> </w:t>
      </w:r>
      <w:r>
        <w:rPr>
          <w:rStyle w:val="VerbatimChar"/>
        </w:rPr>
        <w:t xml:space="preserve">google_auth</w:t>
      </w:r>
      <w:r>
        <w:t xml:space="preserve">,</w:t>
      </w:r>
      <w:r>
        <w:t xml:space="preserve"> </w:t>
      </w:r>
      <w:r>
        <w:rPr>
          <w:rStyle w:val="VerbatimChar"/>
        </w:rPr>
        <w:t xml:space="preserve">resume</w:t>
      </w:r>
      <w:r>
        <w:t xml:space="preserve">,</w:t>
      </w:r>
      <w:r>
        <w:t xml:space="preserve"> </w:t>
      </w:r>
      <w:r>
        <w:rPr>
          <w:rStyle w:val="VerbatimChar"/>
        </w:rPr>
        <w:t xml:space="preserve">job_match</w:t>
      </w:r>
      <w:r>
        <w:t xml:space="preserve">,</w:t>
      </w:r>
      <w:r>
        <w:t xml:space="preserve"> </w:t>
      </w:r>
      <w:r>
        <w:rPr>
          <w:rStyle w:val="VerbatimChar"/>
        </w:rPr>
        <w:t xml:space="preserve">career</w:t>
      </w:r>
      <w:r>
        <w:t xml:space="preserve">,</w:t>
      </w:r>
      <w:r>
        <w:t xml:space="preserve"> </w:t>
      </w:r>
      <w:r>
        <w:rPr>
          <w:rStyle w:val="VerbatimChar"/>
        </w:rPr>
        <w:t xml:space="preserve">cover_letter</w:t>
      </w:r>
      <w:r>
        <w:t xml:space="preserve">,</w:t>
      </w:r>
      <w:r>
        <w:t xml:space="preserve"> </w:t>
      </w:r>
      <w:r>
        <w:rPr>
          <w:rStyle w:val="VerbatimChar"/>
        </w:rPr>
        <w:t xml:space="preserve">interview</w:t>
      </w:r>
      <w:r>
        <w:t xml:space="preserve">,</w:t>
      </w:r>
      <w:r>
        <w:t xml:space="preserve"> </w:t>
      </w:r>
      <w:r>
        <w:rPr>
          <w:rStyle w:val="VerbatimChar"/>
        </w:rPr>
        <w:t xml:space="preserve">portfolio</w:t>
      </w:r>
      <w:r>
        <w:t xml:space="preserve">,</w:t>
      </w:r>
      <w:r>
        <w:t xml:space="preserve"> </w:t>
      </w:r>
      <w:r>
        <w:rPr>
          <w:rStyle w:val="VerbatimChar"/>
        </w:rPr>
        <w:t xml:space="preserve">history</w:t>
      </w:r>
      <w:r>
        <w:t xml:space="preserve">,</w:t>
      </w:r>
      <w:r>
        <w:t xml:space="preserve"> </w:t>
      </w:r>
      <w:r>
        <w:rPr>
          <w:rStyle w:val="VerbatimChar"/>
        </w:rPr>
        <w:t xml:space="preserve">files</w:t>
      </w:r>
      <w:r>
        <w:t xml:space="preserve">,</w:t>
      </w:r>
      <w:r>
        <w:t xml:space="preserve"> </w:t>
      </w:r>
      <w:r>
        <w:rPr>
          <w:rStyle w:val="VerbatimChar"/>
        </w:rPr>
        <w:t xml:space="preserve">admin</w:t>
      </w:r>
      <w:r>
        <w:t xml:space="preserve">,</w:t>
      </w:r>
      <w:r>
        <w:t xml:space="preserve"> </w:t>
      </w:r>
      <w:r>
        <w:rPr>
          <w:rStyle w:val="VerbatimChar"/>
        </w:rPr>
        <w:t xml:space="preserve">health</w:t>
      </w:r>
      <w:r>
        <w:t xml:space="preserve">, and</w:t>
      </w:r>
      <w:r>
        <w:t xml:space="preserve"> </w:t>
      </w:r>
      <w:r>
        <w:rPr>
          <w:rStyle w:val="VerbatimChar"/>
        </w:rPr>
        <w:t xml:space="preserve">telemetry</w:t>
      </w:r>
      <w:r>
        <w:t xml:space="preserve">. All routers are mounted under the API prefix</w:t>
      </w:r>
      <w:r>
        <w:t xml:space="preserve"> </w:t>
      </w:r>
      <w:r>
        <w:rPr>
          <w:rStyle w:val="VerbatimChar"/>
        </w:rPr>
        <w:t xml:space="preserve">/api/v1</w:t>
      </w:r>
      <w:r>
        <w:t xml:space="preserve">. Routers are deliberately thin: they parse and validate the request body via the corresponding Pydantic schema, resolve dependencies (current user, database session), invoke the relevant service function, and return the response.</w:t>
      </w:r>
    </w:p>
    <w:bookmarkEnd w:id="31"/>
    <w:bookmarkStart w:id="35" w:name="the-shared-tool-pipeline"/>
    <w:p>
      <w:pPr>
        <w:pStyle w:val="Heading3"/>
      </w:pPr>
      <w:r>
        <w:rPr>
          <w:b/>
          <w:i/>
          <w:sz w:val="24"/>
        </w:rPr>
        <w:t xml:space="preserve">2.3.2 The shared tool pipeline</w:t>
      </w:r>
    </w:p>
    <w:p>
      <w:pPr>
        <w:pStyle w:val="FirstParagraph"/>
      </w:pPr>
      <w:r>
        <w:t xml:space="preserve">The six functional tools share a single cross-cutting pipeline implemented in</w:t>
      </w:r>
      <w:r>
        <w:t xml:space="preserve"> </w:t>
      </w:r>
      <w:r>
        <w:rPr>
          <w:rStyle w:val="VerbatimChar"/>
        </w:rPr>
        <w:t xml:space="preserve">services/tool_pipeline.py</w:t>
      </w:r>
      <w:r>
        <w:t xml:space="preserve"> </w:t>
      </w:r>
      <w:r>
        <w:t xml:space="preserve">and exposed as the asynchronous function</w:t>
      </w:r>
      <w:r>
        <w:t xml:space="preserve"> </w:t>
      </w:r>
      <w:r>
        <w:rPr>
          <w:rStyle w:val="VerbatimChar"/>
        </w:rPr>
        <w:t xml:space="preserve">run_tool_pipeline(...)</w:t>
      </w:r>
      <w:r>
        <w:t xml:space="preserve">. Every tool router invokes this pipeline rather than calling the tool service directly. The pipeline has six stages, executed in order (Figure 2.2):</w:t>
      </w:r>
    </w:p>
    <w:p>
      <w:pPr>
        <w:pStyle w:val="Compact"/>
        <w:numPr>
          <w:ilvl w:val="0"/>
          <w:numId w:val="1003"/>
        </w:numPr>
      </w:pPr>
      <w:r>
        <w:rPr>
          <w:b/>
          <w:bCs/>
        </w:rPr>
        <w:t xml:space="preserve">Sanitise.</w:t>
      </w:r>
      <w:r>
        <w:t xml:space="preserve"> </w:t>
      </w:r>
      <w:r>
        <w:t xml:space="preserve">The resume text, the job description (if any), and any feedback string are passed through</w:t>
      </w:r>
      <w:r>
        <w:t xml:space="preserve"> </w:t>
      </w:r>
      <w:r>
        <w:rPr>
          <w:rStyle w:val="VerbatimChar"/>
        </w:rPr>
        <w:t xml:space="preserve">sanitize_user_input</w:t>
      </w:r>
      <w:r>
        <w:t xml:space="preserve">, which strips control characters, normalises whitespace, and bounds the input length. This is a defence-in-depth measure against prompt-injection-style payloads embedded in resumes.</w:t>
      </w:r>
    </w:p>
    <w:p>
      <w:pPr>
        <w:pStyle w:val="Compact"/>
        <w:numPr>
          <w:ilvl w:val="0"/>
          <w:numId w:val="1003"/>
        </w:numPr>
      </w:pPr>
      <w:r>
        <w:rPr>
          <w:b/>
          <w:bCs/>
        </w:rPr>
        <w:t xml:space="preserve">Cache lookup.</w:t>
      </w:r>
      <w:r>
        <w:t xml:space="preserve"> </w:t>
      </w:r>
      <w:r>
        <w:t xml:space="preserve">A content hash is computed from the tool name, the sanitised inputs, the user’s identifier (so authenticated users never see another user’s cached result), and any tool-specific cache keys. If a result is present in the in-memory cache, it is returned without calling the LLM.</w:t>
      </w:r>
    </w:p>
    <w:p>
      <w:pPr>
        <w:pStyle w:val="Compact"/>
        <w:numPr>
          <w:ilvl w:val="0"/>
          <w:numId w:val="1003"/>
        </w:numPr>
      </w:pPr>
      <w:r>
        <w:rPr>
          <w:b/>
          <w:bCs/>
        </w:rPr>
        <w:t xml:space="preserve">Service call.</w:t>
      </w:r>
      <w:r>
        <w:t xml:space="preserve"> </w:t>
      </w:r>
      <w:r>
        <w:t xml:space="preserve">The tool-specific service function is invoked. Each tool service is a coroutine that returns a fully populated response dictionary.</w:t>
      </w:r>
    </w:p>
    <w:p>
      <w:pPr>
        <w:pStyle w:val="Compact"/>
        <w:numPr>
          <w:ilvl w:val="0"/>
          <w:numId w:val="1003"/>
        </w:numPr>
      </w:pPr>
      <w:r>
        <w:rPr>
          <w:b/>
          <w:bCs/>
        </w:rPr>
        <w:t xml:space="preserve">Persistence.</w:t>
      </w:r>
      <w:r>
        <w:t xml:space="preserve"> </w:t>
      </w:r>
      <w:r>
        <w:t xml:space="preserve">The result is persisted as a</w:t>
      </w:r>
      <w:r>
        <w:t xml:space="preserve"> </w:t>
      </w:r>
      <w:r>
        <w:rPr>
          <w:rStyle w:val="VerbatimChar"/>
        </w:rPr>
        <w:t xml:space="preserve">ToolRun</w:t>
      </w:r>
      <w:r>
        <w:t xml:space="preserve"> </w:t>
      </w:r>
      <w:r>
        <w:t xml:space="preserve">record. The record stores the tool name, a human-readable label produced by a tool-specific labelling function, the full result payload, the linked context identifiers, the workspace identifier, the parent run identifier (for regeneration chains), and any feedback text supplied by the user.</w:t>
      </w:r>
    </w:p>
    <w:p>
      <w:pPr>
        <w:pStyle w:val="Compact"/>
        <w:numPr>
          <w:ilvl w:val="0"/>
          <w:numId w:val="1003"/>
        </w:numPr>
      </w:pPr>
      <w:r>
        <w:rPr>
          <w:b/>
          <w:bCs/>
        </w:rPr>
        <w:t xml:space="preserve">Response assembly.</w:t>
      </w:r>
      <w:r>
        <w:t xml:space="preserve"> </w:t>
      </w:r>
      <w:r>
        <w:t xml:space="preserve">A unified response shape is built from the persisted record, including the history identifier and the access mode.</w:t>
      </w:r>
    </w:p>
    <w:p>
      <w:pPr>
        <w:pStyle w:val="Compact"/>
        <w:numPr>
          <w:ilvl w:val="0"/>
          <w:numId w:val="1003"/>
        </w:numPr>
      </w:pPr>
      <w:r>
        <w:rPr>
          <w:b/>
          <w:bCs/>
        </w:rPr>
        <w:t xml:space="preserve">Observability.</w:t>
      </w:r>
      <w:r>
        <w:t xml:space="preserve"> </w:t>
      </w:r>
      <w:r>
        <w:t xml:space="preserve">A structured event is emitted on start, success, and failure, including the tool name, access mode, duration, and the error category if applicable. These events feed both the Sentry breadcrumb trail and the operator-facing metrics.</w:t>
      </w:r>
    </w:p>
    <w:p>
      <w:pPr>
        <w:pStyle w:val="CaptionedFigure"/>
        <w:jc w:val="center"/>
      </w:pPr>
      <w:r>
        <w:drawing>
          <wp:inline>
            <wp:extent cx="5334000" cy="1274352"/>
            <wp:effectExtent b="0" l="0" r="0" t="0"/>
            <wp:docPr descr="Figure 2.2 — Tool pipeline (run_tool_pipelin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 title="" id="33" name="Picture"/>
            <a:graphic>
              <a:graphicData uri="http://schemas.openxmlformats.org/drawingml/2006/picture">
                <pic:pic>
                  <pic:nvPicPr>
                    <pic:cNvPr descr="figures/figure-2-2-pipeline.png" id="34" name="Picture"/>
                    <pic:cNvPicPr>
                      <a:picLocks noChangeArrowheads="1" noChangeAspect="1"/>
                    </pic:cNvPicPr>
                  </pic:nvPicPr>
                  <pic:blipFill>
                    <a:blip r:embed="rId32"/>
                    <a:stretch>
                      <a:fillRect/>
                    </a:stretch>
                  </pic:blipFill>
                  <pic:spPr bwMode="auto">
                    <a:xfrm>
                      <a:off x="0" y="0"/>
                      <a:ext cx="5334000" cy="1274352"/>
                    </a:xfrm>
                    <a:prstGeom prst="rect">
                      <a:avLst/>
                    </a:prstGeom>
                    <a:noFill/>
                    <a:ln w="9525">
                      <a:noFill/>
                      <a:headEnd/>
                      <a:tailEnd/>
                    </a:ln>
                  </pic:spPr>
                </pic:pic>
              </a:graphicData>
            </a:graphic>
          </wp:inline>
        </w:drawing>
      </w:r>
    </w:p>
    <w:p>
      <w:pPr>
        <w:pStyle w:val="ImageCaption"/>
      </w:pPr>
      <w:r>
        <w:t xml:space="preserve">Figure 2.2 — Tool pipeline (</w:t>
      </w:r>
      <w:r>
        <w:rPr>
          <w:rStyle w:val="VerbatimChar"/>
        </w:rPr>
        <w:t xml:space="preserve">run_tool_pipeline</w:t>
      </w:r>
      <w:r>
        <w:t xml:space="preserv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w:t>
      </w:r>
    </w:p>
    <w:p>
      <w:pPr>
        <w:pStyle w:val="BodyText"/>
      </w:pPr>
      <w:r>
        <w:t xml:space="preserve">This single point of indirection has two practical consequences for the thesis. First, every tool inherits the same cache, persistence, and observability behaviour by default; adding a new tool requires no plumbing beyond the service function and the prompt builder. Second, the comparative study in Chapter 4 can reason about cache and persistence behaviour uniformly across all tools, rather than maintaining a per-tool exception table.</w:t>
      </w:r>
    </w:p>
    <w:p>
      <w:pPr>
        <w:pStyle w:val="BodyText"/>
      </w:pPr>
      <w:r>
        <w:t xml:space="preserve">The pipeline-first design was not the original plan. The Resume Analyzer and the Job Match tool were the first two endpoints implemented, each with its own cache wrapper, its own persistence call, and its own observability lines copy-pasted from the other. By the time the third tool was added the duplication was painful enough to motivate the refactor that produced</w:t>
      </w:r>
      <w:r>
        <w:t xml:space="preserve"> </w:t>
      </w:r>
      <w:r>
        <w:rPr>
          <w:rStyle w:val="VerbatimChar"/>
        </w:rPr>
        <w:t xml:space="preserve">run_tool_pipeline</w:t>
      </w:r>
      <w:r>
        <w:t xml:space="preserve">. That refactor is small in lines but is the single architectural change that has saved the most engineering effort across the project.</w:t>
      </w:r>
    </w:p>
    <w:bookmarkEnd w:id="35"/>
    <w:bookmarkStart w:id="36" w:name="tool-services-and-prompt-builders"/>
    <w:p>
      <w:pPr>
        <w:pStyle w:val="Heading3"/>
      </w:pPr>
      <w:r>
        <w:rPr>
          <w:b/>
          <w:i/>
          <w:sz w:val="24"/>
        </w:rPr>
        <w:t xml:space="preserve">2.3.3 Tool services and prompt builders</w:t>
      </w:r>
    </w:p>
    <w:p>
      <w:pPr>
        <w:pStyle w:val="FirstParagraph"/>
      </w:pPr>
      <w:r>
        <w:t xml:space="preserve">The body of each tool’s logic lives in two files: a service module (</w:t>
      </w:r>
      <w:r>
        <w:rPr>
          <w:rStyle w:val="VerbatimChar"/>
        </w:rPr>
        <w:t xml:space="preserve">services/&lt;tool&gt;_*.py</w:t>
      </w:r>
      <w:r>
        <w:t xml:space="preserve">) and a prompt module (</w:t>
      </w:r>
      <w:r>
        <w:rPr>
          <w:rStyle w:val="VerbatimChar"/>
        </w:rPr>
        <w:t xml:space="preserve">prompts/&lt;tool&gt;.py</w:t>
      </w:r>
      <w:r>
        <w:t xml:space="preserve">). The service module orchestrates the heuristic prepass, builds the prompt by delegating to the prompt module, calls</w:t>
      </w:r>
      <w:r>
        <w:t xml:space="preserve"> </w:t>
      </w:r>
      <w:r>
        <w:rPr>
          <w:rStyle w:val="VerbatimChar"/>
        </w:rPr>
        <w:t xml:space="preserve">complete_structured</w:t>
      </w:r>
      <w:r>
        <w:t xml:space="preserve"> </w:t>
      </w:r>
      <w:r>
        <w:t xml:space="preserve">from</w:t>
      </w:r>
      <w:r>
        <w:t xml:space="preserve"> </w:t>
      </w:r>
      <w:r>
        <w:rPr>
          <w:rStyle w:val="VerbatimChar"/>
        </w:rPr>
        <w:t xml:space="preserve">services/ai_client.py</w:t>
      </w:r>
      <w:r>
        <w:t xml:space="preserve"> </w:t>
      </w:r>
      <w:r>
        <w:t xml:space="preserve">to obtain a validated JSON response from Gemini, and post-processes the result. The prompt module is responsible only for assembling the</w:t>
      </w:r>
      <w:r>
        <w:t xml:space="preserve"> </w:t>
      </w:r>
      <w:r>
        <w:rPr>
          <w:rStyle w:val="VerbatimChar"/>
        </w:rPr>
        <w:t xml:space="preserve">system</w:t>
      </w:r>
      <w:r>
        <w:t xml:space="preserve"> </w:t>
      </w:r>
      <w:r>
        <w:t xml:space="preserve">and</w:t>
      </w:r>
      <w:r>
        <w:t xml:space="preserve"> </w:t>
      </w:r>
      <w:r>
        <w:rPr>
          <w:rStyle w:val="VerbatimChar"/>
        </w:rPr>
        <w:t xml:space="preserve">user</w:t>
      </w:r>
      <w:r>
        <w:t xml:space="preserve"> </w:t>
      </w:r>
      <w:r>
        <w:t xml:space="preserve">messages from the inputs and the heuristic prepass. Splitting these responsibilities keeps the prompt content under version control without coupling it to the service-orchestration code.</w:t>
      </w:r>
    </w:p>
    <w:bookmarkEnd w:id="36"/>
    <w:bookmarkStart w:id="37" w:name="the-heuristic-prepass"/>
    <w:p>
      <w:pPr>
        <w:pStyle w:val="Heading3"/>
      </w:pPr>
      <w:r>
        <w:rPr>
          <w:b/>
          <w:i/>
          <w:sz w:val="24"/>
        </w:rPr>
        <w:t xml:space="preserve">2.3.4 The heuristic prepass</w:t>
      </w:r>
    </w:p>
    <w:p>
      <w:pPr>
        <w:pStyle w:val="FirstParagraph"/>
      </w:pPr>
      <w:r>
        <w:t xml:space="preserve">For tools that produce a numerical score — Resume Analyzer and Job Match — the service computes a deterministic prepass before the LLM call. The prepass extracts evidence from the resume (detected sections, bullet counts, quantified bullets, matched and missing keywords against the job description, detected skill phrases), and computes a five-axis breakdown (keyword alignment, impact, structure, clarity, completeness). The prepass payload is appended to the prompt as a</w:t>
      </w:r>
      <w:r>
        <w:t xml:space="preserve"> </w:t>
      </w:r>
      <w:r>
        <w:rPr>
          <w:i/>
          <w:iCs/>
        </w:rPr>
        <w:t xml:space="preserve">locked payload</w:t>
      </w:r>
      <w:r>
        <w:t xml:space="preserve"> </w:t>
      </w:r>
      <w:r>
        <w:t xml:space="preserve">— text the LLM is instructed to use as authoritative ground truth rather than to overwrite. This has two effects: it stabilises the LLM’s score against prompt-perturbation noise, and it makes the heuristic-only fallback (and the fully-heuristic mode) implementable without a parallel codepath.</w:t>
      </w:r>
    </w:p>
    <w:bookmarkEnd w:id="37"/>
    <w:bookmarkEnd w:id="38"/>
    <w:bookmarkStart w:id="42" w:name="frontend-architecture"/>
    <w:p>
      <w:pPr>
        <w:pStyle w:val="Heading2"/>
      </w:pPr>
      <w:r>
        <w:rPr>
          <w:b/>
          <w:i w:val="0"/>
          <w:sz w:val="28"/>
        </w:rPr>
        <w:t xml:space="preserve">2.4 Frontend architecture</w:t>
      </w:r>
    </w:p>
    <w:p>
      <w:pPr>
        <w:pStyle w:val="FirstParagraph"/>
      </w:pPr>
      <w:r>
        <w:t xml:space="preserve">The frontend is a single-page application served from a Railway service that lives in the same Railway project as the backend service; both share one external hostname through path-based routing (the backend handles</w:t>
      </w:r>
      <w:r>
        <w:t xml:space="preserve"> </w:t>
      </w:r>
      <w:r>
        <w:rPr>
          <w:rStyle w:val="VerbatimChar"/>
        </w:rPr>
        <w:t xml:space="preserve">/api/*</w:t>
      </w:r>
      <w:r>
        <w:t xml:space="preserve">, the frontend handles everything else). The deployment topology is described in detail in Section 2.7.</w:t>
      </w:r>
    </w:p>
    <w:bookmarkStart w:id="39" w:name="route-structure"/>
    <w:p>
      <w:pPr>
        <w:pStyle w:val="Heading3"/>
      </w:pPr>
      <w:r>
        <w:rPr>
          <w:b/>
          <w:i/>
          <w:sz w:val="24"/>
        </w:rPr>
        <w:t xml:space="preserve">2.4.1 Route structure</w:t>
      </w:r>
    </w:p>
    <w:p>
      <w:pPr>
        <w:pStyle w:val="FirstParagraph"/>
      </w:pPr>
      <w:r>
        <w:t xml:space="preserve">Routes live in</w:t>
      </w:r>
      <w:r>
        <w:t xml:space="preserve"> </w:t>
      </w:r>
      <w:r>
        <w:rPr>
          <w:rStyle w:val="VerbatimChar"/>
        </w:rPr>
        <w:t xml:space="preserve">frontend/src/routes/</w:t>
      </w:r>
      <w:r>
        <w:t xml:space="preserve"> </w:t>
      </w:r>
      <w:r>
        <w:t xml:space="preserve">and are file-based. The route tree is generated at build time by TanStack Router. Each tool has a pair of routes:</w:t>
      </w:r>
    </w:p>
    <w:p>
      <w:pPr>
        <w:pStyle w:val="Compact"/>
        <w:numPr>
          <w:ilvl w:val="0"/>
          <w:numId w:val="1004"/>
        </w:numPr>
      </w:pPr>
      <w:r>
        <w:t xml:space="preserve">An</w:t>
      </w:r>
      <w:r>
        <w:t xml:space="preserve"> </w:t>
      </w:r>
      <w:r>
        <w:rPr>
          <w:i/>
          <w:iCs/>
        </w:rPr>
        <w:t xml:space="preserve">input</w:t>
      </w:r>
      <w:r>
        <w:t xml:space="preserve"> </w:t>
      </w:r>
      <w:r>
        <w:t xml:space="preserve">route at</w:t>
      </w:r>
      <w:r>
        <w:t xml:space="preserve"> </w:t>
      </w:r>
      <w:r>
        <w:rPr>
          <w:rStyle w:val="VerbatimChar"/>
        </w:rPr>
        <w:t xml:space="preserve">/&lt;tool&gt;</w:t>
      </w:r>
      <w:r>
        <w:t xml:space="preserve"> </w:t>
      </w:r>
      <w:r>
        <w:t xml:space="preserve">(for example,</w:t>
      </w:r>
      <w:r>
        <w:t xml:space="preserve"> </w:t>
      </w:r>
      <w:r>
        <w:rPr>
          <w:rStyle w:val="VerbatimChar"/>
        </w:rPr>
        <w:t xml:space="preserve">/resume</w:t>
      </w:r>
      <w:r>
        <w:t xml:space="preserve">,</w:t>
      </w:r>
      <w:r>
        <w:t xml:space="preserve"> </w:t>
      </w:r>
      <w:r>
        <w:rPr>
          <w:rStyle w:val="VerbatimChar"/>
        </w:rPr>
        <w:t xml:space="preserve">/job-match</w:t>
      </w:r>
      <w:r>
        <w:t xml:space="preserve">) — a workspace page with the resume input, the job-description input where applicable, and per-tool animation, copy, and chips.</w:t>
      </w:r>
    </w:p>
    <w:p>
      <w:pPr>
        <w:pStyle w:val="Compact"/>
        <w:numPr>
          <w:ilvl w:val="0"/>
          <w:numId w:val="1004"/>
        </w:numPr>
      </w:pPr>
      <w:r>
        <w:t xml:space="preserve">A</w:t>
      </w:r>
      <w:r>
        <w:t xml:space="preserve"> </w:t>
      </w:r>
      <w:r>
        <w:rPr>
          <w:i/>
          <w:iCs/>
        </w:rPr>
        <w:t xml:space="preserve">result</w:t>
      </w:r>
      <w:r>
        <w:t xml:space="preserve"> </w:t>
      </w:r>
      <w:r>
        <w:t xml:space="preserve">route at</w:t>
      </w:r>
      <w:r>
        <w:t xml:space="preserve"> </w:t>
      </w:r>
      <w:r>
        <w:rPr>
          <w:rStyle w:val="VerbatimChar"/>
        </w:rPr>
        <w:t xml:space="preserve">/&lt;tool&gt;_/result/$historyId</w:t>
      </w:r>
      <w:r>
        <w:t xml:space="preserve"> </w:t>
      </w:r>
      <w:r>
        <w:t xml:space="preserve">— the page rendered after a tool run completes. The route segment</w:t>
      </w:r>
      <w:r>
        <w:t xml:space="preserve"> </w:t>
      </w:r>
      <w:r>
        <w:rPr>
          <w:rStyle w:val="VerbatimChar"/>
        </w:rPr>
        <w:t xml:space="preserve">_/</w:t>
      </w:r>
      <w:r>
        <w:t xml:space="preserve"> </w:t>
      </w:r>
      <w:r>
        <w:t xml:space="preserve">declares a layout split, and the dynamic segment</w:t>
      </w:r>
      <w:r>
        <w:t xml:space="preserve"> </w:t>
      </w:r>
      <w:r>
        <w:rPr>
          <w:rStyle w:val="VerbatimChar"/>
        </w:rPr>
        <w:t xml:space="preserve">$historyId</w:t>
      </w:r>
      <w:r>
        <w:t xml:space="preserve"> </w:t>
      </w:r>
      <w:r>
        <w:t xml:space="preserve">is the persistent identifier of the</w:t>
      </w:r>
      <w:r>
        <w:t xml:space="preserve"> </w:t>
      </w:r>
      <w:r>
        <w:rPr>
          <w:rStyle w:val="VerbatimChar"/>
        </w:rPr>
        <w:t xml:space="preserve">ToolRun</w:t>
      </w:r>
      <w:r>
        <w:t xml:space="preserve"> </w:t>
      </w:r>
      <w:r>
        <w:t xml:space="preserve">record on the backend.</w:t>
      </w:r>
    </w:p>
    <w:p>
      <w:pPr>
        <w:pStyle w:val="FirstParagraph"/>
      </w:pPr>
      <w:r>
        <w:t xml:space="preserve">In addition, routes exist for the dashboard, account settings, login, password reset, history, and the small admin surface introduced in Chapter 4.</w:t>
      </w:r>
    </w:p>
    <w:bookmarkEnd w:id="39"/>
    <w:bookmarkStart w:id="40" w:name="state-management"/>
    <w:p>
      <w:pPr>
        <w:pStyle w:val="Heading3"/>
      </w:pPr>
      <w:r>
        <w:rPr>
          <w:b/>
          <w:i/>
          <w:sz w:val="24"/>
        </w:rPr>
        <w:t xml:space="preserve">2.4.2 State management</w:t>
      </w:r>
    </w:p>
    <w:p>
      <w:pPr>
        <w:pStyle w:val="FirstParagraph"/>
      </w:pPr>
      <w:r>
        <w:t xml:space="preserve">Application state is partitioned into three scopes.</w:t>
      </w:r>
    </w:p>
    <w:p>
      <w:pPr>
        <w:pStyle w:val="Compact"/>
        <w:numPr>
          <w:ilvl w:val="0"/>
          <w:numId w:val="1005"/>
        </w:numPr>
      </w:pPr>
      <w:r>
        <w:rPr>
          <w:b/>
          <w:bCs/>
        </w:rPr>
        <w:t xml:space="preserve">Server state</w:t>
      </w:r>
      <w:r>
        <w:t xml:space="preserve"> </w:t>
      </w:r>
      <w:r>
        <w:t xml:space="preserve">— anything that originates from the backend — is held in TanStack Query. This includes the current session, the list of tool runs in the user’s history, and the result of any previously completed tool run. TanStack Query handles staleness, refetching, and request deduplication.</w:t>
      </w:r>
    </w:p>
    <w:p>
      <w:pPr>
        <w:pStyle w:val="Compact"/>
        <w:numPr>
          <w:ilvl w:val="0"/>
          <w:numId w:val="1005"/>
        </w:numPr>
      </w:pPr>
      <w:r>
        <w:rPr>
          <w:b/>
          <w:bCs/>
        </w:rPr>
        <w:t xml:space="preserve">Workflow state</w:t>
      </w:r>
      <w:r>
        <w:t xml:space="preserve"> </w:t>
      </w:r>
      <w:r>
        <w:t xml:space="preserve">— the resume text being carried between tools and the most recent tool result the user is referencing — is held in</w:t>
      </w:r>
      <w:r>
        <w:t xml:space="preserve"> </w:t>
      </w:r>
      <w:r>
        <w:rPr>
          <w:rStyle w:val="VerbatimChar"/>
        </w:rPr>
        <w:t xml:space="preserve">sessionStorage</w:t>
      </w:r>
      <w:r>
        <w:t xml:space="preserve"> </w:t>
      </w:r>
      <w:r>
        <w:t xml:space="preserve">and read through small custom hooks (</w:t>
      </w:r>
      <w:r>
        <w:rPr>
          <w:rStyle w:val="VerbatimChar"/>
        </w:rPr>
        <w:t xml:space="preserve">useResumeCarry</w:t>
      </w:r>
      <w:r>
        <w:t xml:space="preserve">,</w:t>
      </w:r>
      <w:r>
        <w:t xml:space="preserve"> </w:t>
      </w:r>
      <w:r>
        <w:rPr>
          <w:rStyle w:val="VerbatimChar"/>
        </w:rPr>
        <w:t xml:space="preserve">useSession</w:t>
      </w:r>
      <w:r>
        <w:t xml:space="preserve">). Workflow state is tab-scoped by design: opening the same site in a second tab does not share workflow context, which prevents accidental cross-talk.</w:t>
      </w:r>
    </w:p>
    <w:p>
      <w:pPr>
        <w:pStyle w:val="Compact"/>
        <w:numPr>
          <w:ilvl w:val="0"/>
          <w:numId w:val="1005"/>
        </w:numPr>
      </w:pPr>
      <w:r>
        <w:rPr>
          <w:b/>
          <w:bCs/>
        </w:rPr>
        <w:t xml:space="preserve">Component state</w:t>
      </w:r>
      <w:r>
        <w:t xml:space="preserve"> </w:t>
      </w:r>
      <w:r>
        <w:t xml:space="preserve">— input values, sheet open/closed flags, animation timing — is local to each component and uses standard React</w:t>
      </w:r>
      <w:r>
        <w:t xml:space="preserve"> </w:t>
      </w:r>
      <w:r>
        <w:rPr>
          <w:rStyle w:val="VerbatimChar"/>
        </w:rPr>
        <w:t xml:space="preserve">useState</w:t>
      </w:r>
      <w:r>
        <w:t xml:space="preserve"> </w:t>
      </w:r>
      <w:r>
        <w:t xml:space="preserve">and</w:t>
      </w:r>
      <w:r>
        <w:t xml:space="preserve"> </w:t>
      </w:r>
      <w:r>
        <w:rPr>
          <w:rStyle w:val="VerbatimChar"/>
        </w:rPr>
        <w:t xml:space="preserve">useReducer</w:t>
      </w:r>
      <w:r>
        <w:t xml:space="preserve">.</w:t>
      </w:r>
    </w:p>
    <w:bookmarkEnd w:id="40"/>
    <w:bookmarkStart w:id="41" w:name="layout-shell-and-navigation"/>
    <w:p>
      <w:pPr>
        <w:pStyle w:val="Heading3"/>
      </w:pPr>
      <w:r>
        <w:rPr>
          <w:b/>
          <w:i/>
          <w:sz w:val="24"/>
        </w:rPr>
        <w:t xml:space="preserve">2.4.3 Layout shell and navigation</w:t>
      </w:r>
    </w:p>
    <w:p>
      <w:pPr>
        <w:pStyle w:val="FirstParagraph"/>
      </w:pPr>
      <w:r>
        <w:t xml:space="preserve">The application shell consists of a dark sidebar and topbar with a light content area; there is no dark-mode toggle. The sidebar groups the six tools into three semantic clusters —</w:t>
      </w:r>
      <w:r>
        <w:t xml:space="preserve"> </w:t>
      </w:r>
      <w:r>
        <w:rPr>
          <w:i/>
          <w:iCs/>
        </w:rPr>
        <w:t xml:space="preserve">primary</w:t>
      </w:r>
      <w:r>
        <w:t xml:space="preserve"> </w:t>
      </w:r>
      <w:r>
        <w:t xml:space="preserve">(Resume, Job Match),</w:t>
      </w:r>
      <w:r>
        <w:t xml:space="preserve"> </w:t>
      </w:r>
      <w:r>
        <w:rPr>
          <w:i/>
          <w:iCs/>
        </w:rPr>
        <w:t xml:space="preserve">application</w:t>
      </w:r>
      <w:r>
        <w:t xml:space="preserve"> </w:t>
      </w:r>
      <w:r>
        <w:t xml:space="preserve">(Cover Letter, Interview Q&amp;A), and</w:t>
      </w:r>
      <w:r>
        <w:t xml:space="preserve"> </w:t>
      </w:r>
      <w:r>
        <w:rPr>
          <w:i/>
          <w:iCs/>
        </w:rPr>
        <w:t xml:space="preserve">planning</w:t>
      </w:r>
      <w:r>
        <w:t xml:space="preserve"> </w:t>
      </w:r>
      <w:r>
        <w:t xml:space="preserve">(Career Path, Portfolio) — to reduce the cognitive load of navigation. On mobile breakpoints, the sidebar collapses into a bottom tab bar (</w:t>
      </w:r>
      <w:r>
        <w:rPr>
          <w:rStyle w:val="VerbatimChar"/>
        </w:rPr>
        <w:t xml:space="preserve">MobileNav</w:t>
      </w:r>
      <w:r>
        <w:t xml:space="preserve">) and a tools sheet (</w:t>
      </w:r>
      <w:r>
        <w:rPr>
          <w:rStyle w:val="VerbatimChar"/>
        </w:rPr>
        <w:t xml:space="preserve">ToolGridSheet</w:t>
      </w:r>
      <w:r>
        <w:t xml:space="preserve">). All tool metadata that drives the sidebar, the dashboard cards, and the tools-sheet grid is centralised in</w:t>
      </w:r>
      <w:r>
        <w:t xml:space="preserve"> </w:t>
      </w:r>
      <w:r>
        <w:rPr>
          <w:rStyle w:val="VerbatimChar"/>
        </w:rPr>
        <w:t xml:space="preserve">frontend/src/lib/tools/registry.ts</w:t>
      </w:r>
      <w:r>
        <w:t xml:space="preserve">, so a new tool can be exposed across the entire UI with a single registry entry.</w:t>
      </w:r>
    </w:p>
    <w:bookmarkEnd w:id="41"/>
    <w:bookmarkEnd w:id="42"/>
    <w:bookmarkStart w:id="43" w:name="data-model-and-persistence"/>
    <w:p>
      <w:pPr>
        <w:pStyle w:val="Heading2"/>
      </w:pPr>
      <w:r>
        <w:rPr>
          <w:b/>
          <w:i w:val="0"/>
          <w:sz w:val="28"/>
        </w:rPr>
        <w:t xml:space="preserve">2.5 Data model and persistence</w:t>
      </w:r>
    </w:p>
    <w:p>
      <w:pPr>
        <w:pStyle w:val="FirstParagraph"/>
      </w:pPr>
      <w:r>
        <w:t xml:space="preserve">The persistence model contains three primary tables, summarised in Table 2.2.</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users</w:t>
            </w:r>
          </w:p>
        </w:tc>
        <w:tc>
          <w:tcPr/>
          <w:p>
            <w:pPr>
              <w:pStyle w:val="Compact"/>
            </w:pPr>
            <w:r>
              <w:t xml:space="preserve">One row per registered account</w:t>
            </w:r>
          </w:p>
        </w:tc>
        <w:tc>
          <w:tcPr/>
          <w:p>
            <w:pPr>
              <w:pStyle w:val="Compact"/>
            </w:pPr>
            <w:r>
              <w:rPr>
                <w:rStyle w:val="VerbatimChar"/>
              </w:rPr>
              <w:t xml:space="preserve">id</w:t>
            </w:r>
            <w:r>
              <w:t xml:space="preserve"> </w:t>
            </w:r>
            <w:r>
              <w:t xml:space="preserve">(UUID),</w:t>
            </w:r>
            <w:r>
              <w:t xml:space="preserve"> </w:t>
            </w:r>
            <w:r>
              <w:rPr>
                <w:rStyle w:val="VerbatimChar"/>
              </w:rPr>
              <w:t xml:space="preserve">email</w:t>
            </w:r>
            <w:r>
              <w:t xml:space="preserve">,</w:t>
            </w:r>
            <w:r>
              <w:t xml:space="preserve"> </w:t>
            </w:r>
            <w:r>
              <w:rPr>
                <w:rStyle w:val="VerbatimChar"/>
              </w:rPr>
              <w:t xml:space="preserve">password_hash</w:t>
            </w:r>
            <w:r>
              <w:t xml:space="preserve"> </w:t>
            </w:r>
            <w:r>
              <w:t xml:space="preserve">(bcrypt) or null for OAuth-only accounts,</w:t>
            </w:r>
            <w:r>
              <w:t xml:space="preserve"> </w:t>
            </w:r>
            <w:r>
              <w:rPr>
                <w:rStyle w:val="VerbatimChar"/>
              </w:rPr>
              <w:t xml:space="preserve">google_subject</w:t>
            </w:r>
            <w:r>
              <w:t xml:space="preserve"> </w:t>
            </w:r>
            <w:r>
              <w:t xml:space="preserve">for federated identities, timestamps.</w:t>
            </w:r>
          </w:p>
        </w:tc>
      </w:tr>
      <w:tr>
        <w:tc>
          <w:tcPr/>
          <w:p>
            <w:pPr>
              <w:pStyle w:val="Compact"/>
            </w:pPr>
            <w:r>
              <w:rPr>
                <w:rStyle w:val="VerbatimChar"/>
              </w:rPr>
              <w:t xml:space="preserve">tool_runs</w:t>
            </w:r>
          </w:p>
        </w:tc>
        <w:tc>
          <w:tcPr/>
          <w:p>
            <w:pPr>
              <w:pStyle w:val="Compact"/>
            </w:pPr>
            <w:r>
              <w:t xml:space="preserve">One row per tool invocation that the system chose to persist</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tool_name</w:t>
            </w:r>
            <w:r>
              <w:t xml:space="preserve">,</w:t>
            </w:r>
            <w:r>
              <w:t xml:space="preserve"> </w:t>
            </w:r>
            <w:r>
              <w:rPr>
                <w:rStyle w:val="VerbatimChar"/>
              </w:rPr>
              <w:t xml:space="preserve">label</w:t>
            </w:r>
            <w:r>
              <w:t xml:space="preserve">,</w:t>
            </w:r>
            <w:r>
              <w:t xml:space="preserve"> </w:t>
            </w:r>
            <w:r>
              <w:rPr>
                <w:rStyle w:val="VerbatimChar"/>
              </w:rPr>
              <w:t xml:space="preserve">result_json</w:t>
            </w:r>
            <w:r>
              <w:t xml:space="preserve">,</w:t>
            </w:r>
            <w:r>
              <w:t xml:space="preserve"> </w:t>
            </w:r>
            <w:r>
              <w:rPr>
                <w:rStyle w:val="VerbatimChar"/>
              </w:rPr>
              <w:t xml:space="preserve">parent_run_id</w:t>
            </w:r>
            <w:r>
              <w:t xml:space="preserve"> </w:t>
            </w:r>
            <w:r>
              <w:t xml:space="preserve">for regeneration chains,</w:t>
            </w:r>
            <w:r>
              <w:t xml:space="preserve"> </w:t>
            </w:r>
            <w:r>
              <w:rPr>
                <w:rStyle w:val="VerbatimChar"/>
              </w:rPr>
              <w:t xml:space="preserve">linked_context_ids</w:t>
            </w:r>
            <w:r>
              <w:t xml:space="preserve">,</w:t>
            </w:r>
            <w:r>
              <w:t xml:space="preserve"> </w:t>
            </w:r>
            <w:r>
              <w:rPr>
                <w:rStyle w:val="VerbatimChar"/>
              </w:rPr>
              <w:t xml:space="preserve">workspace_id</w:t>
            </w:r>
            <w:r>
              <w:t xml:space="preserve">,</w:t>
            </w:r>
            <w:r>
              <w:t xml:space="preserve"> </w:t>
            </w:r>
            <w:r>
              <w:rPr>
                <w:rStyle w:val="VerbatimChar"/>
              </w:rPr>
              <w:t xml:space="preserve">feedback_text</w:t>
            </w:r>
            <w:r>
              <w:t xml:space="preserve">,</w:t>
            </w:r>
            <w:r>
              <w:t xml:space="preserve"> </w:t>
            </w:r>
            <w:r>
              <w:rPr>
                <w:rStyle w:val="VerbatimChar"/>
              </w:rPr>
              <w:t xml:space="preserve">created_at</w:t>
            </w:r>
            <w:r>
              <w:t xml:space="preserve">.</w:t>
            </w:r>
          </w:p>
        </w:tc>
      </w:tr>
      <w:tr>
        <w:tc>
          <w:tcPr/>
          <w:p>
            <w:pPr>
              <w:pStyle w:val="Compact"/>
            </w:pPr>
            <w:r>
              <w:rPr>
                <w:rStyle w:val="VerbatimChar"/>
              </w:rPr>
              <w:t xml:space="preserve">workspaces</w:t>
            </w:r>
          </w:p>
        </w:tc>
        <w:tc>
          <w:tcPr/>
          <w:p>
            <w:pPr>
              <w:pStyle w:val="Compact"/>
            </w:pPr>
            <w:r>
              <w:t xml:space="preserve">Optional grouping of tool runs around a single role search</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label</w:t>
            </w:r>
            <w:r>
              <w:t xml:space="preserve">, timestamps.</w:t>
            </w:r>
          </w:p>
        </w:tc>
      </w:tr>
    </w:tbl>
    <w:p>
      <w:pPr>
        <w:pStyle w:val="BodyText"/>
      </w:pPr>
      <w:r>
        <w:t xml:space="preserve">Two design choices on the data model deserve note.</w:t>
      </w:r>
    </w:p>
    <w:p>
      <w:pPr>
        <w:pStyle w:val="BodyText"/>
      </w:pPr>
      <w:r>
        <w:t xml:space="preserve">First,</w:t>
      </w:r>
      <w:r>
        <w:t xml:space="preserve"> </w:t>
      </w:r>
      <w:r>
        <w:rPr>
          <w:b/>
          <w:bCs/>
        </w:rPr>
        <w:t xml:space="preserve">regeneration never overwrites</w:t>
      </w:r>
      <w:r>
        <w:t xml:space="preserve">. A regenerated tool run is a new</w:t>
      </w:r>
      <w:r>
        <w:t xml:space="preserve"> </w:t>
      </w:r>
      <w:r>
        <w:rPr>
          <w:rStyle w:val="VerbatimChar"/>
        </w:rPr>
        <w:t xml:space="preserve">tool_runs</w:t>
      </w:r>
      <w:r>
        <w:t xml:space="preserve"> </w:t>
      </w:r>
      <w:r>
        <w:t xml:space="preserve">row whose</w:t>
      </w:r>
      <w:r>
        <w:t xml:space="preserve"> </w:t>
      </w:r>
      <w:r>
        <w:rPr>
          <w:rStyle w:val="VerbatimChar"/>
        </w:rPr>
        <w:t xml:space="preserve">parent_run_id</w:t>
      </w:r>
      <w:r>
        <w:t xml:space="preserve"> </w:t>
      </w:r>
      <w:r>
        <w:t xml:space="preserve">points to the original. This produces a complete audit trail of the user’s iteration on any single piece of analytical work, and supports rolling back a result that the user found less useful than its predecessor.</w:t>
      </w:r>
    </w:p>
    <w:p>
      <w:pPr>
        <w:pStyle w:val="BodyText"/>
      </w:pPr>
      <w:r>
        <w:t xml:space="preserve">Second,</w:t>
      </w:r>
      <w:r>
        <w:t xml:space="preserve"> </w:t>
      </w:r>
      <w:r>
        <w:rPr>
          <w:b/>
          <w:bCs/>
        </w:rPr>
        <w:t xml:space="preserve">guest tool runs are never persisted to the database</w:t>
      </w:r>
      <w:r>
        <w:t xml:space="preserve">. Unauthenticated users can run any tool from the demo landing page; the result is held in an in-memory map keyed by a session cookie and discarded after a short TTL. This keeps the user research path open without polluting the persistence layer with low-value records, and isolates the cost-relevant tool runs (authenticated, persisted) from the cost-irrelevant ones (guest, ephemeral).</w:t>
      </w:r>
    </w:p>
    <w:bookmarkEnd w:id="43"/>
    <w:bookmarkStart w:id="44" w:name="authentication-and-security"/>
    <w:p>
      <w:pPr>
        <w:pStyle w:val="Heading2"/>
      </w:pPr>
      <w:r>
        <w:rPr>
          <w:b/>
          <w:i w:val="0"/>
          <w:sz w:val="28"/>
        </w:rPr>
        <w:t xml:space="preserve">2.6 Authentication and security</w:t>
      </w:r>
    </w:p>
    <w:p>
      <w:pPr>
        <w:pStyle w:val="FirstParagraph"/>
      </w:pPr>
      <w:r>
        <w:t xml:space="preserve">Authentication uses JSON Web Tokens carried in HttpOnly cookies. There are two cookies: a 30-minute</w:t>
      </w:r>
      <w:r>
        <w:t xml:space="preserve"> </w:t>
      </w:r>
      <w:r>
        <w:rPr>
          <w:i/>
          <w:iCs/>
        </w:rPr>
        <w:t xml:space="preserve">access</w:t>
      </w:r>
      <w:r>
        <w:t xml:space="preserve"> </w:t>
      </w:r>
      <w:r>
        <w:t xml:space="preserve">token and a 7-day</w:t>
      </w:r>
      <w:r>
        <w:t xml:space="preserve"> </w:t>
      </w:r>
      <w:r>
        <w:rPr>
          <w:i/>
          <w:iCs/>
        </w:rPr>
        <w:t xml:space="preserve">refresh</w:t>
      </w:r>
      <w:r>
        <w:t xml:space="preserve"> </w:t>
      </w:r>
      <w:r>
        <w:t xml:space="preserve">token. The access token carries the user identifier and is validated on every protected request through a FastAPI dependency. The refresh token is sent only to a single endpoint (</w:t>
      </w:r>
      <w:r>
        <w:rPr>
          <w:rStyle w:val="VerbatimChar"/>
        </w:rPr>
        <w:t xml:space="preserve">/auth/refresh</w:t>
      </w:r>
      <w:r>
        <w:t xml:space="preserve">) and is rotated on every successful refresh; the previous refresh token is invalidated atomically with the issue of the new pair to prevent replay. Cookies are marked</w:t>
      </w:r>
      <w:r>
        <w:t xml:space="preserve"> </w:t>
      </w:r>
      <w:r>
        <w:rPr>
          <w:rStyle w:val="VerbatimChar"/>
        </w:rPr>
        <w:t xml:space="preserve">Secure</w:t>
      </w:r>
      <w:r>
        <w:t xml:space="preserve">,</w:t>
      </w:r>
      <w:r>
        <w:t xml:space="preserve"> </w:t>
      </w:r>
      <w:r>
        <w:rPr>
          <w:rStyle w:val="VerbatimChar"/>
        </w:rPr>
        <w:t xml:space="preserve">SameSite=Lax</w:t>
      </w:r>
      <w:r>
        <w:t xml:space="preserve">, and</w:t>
      </w:r>
      <w:r>
        <w:t xml:space="preserve"> </w:t>
      </w:r>
      <w:r>
        <w:rPr>
          <w:rStyle w:val="VerbatimChar"/>
        </w:rPr>
        <w:t xml:space="preserve">HttpOnly</w:t>
      </w:r>
      <w:r>
        <w:t xml:space="preserve">. No CSRF tokens are issued, because the API accepts only</w:t>
      </w:r>
      <w:r>
        <w:t xml:space="preserve"> </w:t>
      </w:r>
      <w:r>
        <w:rPr>
          <w:rStyle w:val="VerbatimChar"/>
        </w:rPr>
        <w:t xml:space="preserve">application/json</w:t>
      </w:r>
      <w:r>
        <w:t xml:space="preserve"> </w:t>
      </w:r>
      <w:r>
        <w:t xml:space="preserve">request bodies and the SameSite policy is sufficient against the threat model.</w:t>
      </w:r>
    </w:p>
    <w:p>
      <w:pPr>
        <w:pStyle w:val="BodyText"/>
      </w:pPr>
      <w:r>
        <w:t xml:space="preserve">Federated login is supported through Google OAuth using the</w:t>
      </w:r>
      <w:r>
        <w:t xml:space="preserve"> </w:t>
      </w:r>
      <w:r>
        <w:rPr>
          <w:rStyle w:val="VerbatimChar"/>
        </w:rPr>
        <w:t xml:space="preserve">authlib</w:t>
      </w:r>
      <w:r>
        <w:t xml:space="preserve"> </w:t>
      </w:r>
      <w:r>
        <w:t xml:space="preserve">library. Password reset is implemented through a single-use token sent by Resend; the token is bound to a hash of the user’s current password hash, so a successful reset implicitly invalidates earlier reset tokens.</w:t>
      </w:r>
    </w:p>
    <w:p>
      <w:pPr>
        <w:pStyle w:val="BodyText"/>
      </w:pPr>
      <w:r>
        <w:t xml:space="preserve">Beyond authentication, three additional security measures are worth noting. Inputs are sanitised before reaching any prompt builder (Section 2.3.2). Disposable-email domains are blocklisted at signup. Rate limiting is enforced through</w:t>
      </w:r>
      <w:r>
        <w:t xml:space="preserve"> </w:t>
      </w:r>
      <w:r>
        <w:rPr>
          <w:rStyle w:val="VerbatimChar"/>
        </w:rPr>
        <w:t xml:space="preserve">slowapi</w:t>
      </w:r>
      <w:r>
        <w:t xml:space="preserve">, with stricter limits on login and password-reset endpoints than on the tool endpoints.</w:t>
      </w:r>
    </w:p>
    <w:bookmarkEnd w:id="44"/>
    <w:bookmarkStart w:id="48" w:name="deployment-topology"/>
    <w:p>
      <w:pPr>
        <w:pStyle w:val="Heading2"/>
      </w:pPr>
      <w:r>
        <w:rPr>
          <w:b/>
          <w:i w:val="0"/>
          <w:sz w:val="28"/>
        </w:rPr>
        <w:t xml:space="preserve">2.7 Deployment topology</w:t>
      </w:r>
    </w:p>
    <w:p>
      <w:pPr>
        <w:pStyle w:val="FirstParagraph"/>
      </w:pPr>
      <w:r>
        <w:t xml:space="preserve">The production deployment runs as a single Railway project containing three services (Figure 2.3).</w:t>
      </w:r>
    </w:p>
    <w:p>
      <w:pPr>
        <w:pStyle w:val="CaptionedFigure"/>
        <w:jc w:val="center"/>
      </w:pPr>
      <w:r>
        <w:drawing>
          <wp:inline>
            <wp:extent cx="5334000" cy="2177691"/>
            <wp:effectExtent b="0" l="0" r="0" t="0"/>
            <wp:docPr descr="Figure 2.3 — Production deployment topology. Browser traffic resolves through Cloudflare DNS and TLS into a single Railway hostname; path-based routing at the Railway edge delivers the / path to the Vite-built frontend service and the /api/v1/* path to the FastAPI backend service. The backend uses a Railway-managed PostgreSQL add-on for persistence and three external dependencies — Vertex AI Gemini 2.5 Flash for inference, Resend for transactional email, and Sentry for error tracking. Both services emit metrics and breadcrumbs to the observability tier." title="" id="46" name="Picture"/>
            <a:graphic>
              <a:graphicData uri="http://schemas.openxmlformats.org/drawingml/2006/picture">
                <pic:pic>
                  <pic:nvPicPr>
                    <pic:cNvPr descr="figures/figure-2-3-deployment.png" id="47" name="Picture"/>
                    <pic:cNvPicPr>
                      <a:picLocks noChangeArrowheads="1" noChangeAspect="1"/>
                    </pic:cNvPicPr>
                  </pic:nvPicPr>
                  <pic:blipFill>
                    <a:blip r:embed="rId45"/>
                    <a:stretch>
                      <a:fillRect/>
                    </a:stretch>
                  </pic:blipFill>
                  <pic:spPr bwMode="auto">
                    <a:xfrm>
                      <a:off x="0" y="0"/>
                      <a:ext cx="5334000" cy="2177691"/>
                    </a:xfrm>
                    <a:prstGeom prst="rect">
                      <a:avLst/>
                    </a:prstGeom>
                    <a:noFill/>
                    <a:ln w="9525">
                      <a:noFill/>
                      <a:headEnd/>
                      <a:tailEnd/>
                    </a:ln>
                  </pic:spPr>
                </pic:pic>
              </a:graphicData>
            </a:graphic>
          </wp:inline>
        </w:drawing>
      </w:r>
    </w:p>
    <w:p>
      <w:pPr>
        <w:pStyle w:val="ImageCaption"/>
      </w:pPr>
      <w:r>
        <w:t xml:space="preserve">Figure 2.3 — Production deployment topology. Browser traffic resolves through Cloudflare DNS and TLS into a single Railway hostname; path-based routing at the Railway edge delivers the</w:t>
      </w:r>
      <w:r>
        <w:t xml:space="preserve"> </w:t>
      </w:r>
      <w:r>
        <w:rPr>
          <w:rStyle w:val="VerbatimChar"/>
        </w:rPr>
        <w:t xml:space="preserve">/</w:t>
      </w:r>
      <w:r>
        <w:t xml:space="preserve"> </w:t>
      </w:r>
      <w:r>
        <w:t xml:space="preserve">path to the Vite-built frontend service and the</w:t>
      </w:r>
      <w:r>
        <w:t xml:space="preserve"> </w:t>
      </w:r>
      <w:r>
        <w:rPr>
          <w:rStyle w:val="VerbatimChar"/>
        </w:rPr>
        <w:t xml:space="preserve">/api/v1/*</w:t>
      </w:r>
      <w:r>
        <w:t xml:space="preserve"> </w:t>
      </w:r>
      <w:r>
        <w:t xml:space="preserve">path to the FastAPI backend service. The backend uses a Railway-managed PostgreSQL add-on for persistence and three external dependencies — Vertex AI Gemini 2.5 Flash for inference, Resend for transactional email, and Sentry for error tracking. Both services emit metrics and breadcrumbs to the observability tier.</w:t>
      </w:r>
    </w:p>
    <w:p>
      <w:pPr>
        <w:pStyle w:val="BodyText"/>
      </w:pPr>
      <w:r>
        <w:t xml:space="preserve">The frontend and the backend share a single hostname, with path-based routing decided at the Railway edge. This eliminates cross-origin concerns for the SPA’s API calls and simplifies cookie configuration. The Postgres database is provisioned as a managed Railway add-on; backups are configured to retain seven daily snapshots.</w:t>
      </w:r>
    </w:p>
    <w:p>
      <w:pPr>
        <w:pStyle w:val="BodyText"/>
      </w:pPr>
      <w:r>
        <w:t xml:space="preserve">Continuous deployment is wired to a single branch (</w:t>
      </w:r>
      <w:r>
        <w:rPr>
          <w:rStyle w:val="VerbatimChar"/>
        </w:rPr>
        <w:t xml:space="preserve">deploy</w:t>
      </w:r>
      <w:r>
        <w:t xml:space="preserve">). Pushing to</w:t>
      </w:r>
      <w:r>
        <w:t xml:space="preserve"> </w:t>
      </w:r>
      <w:r>
        <w:rPr>
          <w:rStyle w:val="VerbatimChar"/>
        </w:rPr>
        <w:t xml:space="preserve">main</w:t>
      </w:r>
      <w:r>
        <w:t xml:space="preserve"> </w:t>
      </w:r>
      <w:r>
        <w:t xml:space="preserve">is a development checkpoint; promoting a commit to</w:t>
      </w:r>
      <w:r>
        <w:t xml:space="preserve"> </w:t>
      </w:r>
      <w:r>
        <w:rPr>
          <w:rStyle w:val="VerbatimChar"/>
        </w:rPr>
        <w:t xml:space="preserve">deploy</w:t>
      </w:r>
      <w:r>
        <w:t xml:space="preserve"> </w:t>
      </w:r>
      <w:r>
        <w:t xml:space="preserve">triggers a Railway build and rolls out the new revision with a brief health-check window before traffic is cut over. This two-branch model is intentional: it keeps the deployment surface narrow without introducing a CI/CD pipeline whose maintenance overhead is out of proportion to a thesis-scoped project.</w:t>
      </w:r>
    </w:p>
    <w:p>
      <w:pPr>
        <w:pStyle w:val="BodyText"/>
      </w:pPr>
      <w:r>
        <w:t xml:space="preserve">The Railway choice was driven by the desire for a unified deployment surface. Serving the frontend at</w:t>
      </w:r>
      <w:r>
        <w:t xml:space="preserve"> </w:t>
      </w:r>
      <w:r>
        <w:rPr>
          <w:rStyle w:val="VerbatimChar"/>
        </w:rPr>
        <w:t xml:space="preserve">/</w:t>
      </w:r>
      <w:r>
        <w:t xml:space="preserve"> </w:t>
      </w:r>
      <w:r>
        <w:t xml:space="preserve">and the backend at</w:t>
      </w:r>
      <w:r>
        <w:t xml:space="preserve"> </w:t>
      </w:r>
      <w:r>
        <w:rPr>
          <w:rStyle w:val="VerbatimChar"/>
        </w:rPr>
        <w:t xml:space="preserve">/api/*</w:t>
      </w:r>
      <w:r>
        <w:t xml:space="preserve"> </w:t>
      </w:r>
      <w:r>
        <w:t xml:space="preserve">from a single hostname collapses the entire system into one domain, which removes an entire class of CORS and</w:t>
      </w:r>
      <w:r>
        <w:t xml:space="preserve"> </w:t>
      </w:r>
      <w:r>
        <w:rPr>
          <w:rStyle w:val="VerbatimChar"/>
        </w:rPr>
        <w:t xml:space="preserve">SameSite</w:t>
      </w:r>
      <w:r>
        <w:t xml:space="preserve">-cookie configuration bugs from the project before they can be introduced. Split-deployment alternatives — typically a frontend host such as Vercel paired with a separate backend host — were considered briefly, but the operational overhead of running two services without a team to absorb that overhead did not seem justified at the project’s scope. The same single-domain choice also meant that no separate edge router was required to glue the two halves of the application together at the boundary.</w:t>
      </w:r>
    </w:p>
    <w:p>
      <w:pPr>
        <w:pStyle w:val="BodyText"/>
      </w:pPr>
      <w:r>
        <w:t xml:space="preserve">The next chapter details the implementation of each of the six tools that this architecture supports.</w:t>
      </w:r>
    </w:p>
    <w:bookmarkEnd w:id="48"/>
    <w:bookmarkEnd w:id="49"/>
    <w:bookmarkStart w:id="75" w:name="chapter-3-tool-implementations"/>
    <w:p>
      <w:pPr>
        <w:pStyle w:val="Heading1"/>
        <w:pageBreakBefore/>
        <w:spacing w:before="0" w:after="240"/>
      </w:pPr>
      <w:r>
        <w:rPr>
          <w:b/>
          <w:i w:val="0"/>
          <w:sz w:val="36"/>
        </w:rPr>
        <w:t xml:space="preserve">Chapter 3 — Tool implementations</w:t>
      </w:r>
    </w:p>
    <w:p>
      <w:pPr>
        <w:pStyle w:val="FirstParagraph"/>
      </w:pPr>
      <w:r>
        <w:t xml:space="preserve">This chapter describes the six tools that compose the user-facing surface of the system: Resume Analyzer, Job Match, Career Path, Cover Letter, Interview Q&amp;A, and Portfolio Planner. They divide naturally into three groups by the role they play in the candidate’s workflow. The</w:t>
      </w:r>
      <w:r>
        <w:t xml:space="preserve"> </w:t>
      </w:r>
      <w:r>
        <w:rPr>
          <w:i/>
          <w:iCs/>
        </w:rPr>
        <w:t xml:space="preserve">primary</w:t>
      </w:r>
      <w:r>
        <w:t xml:space="preserve"> </w:t>
      </w:r>
      <w:r>
        <w:t xml:space="preserve">tools (Resume, Job Match) produce numerical assessments and can therefore be run in either the blended or the fully-heuristic mode introduced in Chapter 4. The</w:t>
      </w:r>
      <w:r>
        <w:t xml:space="preserve"> </w:t>
      </w:r>
      <w:r>
        <w:rPr>
          <w:i/>
          <w:iCs/>
        </w:rPr>
        <w:t xml:space="preserve">application</w:t>
      </w:r>
      <w:r>
        <w:t xml:space="preserve"> </w:t>
      </w:r>
      <w:r>
        <w:t xml:space="preserve">tools (Cover Letter, Interview Q&amp;A) generate creative artefacts and are LLM-only by construction. The</w:t>
      </w:r>
      <w:r>
        <w:t xml:space="preserve"> </w:t>
      </w:r>
      <w:r>
        <w:rPr>
          <w:i/>
          <w:iCs/>
        </w:rPr>
        <w:t xml:space="preserve">planning</w:t>
      </w:r>
      <w:r>
        <w:t xml:space="preserve"> </w:t>
      </w:r>
      <w:r>
        <w:t xml:space="preserve">tools (Career Path, Portfolio Planner) sit between these two extremes; they consume the resume to produce structured forward-looking guidance whose quality depends primarily on the language model’s reasoning over the heuristic prepass.</w:t>
      </w:r>
    </w:p>
    <w:p>
      <w:pPr>
        <w:pStyle w:val="BodyText"/>
      </w:pPr>
      <w:r>
        <w:t xml:space="preserve">Before discussing each tool, Section 3.1 isolates the cross-cutting concerns that all six share, so that the per-tool sections can focus on what is specific to each.</w:t>
      </w:r>
    </w:p>
    <w:bookmarkStart w:id="55" w:name="cross-cutting-design"/>
    <w:p>
      <w:pPr>
        <w:pStyle w:val="Heading2"/>
      </w:pPr>
      <w:r>
        <w:rPr>
          <w:b/>
          <w:i w:val="0"/>
          <w:sz w:val="28"/>
        </w:rPr>
        <w:t xml:space="preserve">3.1 Cross-cutting design</w:t>
      </w:r>
    </w:p>
    <w:bookmarkStart w:id="50" w:name="the-structured-output-llm-client"/>
    <w:p>
      <w:pPr>
        <w:pStyle w:val="Heading3"/>
      </w:pPr>
      <w:r>
        <w:rPr>
          <w:b/>
          <w:i/>
          <w:sz w:val="24"/>
        </w:rPr>
        <w:t xml:space="preserve">3.1.1 The structured-output LLM client</w:t>
      </w:r>
    </w:p>
    <w:p>
      <w:pPr>
        <w:pStyle w:val="FirstParagraph"/>
      </w:pPr>
      <w:r>
        <w:t xml:space="preserve">All LLM calls go through a single coroutine,</w:t>
      </w:r>
      <w:r>
        <w:t xml:space="preserve"> </w:t>
      </w:r>
      <w:r>
        <w:rPr>
          <w:rStyle w:val="VerbatimChar"/>
        </w:rPr>
        <w:t xml:space="preserve">complete_structured(system_prompt, user_prompt, schema=None, model_override=None)</w:t>
      </w:r>
      <w:r>
        <w:t xml:space="preserve">, defined in</w:t>
      </w:r>
      <w:r>
        <w:t xml:space="preserve"> </w:t>
      </w:r>
      <w:r>
        <w:rPr>
          <w:rStyle w:val="VerbatimChar"/>
        </w:rPr>
        <w:t xml:space="preserve">app/services/ai_client.py</w:t>
      </w:r>
      <w:r>
        <w:t xml:space="preserve">. The function lazily initialises the Vertex AI SDK once per process, dispatches the request to the configured provider (</w:t>
      </w:r>
      <w:r>
        <w:rPr>
          <w:rStyle w:val="VerbatimChar"/>
        </w:rPr>
        <w:t xml:space="preserve">vertex</w:t>
      </w:r>
      <w:r>
        <w:t xml:space="preserve"> </w:t>
      </w:r>
      <w:r>
        <w:t xml:space="preserve">in production), and returns a parsed Python dictionary.</w:t>
      </w:r>
    </w:p>
    <w:p>
      <w:pPr>
        <w:pStyle w:val="BodyText"/>
      </w:pPr>
      <w:r>
        <w:t xml:space="preserve">Two reliability mechanisms are built into the client.</w:t>
      </w:r>
      <w:r>
        <w:t xml:space="preserve"> </w:t>
      </w:r>
      <w:r>
        <w:rPr>
          <w:b/>
          <w:bCs/>
        </w:rPr>
        <w:t xml:space="preserve">Per-call timeout</w:t>
      </w:r>
      <w:r>
        <w:t xml:space="preserve"> </w:t>
      </w:r>
      <w:r>
        <w:t xml:space="preserve">bounds an individual generation at 120 seconds; this is well above the 95th-percentile latency observed in practice but short enough that a stuck request does not tie up a worker indefinitely.</w:t>
      </w:r>
      <w:r>
        <w:t xml:space="preserve"> </w:t>
      </w:r>
      <w:r>
        <w:rPr>
          <w:b/>
          <w:bCs/>
        </w:rPr>
        <w:t xml:space="preserve">Exponential backoff with jitter</w:t>
      </w:r>
      <w:r>
        <w:t xml:space="preserve"> </w:t>
      </w:r>
      <w:r>
        <w:t xml:space="preserve">retries up to four times — at 5, 10, 20, and 40 seconds, plus a small random offset — for transient errors (</w:t>
      </w:r>
      <w:r>
        <w:rPr>
          <w:rStyle w:val="VerbatimChar"/>
        </w:rPr>
        <w:t xml:space="preserve">TimeoutError</w:t>
      </w:r>
      <w:r>
        <w:t xml:space="preserve">,</w:t>
      </w:r>
      <w:r>
        <w:t xml:space="preserve"> </w:t>
      </w:r>
      <w:r>
        <w:rPr>
          <w:rStyle w:val="VerbatimChar"/>
        </w:rPr>
        <w:t xml:space="preserve">RuntimeError</w:t>
      </w:r>
      <w:r>
        <w:t xml:space="preserve">,</w:t>
      </w:r>
      <w:r>
        <w:t xml:space="preserve"> </w:t>
      </w:r>
      <w:r>
        <w:rPr>
          <w:rStyle w:val="VerbatimChar"/>
        </w:rPr>
        <w:t xml:space="preserve">json.JSONDecodeError</w:t>
      </w:r>
      <w:r>
        <w:t xml:space="preserve">). JSON-decode errors are retried because Gemini occasionally truncates structured output under load; the retry loop deliberately excludes</w:t>
      </w:r>
      <w:r>
        <w:t xml:space="preserve"> </w:t>
      </w:r>
      <w:r>
        <w:rPr>
          <w:rStyle w:val="VerbatimChar"/>
        </w:rPr>
        <w:t xml:space="preserve">ValueError</w:t>
      </w:r>
      <w:r>
        <w:t xml:space="preserve">, which is reserved for unrecoverable configuration errors that do not benefit from retrying. After the final retry exhausts, the exception propagates upward, where each tool service decides how to handle it according to the policy described in Section 3.1.4.</w:t>
      </w:r>
    </w:p>
    <w:p>
      <w:pPr>
        <w:pStyle w:val="BodyText"/>
      </w:pPr>
      <w:r>
        <w:t xml:space="preserve">The specific retry schedule (5, 10, 20, 40 seconds) was tuned empirically rather than chosen from a textbook. An earlier version used a tighter 2–4–8–16 schedule; this turned out to retry faster than Vertex AI’s transient-error window would clear, and the third retry would still hit the same upstream failure. Doubling the base delay to 5 seconds eliminated the pattern almost completely and added at most an extra 30 seconds of waiting in the worst case, which the user-facing UI absorbs comfortably.</w:t>
      </w:r>
    </w:p>
    <w:bookmarkEnd w:id="50"/>
    <w:bookmarkStart w:id="51" w:name="the-locked-payload-prompt-pattern"/>
    <w:p>
      <w:pPr>
        <w:pStyle w:val="Heading3"/>
      </w:pPr>
      <w:r>
        <w:rPr>
          <w:b/>
          <w:i/>
          <w:sz w:val="24"/>
        </w:rPr>
        <w:t xml:space="preserve">3.1.2 The locked-payload prompt pattern</w:t>
      </w:r>
    </w:p>
    <w:p>
      <w:pPr>
        <w:pStyle w:val="FirstParagraph"/>
      </w:pPr>
      <w:r>
        <w:t xml:space="preserve">For the analytical tools (Resume Analyzer, Job Match) the prompt builder constructs three blocks: a</w:t>
      </w:r>
      <w:r>
        <w:t xml:space="preserve"> </w:t>
      </w:r>
      <w:r>
        <w:rPr>
          <w:i/>
          <w:iCs/>
        </w:rPr>
        <w:t xml:space="preserve">system</w:t>
      </w:r>
      <w:r>
        <w:t xml:space="preserve"> </w:t>
      </w:r>
      <w:r>
        <w:t xml:space="preserve">prompt that establishes role, register, and forbidden behaviours; a</w:t>
      </w:r>
      <w:r>
        <w:t xml:space="preserve"> </w:t>
      </w:r>
      <w:r>
        <w:rPr>
          <w:i/>
          <w:iCs/>
        </w:rPr>
        <w:t xml:space="preserve">user</w:t>
      </w:r>
      <w:r>
        <w:t xml:space="preserve"> </w:t>
      </w:r>
      <w:r>
        <w:t xml:space="preserve">prompt that contains the resume and (where applicable) the job description; and a</w:t>
      </w:r>
      <w:r>
        <w:t xml:space="preserve"> </w:t>
      </w:r>
      <w:r>
        <w:rPr>
          <w:i/>
          <w:iCs/>
        </w:rPr>
        <w:t xml:space="preserve">locked-payload</w:t>
      </w:r>
      <w:r>
        <w:t xml:space="preserve"> </w:t>
      </w:r>
      <w:r>
        <w:t xml:space="preserve">block that contains the full output of the heuristic prepass. The locked payload includes the deterministic score breakdown, the detected sections, the matched and missing keywords, and the evidence list. The LLM is instructed to treat this block as authoritative ground truth — to not modify the numerical scores, to not contradict the keyword detection, and to respect the evidence the prepass has already surfaced. This pattern stabilises the LLM’s output against prompt perturbations and aligns the LLM’s reasoning with a reproducible baseline. For the comparative study reported in Chapter 4, it is also the reason why disabling the LLM call (the fully-heuristic mode) does not require a parallel codepath — the heuristic prepass already produces a complete response on its own.</w:t>
      </w:r>
    </w:p>
    <w:bookmarkEnd w:id="51"/>
    <w:bookmarkStart w:id="52" w:name="pydantic-validated-structured-output"/>
    <w:p>
      <w:pPr>
        <w:pStyle w:val="Heading3"/>
      </w:pPr>
      <w:r>
        <w:rPr>
          <w:b/>
          <w:i/>
          <w:sz w:val="24"/>
        </w:rPr>
        <w:t xml:space="preserve">3.1.3 Pydantic-validated structured output</w:t>
      </w:r>
    </w:p>
    <w:p>
      <w:pPr>
        <w:pStyle w:val="FirstParagraph"/>
      </w:pPr>
      <w:r>
        <w:t xml:space="preserve">Every LLM response is validated against a Pydantic schema defined in</w:t>
      </w:r>
      <w:r>
        <w:t xml:space="preserve"> </w:t>
      </w:r>
      <w:r>
        <w:rPr>
          <w:rStyle w:val="VerbatimChar"/>
        </w:rPr>
        <w:t xml:space="preserve">app/schemas/tools.py</w:t>
      </w:r>
      <w:r>
        <w:t xml:space="preserve">. The schema is bidirectional: the same definition that constrains the JSON returned by Gemini also defines the Zod schema used by the frontend (</w:t>
      </w:r>
      <w:r>
        <w:rPr>
          <w:rStyle w:val="VerbatimChar"/>
        </w:rPr>
        <w:t xml:space="preserve">frontend/src/lib/api/schemas.ts</w:t>
      </w:r>
      <w:r>
        <w:t xml:space="preserve">) to validate the API response before rendering it. Keeping these two definitions in lock-step is enforced through code review rather than through codegen, on the principle that the volume of fields in this project is small enough to not warrant a separate build step. Schema-constrained generation in current language models generally reduces parsing-error rates relative to free-form prompting, with adherence rates that depend on the model and on the prompt style; the operational data observed during the implementation of this thesis is consistent with that direction, although a precise per-cent agreement is not claimed here.</w:t>
      </w:r>
    </w:p>
    <w:bookmarkEnd w:id="52"/>
    <w:bookmarkStart w:id="53" w:name="fallback-policy"/>
    <w:p>
      <w:pPr>
        <w:pStyle w:val="Heading3"/>
      </w:pPr>
      <w:r>
        <w:rPr>
          <w:b/>
          <w:i/>
          <w:sz w:val="24"/>
        </w:rPr>
        <w:t xml:space="preserve">3.1.4 Fallback policy</w:t>
      </w:r>
    </w:p>
    <w:p>
      <w:pPr>
        <w:pStyle w:val="FirstParagraph"/>
      </w:pPr>
      <w:r>
        <w:t xml:space="preserve">The system distinguishes two failure modes for an LLM call: a recoverable failure that should produce a degraded but useful response, and an unrecoverable failure that should surface as an explicit error to the user.</w:t>
      </w:r>
    </w:p>
    <w:p>
      <w:pPr>
        <w:pStyle w:val="BodyText"/>
      </w:pPr>
      <w:r>
        <w:t xml:space="preserve">For</w:t>
      </w:r>
      <w:r>
        <w:t xml:space="preserve"> </w:t>
      </w:r>
      <w:r>
        <w:rPr>
          <w:i/>
          <w:iCs/>
        </w:rPr>
        <w:t xml:space="preserve">analytical</w:t>
      </w:r>
      <w:r>
        <w:t xml:space="preserve"> </w:t>
      </w:r>
      <w:r>
        <w:t xml:space="preserve">tools (Resume Analyzer, Job Match) the recoverable path is taken: when</w:t>
      </w:r>
      <w:r>
        <w:t xml:space="preserve"> </w:t>
      </w:r>
      <w:r>
        <w:rPr>
          <w:rStyle w:val="VerbatimChar"/>
        </w:rPr>
        <w:t xml:space="preserve">complete_structured</w:t>
      </w:r>
      <w:r>
        <w:t xml:space="preserve"> </w:t>
      </w:r>
      <w:r>
        <w:t xml:space="preserve">raises after exhausting retries, the service constructs a complete response from the heuristic prepass alone — the same payload structure the LLM would have populated, but using the deterministic baseline as the source of truth. The user sees the result and a</w:t>
      </w:r>
      <w:r>
        <w:t xml:space="preserve"> </w:t>
      </w:r>
      <w:r>
        <w:rPr>
          <w:rStyle w:val="VerbatimChar"/>
        </w:rPr>
        <w:t xml:space="preserve">confidence_note</w:t>
      </w:r>
      <w:r>
        <w:t xml:space="preserve"> </w:t>
      </w:r>
      <w:r>
        <w:t xml:space="preserve">indicating that the analysis ran in heuristic-only mode. This design satisfies non-functional requirement N3 of Chapter 2.</w:t>
      </w:r>
    </w:p>
    <w:p>
      <w:pPr>
        <w:pStyle w:val="BodyText"/>
      </w:pPr>
      <w:r>
        <w:t xml:space="preserve">This fallback path was not added defensively at the design stage; it was added after intermittent transient failures during early testing produced the system’s first user-visible 500-class error. Once the heuristic fallback was wired up, the same code path made the comparative study described in Chapter 4 trivial to implement: the fully-heuristic mode is, mechanically, the fallback path triggered unconditionally rather than only on failure.</w:t>
      </w:r>
    </w:p>
    <w:p>
      <w:pPr>
        <w:pStyle w:val="BodyText"/>
      </w:pPr>
      <w:r>
        <w:t xml:space="preserve">For</w:t>
      </w:r>
      <w:r>
        <w:t xml:space="preserve"> </w:t>
      </w:r>
      <w:r>
        <w:rPr>
          <w:i/>
          <w:iCs/>
        </w:rPr>
        <w:t xml:space="preserve">generative</w:t>
      </w:r>
      <w:r>
        <w:t xml:space="preserve"> </w:t>
      </w:r>
      <w:r>
        <w:t xml:space="preserve">tools (Cover Letter, Interview Q&amp;A, Career Path, Portfolio) no fallback is offered. A heuristic-generated cover letter or interview-question list is not a credible substitute for an LLM-generated one; producing such an artefact would be misleading. These tools therefore raise a structured 503 error that the frontend renders as a retry-able failure state.</w:t>
      </w:r>
    </w:p>
    <w:bookmarkEnd w:id="53"/>
    <w:bookmarkStart w:id="54" w:name="caching"/>
    <w:p>
      <w:pPr>
        <w:pStyle w:val="Heading3"/>
      </w:pPr>
      <w:r>
        <w:rPr>
          <w:b/>
          <w:i/>
          <w:sz w:val="24"/>
        </w:rPr>
        <w:t xml:space="preserve">3.1.5 Caching</w:t>
      </w:r>
    </w:p>
    <w:p>
      <w:pPr>
        <w:pStyle w:val="FirstParagraph"/>
      </w:pPr>
      <w:r>
        <w:t xml:space="preserve">The shared pipeline (Chapter 2.3.2) computes a content hash from the tool name, the sanitised inputs, the user identifier, and any tool-specific cache keys. The result of a cache hit is returned without invoking the service function — and therefore without an LLM call. The cache is in-memory with a one-hour TTL and is intentionally not shared between processes; this is acceptable for thesis-scoped traffic, and Redis is documented in Chapter 5 as the planned upgrade for V1.1.</w:t>
      </w:r>
    </w:p>
    <w:bookmarkEnd w:id="54"/>
    <w:bookmarkEnd w:id="55"/>
    <w:bookmarkStart w:id="59" w:name="resume-analyzer"/>
    <w:p>
      <w:pPr>
        <w:pStyle w:val="Heading2"/>
      </w:pPr>
      <w:r>
        <w:rPr>
          <w:b/>
          <w:i w:val="0"/>
          <w:sz w:val="28"/>
        </w:rPr>
        <w:t xml:space="preserve">3.2 Resume Analyzer</w:t>
      </w:r>
    </w:p>
    <w:p>
      <w:pPr>
        <w:pStyle w:val="FirstParagraph"/>
      </w:pPr>
      <w:r>
        <w:t xml:space="preserve">The Resume Analyzer accepts a resume text and an optional target job description, and returns a five-axis quality assessment. It is the most heavily exercised tool in the system; every other tool can be invoked from the result page of the Resume Analyzer with the analysed resume already loaded.</w:t>
      </w:r>
    </w:p>
    <w:bookmarkStart w:id="56" w:name="input-contract"/>
    <w:p>
      <w:pPr>
        <w:pStyle w:val="Heading3"/>
      </w:pPr>
      <w:r>
        <w:rPr>
          <w:b/>
          <w:i/>
          <w:sz w:val="24"/>
        </w:rPr>
        <w:t xml:space="preserve">3.2.1 Input contract</w:t>
      </w:r>
    </w:p>
    <w:p>
      <w:pPr>
        <w:pStyle w:val="FirstParagraph"/>
      </w:pPr>
      <w:r>
        <w:t xml:space="preserve">The request body contains the raw resume text (free-form, minimum 80 characters), an optional job description text, and an optional</w:t>
      </w:r>
      <w:r>
        <w:t xml:space="preserve"> </w:t>
      </w:r>
      <w:r>
        <w:rPr>
          <w:rStyle w:val="VerbatimChar"/>
        </w:rPr>
        <w:t xml:space="preserve">feedback</w:t>
      </w:r>
      <w:r>
        <w:t xml:space="preserve"> </w:t>
      </w:r>
      <w:r>
        <w:t xml:space="preserve">string used when the user regenerates with a specific instruction.</w:t>
      </w:r>
    </w:p>
    <w:bookmarkEnd w:id="56"/>
    <w:bookmarkStart w:id="57" w:name="heuristic-prepass"/>
    <w:p>
      <w:pPr>
        <w:pStyle w:val="Heading3"/>
      </w:pPr>
      <w:r>
        <w:rPr>
          <w:b/>
          <w:i/>
          <w:sz w:val="24"/>
        </w:rPr>
        <w:t xml:space="preserve">3.2.2 Heuristic prepass</w:t>
      </w:r>
    </w:p>
    <w:p>
      <w:pPr>
        <w:pStyle w:val="FirstParagraph"/>
      </w:pPr>
      <w:r>
        <w:rPr>
          <w:rStyle w:val="VerbatimChar"/>
        </w:rPr>
        <w:t xml:space="preserve">build_resume_prepass(resume_text, job_description)</w:t>
      </w:r>
      <w:r>
        <w:t xml:space="preserve"> </w:t>
      </w:r>
      <w:r>
        <w:t xml:space="preserve">performs five extractions in a single pass over the resume text.</w:t>
      </w:r>
    </w:p>
    <w:p>
      <w:pPr>
        <w:pStyle w:val="Compact"/>
        <w:numPr>
          <w:ilvl w:val="0"/>
          <w:numId w:val="1006"/>
        </w:numPr>
      </w:pPr>
      <w:r>
        <w:rPr>
          <w:b/>
          <w:bCs/>
        </w:rPr>
        <w:t xml:space="preserve">Section detection.</w:t>
      </w:r>
      <w:r>
        <w:t xml:space="preserve"> </w:t>
      </w:r>
      <w:r>
        <w:t xml:space="preserve">A regular-expression pass identifies common resume section headers (</w:t>
      </w:r>
      <w:r>
        <w:rPr>
          <w:rStyle w:val="VerbatimChar"/>
        </w:rPr>
        <w:t xml:space="preserve">Summary</w:t>
      </w:r>
      <w:r>
        <w:t xml:space="preserve">,</w:t>
      </w:r>
      <w:r>
        <w:t xml:space="preserve"> </w:t>
      </w:r>
      <w:r>
        <w:rPr>
          <w:rStyle w:val="VerbatimChar"/>
        </w:rPr>
        <w:t xml:space="preserve">Experience</w:t>
      </w:r>
      <w:r>
        <w:t xml:space="preserve">,</w:t>
      </w:r>
      <w:r>
        <w:t xml:space="preserve"> </w:t>
      </w:r>
      <w:r>
        <w:rPr>
          <w:rStyle w:val="VerbatimChar"/>
        </w:rPr>
        <w:t xml:space="preserve">Skills</w:t>
      </w:r>
      <w:r>
        <w:t xml:space="preserve">,</w:t>
      </w:r>
      <w:r>
        <w:t xml:space="preserve"> </w:t>
      </w:r>
      <w:r>
        <w:rPr>
          <w:rStyle w:val="VerbatimChar"/>
        </w:rPr>
        <w:t xml:space="preserve">Education</w:t>
      </w:r>
      <w:r>
        <w:t xml:space="preserve">,</w:t>
      </w:r>
      <w:r>
        <w:t xml:space="preserve"> </w:t>
      </w:r>
      <w:r>
        <w:rPr>
          <w:rStyle w:val="VerbatimChar"/>
        </w:rPr>
        <w:t xml:space="preserve">Projects</w:t>
      </w:r>
      <w:r>
        <w:t xml:space="preserve">,</w:t>
      </w:r>
      <w:r>
        <w:t xml:space="preserve"> </w:t>
      </w:r>
      <w:r>
        <w:rPr>
          <w:rStyle w:val="VerbatimChar"/>
        </w:rPr>
        <w:t xml:space="preserve">Certifications</w:t>
      </w:r>
      <w:r>
        <w:t xml:space="preserve">) and returns the set of sections present.</w:t>
      </w:r>
    </w:p>
    <w:p>
      <w:pPr>
        <w:pStyle w:val="Compact"/>
        <w:numPr>
          <w:ilvl w:val="0"/>
          <w:numId w:val="1006"/>
        </w:numPr>
      </w:pPr>
      <w:r>
        <w:rPr>
          <w:b/>
          <w:bCs/>
        </w:rPr>
        <w:t xml:space="preserve">Keyword extraction.</w:t>
      </w:r>
      <w:r>
        <w:t xml:space="preserve"> </w:t>
      </w:r>
      <w:r>
        <w:t xml:space="preserve">When a job description is supplied, role-relevant keywords are extracted from the job description and matched against the resume. The result is a pair of lists: matched keywords and missing keywords. Chapter 4 introduces the strong-heuristic v2 of this extraction, which replaces the binary match/miss with a TF–IDF weighted overlap and a fuzzy-matching layer to accept minor surface variation.</w:t>
      </w:r>
    </w:p>
    <w:p>
      <w:pPr>
        <w:pStyle w:val="Compact"/>
        <w:numPr>
          <w:ilvl w:val="0"/>
          <w:numId w:val="1006"/>
        </w:numPr>
      </w:pPr>
      <w:r>
        <w:rPr>
          <w:b/>
          <w:bCs/>
        </w:rPr>
        <w:t xml:space="preserve">Quantification detection.</w:t>
      </w:r>
      <w:r>
        <w:t xml:space="preserve"> </w:t>
      </w:r>
      <w:r>
        <w:t xml:space="preserve">Bullet lines are scanned for numbers, percentages, currency tokens, and time periods that indicate measurable outcomes. The count of quantified bullets is one of the inputs to the</w:t>
      </w:r>
      <w:r>
        <w:t xml:space="preserve"> </w:t>
      </w:r>
      <w:r>
        <w:rPr>
          <w:i/>
          <w:iCs/>
        </w:rPr>
        <w:t xml:space="preserve">impact</w:t>
      </w:r>
      <w:r>
        <w:t xml:space="preserve"> </w:t>
      </w:r>
      <w:r>
        <w:t xml:space="preserve">sub-score.</w:t>
      </w:r>
    </w:p>
    <w:p>
      <w:pPr>
        <w:pStyle w:val="Compact"/>
        <w:numPr>
          <w:ilvl w:val="0"/>
          <w:numId w:val="1006"/>
        </w:numPr>
      </w:pPr>
      <w:r>
        <w:rPr>
          <w:b/>
          <w:bCs/>
        </w:rPr>
        <w:t xml:space="preserve">Skill extraction.</w:t>
      </w:r>
      <w:r>
        <w:t xml:space="preserve"> </w:t>
      </w:r>
      <w:r>
        <w:t xml:space="preserve">A curated list of skill phrases is searched against the resume; detected skills are returned as a list. Chapter 4 expands this stage to a top-down lookup against a bundled subset of the ESCO taxonomy [17].</w:t>
      </w:r>
    </w:p>
    <w:p>
      <w:pPr>
        <w:pStyle w:val="Compact"/>
        <w:numPr>
          <w:ilvl w:val="0"/>
          <w:numId w:val="1006"/>
        </w:numPr>
      </w:pPr>
      <w:r>
        <w:rPr>
          <w:b/>
          <w:bCs/>
        </w:rPr>
        <w:t xml:space="preserve">Structural metrics.</w:t>
      </w:r>
      <w:r>
        <w:t xml:space="preserve"> </w:t>
      </w:r>
      <w:r>
        <w:t xml:space="preserve">The total bullet count, the word count, and the number of detected sections are returned as inputs to the</w:t>
      </w:r>
      <w:r>
        <w:t xml:space="preserve"> </w:t>
      </w:r>
      <w:r>
        <w:rPr>
          <w:i/>
          <w:iCs/>
        </w:rPr>
        <w:t xml:space="preserve">structure</w:t>
      </w:r>
      <w:r>
        <w:t xml:space="preserve">,</w:t>
      </w:r>
      <w:r>
        <w:t xml:space="preserve"> </w:t>
      </w:r>
      <w:r>
        <w:rPr>
          <w:i/>
          <w:iCs/>
        </w:rPr>
        <w:t xml:space="preserve">clarity</w:t>
      </w:r>
      <w:r>
        <w:t xml:space="preserve">, and</w:t>
      </w:r>
      <w:r>
        <w:t xml:space="preserve"> </w:t>
      </w:r>
      <w:r>
        <w:rPr>
          <w:i/>
          <w:iCs/>
        </w:rPr>
        <w:t xml:space="preserve">completeness</w:t>
      </w:r>
      <w:r>
        <w:t xml:space="preserve"> </w:t>
      </w:r>
      <w:r>
        <w:t xml:space="preserve">sub-scores.</w:t>
      </w:r>
    </w:p>
    <w:p>
      <w:pPr>
        <w:pStyle w:val="FirstParagraph"/>
      </w:pPr>
      <w:r>
        <w:t xml:space="preserve">The five-axis score breakdown — keyword alignment, impact, structure, clarity, and completeness — is computed from these extractions through</w:t>
      </w:r>
      <w:r>
        <w:t xml:space="preserve"> </w:t>
      </w:r>
      <w:r>
        <w:rPr>
          <w:rStyle w:val="VerbatimChar"/>
        </w:rPr>
        <w:t xml:space="preserve">compute_resume_breakdown</w:t>
      </w:r>
      <w:r>
        <w:t xml:space="preserve"> </w:t>
      </w:r>
      <w:r>
        <w:t xml:space="preserve">in</w:t>
      </w:r>
      <w:r>
        <w:t xml:space="preserve"> </w:t>
      </w:r>
      <w:r>
        <w:rPr>
          <w:rStyle w:val="VerbatimChar"/>
        </w:rPr>
        <w:t xml:space="preserve">app/services/quality_signals.py</w:t>
      </w:r>
      <w:r>
        <w:t xml:space="preserve">. Each sub-score is clamped to the integer range [0, 100].</w:t>
      </w:r>
    </w:p>
    <w:bookmarkEnd w:id="57"/>
    <w:bookmarkStart w:id="58" w:name="prompt-and-post-processing"/>
    <w:p>
      <w:pPr>
        <w:pStyle w:val="Heading3"/>
      </w:pPr>
      <w:r>
        <w:rPr>
          <w:b/>
          <w:i/>
          <w:sz w:val="24"/>
        </w:rPr>
        <w:t xml:space="preserve">3.2.3 Prompt and post-processing</w:t>
      </w:r>
    </w:p>
    <w:p>
      <w:pPr>
        <w:pStyle w:val="FirstParagraph"/>
      </w:pPr>
      <w:r>
        <w:t xml:space="preserve">The resume prompt (</w:t>
      </w:r>
      <w:r>
        <w:rPr>
          <w:rStyle w:val="VerbatimChar"/>
        </w:rPr>
        <w:t xml:space="preserve">app/prompts/resume.py</w:t>
      </w:r>
      <w:r>
        <w:t xml:space="preserve">) instructs the LLM to act as a senior career coach producing a structured assessment. The locked payload includes the score breakdown and the evidence dictionary. The LLM is asked to populate four narrative fields (a one-line headline, a verdict, a confidence note, and a list of strengths), to expand the deterministic issue list into prose with</w:t>
      </w:r>
      <w:r>
        <w:t xml:space="preserve"> </w:t>
      </w:r>
      <w:r>
        <w:rPr>
          <w:rStyle w:val="VerbatimChar"/>
        </w:rPr>
        <w:t xml:space="preserve">why_it_matters</w:t>
      </w:r>
      <w:r>
        <w:t xml:space="preserve">,</w:t>
      </w:r>
      <w:r>
        <w:t xml:space="preserve"> </w:t>
      </w:r>
      <w:r>
        <w:rPr>
          <w:rStyle w:val="VerbatimChar"/>
        </w:rPr>
        <w:t xml:space="preserve">evidence</w:t>
      </w:r>
      <w:r>
        <w:t xml:space="preserve">, and</w:t>
      </w:r>
      <w:r>
        <w:t xml:space="preserve"> </w:t>
      </w:r>
      <w:r>
        <w:rPr>
          <w:rStyle w:val="VerbatimChar"/>
        </w:rPr>
        <w:t xml:space="preserve">fix</w:t>
      </w:r>
      <w:r>
        <w:t xml:space="preserve"> </w:t>
      </w:r>
      <w:r>
        <w:t xml:space="preserve">fields, and to produce up to three prioritised top actions that may be different in framing from the issues. When the user has specified a target role label in the job description, the LLM additionally produces a</w:t>
      </w:r>
      <w:r>
        <w:t xml:space="preserve"> </w:t>
      </w:r>
      <w:r>
        <w:rPr>
          <w:rStyle w:val="VerbatimChar"/>
        </w:rPr>
        <w:t xml:space="preserve">role_fit</w:t>
      </w:r>
      <w:r>
        <w:t xml:space="preserve"> </w:t>
      </w:r>
      <w:r>
        <w:t xml:space="preserve">block with a fit score and a rationale.</w:t>
      </w:r>
    </w:p>
    <w:p>
      <w:pPr>
        <w:pStyle w:val="BodyText"/>
      </w:pPr>
      <w:r>
        <w:t xml:space="preserve">The service then computes the blended score (heuristic 40%, LLM 60%) following the formula in Section 4.2 and returns a unified response object. When the heuristic and LLM overall scores diverge by more than 20 points, an explicit</w:t>
      </w:r>
      <w:r>
        <w:t xml:space="preserve"> </w:t>
      </w:r>
      <w:r>
        <w:rPr>
          <w:rStyle w:val="VerbatimChar"/>
        </w:rPr>
        <w:t xml:space="preserve">confidence_note</w:t>
      </w:r>
      <w:r>
        <w:t xml:space="preserve"> </w:t>
      </w:r>
      <w:r>
        <w:t xml:space="preserve">is added to the response surface so that the user understands that two independent estimates disagreed.</w:t>
      </w:r>
    </w:p>
    <w:bookmarkEnd w:id="58"/>
    <w:bookmarkEnd w:id="59"/>
    <w:bookmarkStart w:id="63" w:name="job-match"/>
    <w:p>
      <w:pPr>
        <w:pStyle w:val="Heading2"/>
      </w:pPr>
      <w:r>
        <w:rPr>
          <w:b/>
          <w:i w:val="0"/>
          <w:sz w:val="28"/>
        </w:rPr>
        <w:t xml:space="preserve">3.3 Job Match</w:t>
      </w:r>
    </w:p>
    <w:p>
      <w:pPr>
        <w:pStyle w:val="FirstParagraph"/>
      </w:pPr>
      <w:r>
        <w:t xml:space="preserve">The Job Match tool accepts a resume and a job description (provided as text or as a URL) and produces a structured match assessment.</w:t>
      </w:r>
    </w:p>
    <w:bookmarkStart w:id="60" w:name="input-contract-1"/>
    <w:p>
      <w:pPr>
        <w:pStyle w:val="Heading3"/>
      </w:pPr>
      <w:r>
        <w:rPr>
          <w:b/>
          <w:i/>
          <w:sz w:val="24"/>
        </w:rPr>
        <w:t xml:space="preserve">3.3.1 Input contract</w:t>
      </w:r>
    </w:p>
    <w:p>
      <w:pPr>
        <w:pStyle w:val="FirstParagraph"/>
      </w:pPr>
      <w:r>
        <w:t xml:space="preserve">The job description input may be a URL pointing to a public job posting. When a URL is supplied, the backend attempts to scrape the description through a layered strategy: a primary BeautifulSoup pass for static markup, a Playwright fallback for JavaScript-heavy posting boards, and a graceful paste prompt presented to the user when both attempts fail. The scraped text is then treated identically to a pasted text input.</w:t>
      </w:r>
    </w:p>
    <w:bookmarkEnd w:id="60"/>
    <w:bookmarkStart w:id="61" w:name="heuristic-prepass-1"/>
    <w:p>
      <w:pPr>
        <w:pStyle w:val="Heading3"/>
      </w:pPr>
      <w:r>
        <w:rPr>
          <w:b/>
          <w:i/>
          <w:sz w:val="24"/>
        </w:rPr>
        <w:t xml:space="preserve">3.3.2 Heuristic prepass</w:t>
      </w:r>
    </w:p>
    <w:p>
      <w:pPr>
        <w:pStyle w:val="FirstParagraph"/>
      </w:pPr>
      <w:r>
        <w:t xml:space="preserve">The Job Match prepass extends the Resume Analyzer prepass with a single additional output: a deterministic match score computed from the matched-keyword and missing-keyword lists through</w:t>
      </w:r>
      <w:r>
        <w:t xml:space="preserve"> </w:t>
      </w:r>
      <w:r>
        <w:rPr>
          <w:rStyle w:val="VerbatimChar"/>
        </w:rPr>
        <w:t xml:space="preserve">compute_match_score</w:t>
      </w:r>
      <w:r>
        <w:t xml:space="preserve"> </w:t>
      </w:r>
      <w:r>
        <w:t xml:space="preserve">in</w:t>
      </w:r>
      <w:r>
        <w:t xml:space="preserve"> </w:t>
      </w:r>
      <w:r>
        <w:rPr>
          <w:rStyle w:val="VerbatimChar"/>
        </w:rPr>
        <w:t xml:space="preserve">app/services/quality_signals.py</w:t>
      </w:r>
      <w:r>
        <w:t xml:space="preserve">. The function returns a value in [0, 100] derived from the matched-to-total ratio. The deterministic verdict (</w:t>
      </w:r>
      <w:r>
        <w:rPr>
          <w:rStyle w:val="VerbatimChar"/>
        </w:rPr>
        <w:t xml:space="preserve">strong</w:t>
      </w:r>
      <w:r>
        <w:t xml:space="preserve">,</w:t>
      </w:r>
      <w:r>
        <w:t xml:space="preserve"> </w:t>
      </w:r>
      <w:r>
        <w:rPr>
          <w:rStyle w:val="VerbatimChar"/>
        </w:rPr>
        <w:t xml:space="preserve">borderline</w:t>
      </w:r>
      <w:r>
        <w:t xml:space="preserve">,</w:t>
      </w:r>
      <w:r>
        <w:t xml:space="preserve"> </w:t>
      </w:r>
      <w:r>
        <w:rPr>
          <w:rStyle w:val="VerbatimChar"/>
        </w:rPr>
        <w:t xml:space="preserve">stretch</w:t>
      </w:r>
      <w:r>
        <w:t xml:space="preserve">) is read off this score by</w:t>
      </w:r>
      <w:r>
        <w:t xml:space="preserve"> </w:t>
      </w:r>
      <w:r>
        <w:rPr>
          <w:rStyle w:val="VerbatimChar"/>
        </w:rPr>
        <w:t xml:space="preserve">job_match_verdict</w:t>
      </w:r>
      <w:r>
        <w:t xml:space="preserve">.</w:t>
      </w:r>
    </w:p>
    <w:bookmarkEnd w:id="61"/>
    <w:bookmarkStart w:id="62" w:name="prompt-and-post-processing-1"/>
    <w:p>
      <w:pPr>
        <w:pStyle w:val="Heading3"/>
      </w:pPr>
      <w:r>
        <w:rPr>
          <w:b/>
          <w:i/>
          <w:sz w:val="24"/>
        </w:rPr>
        <w:t xml:space="preserve">3.3.3 Prompt and post-processing</w:t>
      </w:r>
    </w:p>
    <w:p>
      <w:pPr>
        <w:pStyle w:val="FirstParagraph"/>
      </w:pPr>
      <w:r>
        <w:t xml:space="preserve">The Job Match prompt (</w:t>
      </w:r>
      <w:r>
        <w:rPr>
          <w:rStyle w:val="VerbatimChar"/>
        </w:rPr>
        <w:t xml:space="preserve">app/prompts/job_match.py</w:t>
      </w:r>
      <w:r>
        <w:t xml:space="preserve">) instructs the LLM to produce a structured requirement-by-requirement breakdown. For each detected role requirement, the LLM populates an importance (</w:t>
      </w:r>
      <w:r>
        <w:rPr>
          <w:rStyle w:val="VerbatimChar"/>
        </w:rPr>
        <w:t xml:space="preserve">must</w:t>
      </w:r>
      <w:r>
        <w:t xml:space="preserve"> </w:t>
      </w:r>
      <w:r>
        <w:t xml:space="preserve">/</w:t>
      </w:r>
      <w:r>
        <w:t xml:space="preserve"> </w:t>
      </w:r>
      <w:r>
        <w:rPr>
          <w:rStyle w:val="VerbatimChar"/>
        </w:rPr>
        <w:t xml:space="preserve">preferred</w:t>
      </w:r>
      <w:r>
        <w:t xml:space="preserve">), a status (</w:t>
      </w:r>
      <w:r>
        <w:rPr>
          <w:rStyle w:val="VerbatimChar"/>
        </w:rPr>
        <w:t xml:space="preserve">matched</w:t>
      </w:r>
      <w:r>
        <w:t xml:space="preserve"> </w:t>
      </w:r>
      <w:r>
        <w:t xml:space="preserve">/</w:t>
      </w:r>
      <w:r>
        <w:t xml:space="preserve"> </w:t>
      </w:r>
      <w:r>
        <w:rPr>
          <w:rStyle w:val="VerbatimChar"/>
        </w:rPr>
        <w:t xml:space="preserve">partial</w:t>
      </w:r>
      <w:r>
        <w:t xml:space="preserve"> </w:t>
      </w:r>
      <w:r>
        <w:t xml:space="preserve">/</w:t>
      </w:r>
      <w:r>
        <w:t xml:space="preserve"> </w:t>
      </w:r>
      <w:r>
        <w:rPr>
          <w:rStyle w:val="VerbatimChar"/>
        </w:rPr>
        <w:t xml:space="preserve">missing</w:t>
      </w:r>
      <w:r>
        <w:t xml:space="preserve">), a one-sentence resume-evidence statement, and a suggested fix. The locked payload supplies the matched and missing keyword lists; the LLM is asked to expand them into role-realistic phrasing rather than echoing back the raw tokens. The response also includes a recruiter-style summary and a list of tailoring actions ranked by expected impact.</w:t>
      </w:r>
    </w:p>
    <w:p>
      <w:pPr>
        <w:pStyle w:val="BodyText"/>
      </w:pPr>
      <w:r>
        <w:t xml:space="preserve">Because the deterministic match score is locked, the LLM cannot move it; this preserves comparability across regenerations and is also the property that makes the fully-heuristic mode of Chapter 4 a clean substitution rather than a re-implementation.</w:t>
      </w:r>
    </w:p>
    <w:bookmarkEnd w:id="62"/>
    <w:bookmarkEnd w:id="63"/>
    <w:bookmarkStart w:id="66" w:name="career-path"/>
    <w:p>
      <w:pPr>
        <w:pStyle w:val="Heading2"/>
      </w:pPr>
      <w:r>
        <w:rPr>
          <w:b/>
          <w:i w:val="0"/>
          <w:sz w:val="28"/>
        </w:rPr>
        <w:t xml:space="preserve">3.4 Career Path</w:t>
      </w:r>
    </w:p>
    <w:p>
      <w:pPr>
        <w:pStyle w:val="FirstParagraph"/>
      </w:pPr>
      <w:r>
        <w:t xml:space="preserve">The Career Path tool produces forward-looking career suggestions from the resume alone. Unlike Resume Analyzer and Job Match, it does not consume a job description; the user instead optionally supplies a free-form preference string (</w:t>
      </w:r>
      <w:r>
        <w:t xml:space="preserve">“interested in management”</w:t>
      </w:r>
      <w:r>
        <w:t xml:space="preserve">,</w:t>
      </w:r>
      <w:r>
        <w:t xml:space="preserve"> </w:t>
      </w:r>
      <w:r>
        <w:t xml:space="preserve">“want to stay technical”</w:t>
      </w:r>
      <w:r>
        <w:t xml:space="preserve">) that is folded into the prompt.</w:t>
      </w:r>
    </w:p>
    <w:bookmarkStart w:id="64" w:name="heuristic-prepass-2"/>
    <w:p>
      <w:pPr>
        <w:pStyle w:val="Heading3"/>
      </w:pPr>
      <w:r>
        <w:rPr>
          <w:b/>
          <w:i/>
          <w:sz w:val="24"/>
        </w:rPr>
        <w:t xml:space="preserve">3.4.1 Heuristic prepass</w:t>
      </w:r>
    </w:p>
    <w:p>
      <w:pPr>
        <w:pStyle w:val="FirstParagraph"/>
      </w:pPr>
      <w:r>
        <w:t xml:space="preserve">The prepass extracts three coarse profile signals from the resume: an inferred</w:t>
      </w:r>
      <w:r>
        <w:t xml:space="preserve"> </w:t>
      </w:r>
      <w:r>
        <w:rPr>
          <w:i/>
          <w:iCs/>
        </w:rPr>
        <w:t xml:space="preserve">discipline</w:t>
      </w:r>
      <w:r>
        <w:t xml:space="preserve"> </w:t>
      </w:r>
      <w:r>
        <w:t xml:space="preserve">(backend-engineering, frontend-engineering, full-stack-engineering, data-analytics, product-design, etc., among ~10 supported categories), an inferred</w:t>
      </w:r>
      <w:r>
        <w:t xml:space="preserve"> </w:t>
      </w:r>
      <w:r>
        <w:rPr>
          <w:i/>
          <w:iCs/>
        </w:rPr>
        <w:t xml:space="preserve">seniority</w:t>
      </w:r>
      <w:r>
        <w:t xml:space="preserve"> </w:t>
      </w:r>
      <w:r>
        <w:t xml:space="preserve">(junior, mid, senior), and an estimated</w:t>
      </w:r>
      <w:r>
        <w:t xml:space="preserve"> </w:t>
      </w:r>
      <w:r>
        <w:rPr>
          <w:i/>
          <w:iCs/>
        </w:rPr>
        <w:t xml:space="preserve">years of experience</w:t>
      </w:r>
      <w:r>
        <w:t xml:space="preserve">. Each inference is conservative — when confidence is low, the prepass returns the most general label.</w:t>
      </w:r>
    </w:p>
    <w:p>
      <w:pPr>
        <w:pStyle w:val="BodyText"/>
      </w:pPr>
      <w:r>
        <w:t xml:space="preserve">For every discipline, a curated</w:t>
      </w:r>
      <w:r>
        <w:t xml:space="preserve"> </w:t>
      </w:r>
      <w:r>
        <w:rPr>
          <w:rStyle w:val="VerbatimChar"/>
        </w:rPr>
        <w:t xml:space="preserve">DISCIPLINE_TARGET_SKILLS</w:t>
      </w:r>
      <w:r>
        <w:t xml:space="preserve"> </w:t>
      </w:r>
      <w:r>
        <w:t xml:space="preserve">mapping defined in</w:t>
      </w:r>
      <w:r>
        <w:t xml:space="preserve"> </w:t>
      </w:r>
      <w:r>
        <w:rPr>
          <w:rStyle w:val="VerbatimChar"/>
        </w:rPr>
        <w:t xml:space="preserve">app/services/career_recommender.py</w:t>
      </w:r>
      <w:r>
        <w:t xml:space="preserve"> </w:t>
      </w:r>
      <w:r>
        <w:t xml:space="preserve">lists six aspirational skills typical of that discipline at the next seniority level. This mapping plays the role of a deterministic skills floor for the LLM’s reasoning, similar to the locked payload in the analytical tools but lighter.</w:t>
      </w:r>
    </w:p>
    <w:bookmarkEnd w:id="64"/>
    <w:bookmarkStart w:id="65" w:name="prompt-and-post-processing-2"/>
    <w:p>
      <w:pPr>
        <w:pStyle w:val="Heading3"/>
      </w:pPr>
      <w:r>
        <w:rPr>
          <w:b/>
          <w:i/>
          <w:sz w:val="24"/>
        </w:rPr>
        <w:t xml:space="preserve">3.4.2 Prompt and post-processing</w:t>
      </w:r>
    </w:p>
    <w:p>
      <w:pPr>
        <w:pStyle w:val="FirstParagraph"/>
      </w:pPr>
      <w:r>
        <w:t xml:space="preserve">The career prompt instructs the LLM to produce three to five candidate paths, each with a path label, a one-paragraph rationale grounded in the resume, a list of aligned strengths, a list of skills to develop (with the discipline-target list available as a hint), and an indicative timeline expressed in seniority steps rather than calendar months. The output is intentionally not numerical; the comparative study in Chapter 4 does not include the planning tools.</w:t>
      </w:r>
    </w:p>
    <w:bookmarkEnd w:id="65"/>
    <w:bookmarkEnd w:id="66"/>
    <w:bookmarkStart w:id="68" w:name="cover-letter"/>
    <w:p>
      <w:pPr>
        <w:pStyle w:val="Heading2"/>
      </w:pPr>
      <w:r>
        <w:rPr>
          <w:b/>
          <w:i w:val="0"/>
          <w:sz w:val="28"/>
        </w:rPr>
        <w:t xml:space="preserve">3.5 Cover Letter</w:t>
      </w:r>
    </w:p>
    <w:p>
      <w:pPr>
        <w:pStyle w:val="FirstParagraph"/>
      </w:pPr>
      <w:r>
        <w:t xml:space="preserve">The Cover Letter tool produces a tailored cover letter from a resume and a job description. There is no heuristic prepass that would produce a letter, so this tool is LLM-only.</w:t>
      </w:r>
    </w:p>
    <w:bookmarkStart w:id="67" w:name="prompt-and-post-processing-3"/>
    <w:p>
      <w:pPr>
        <w:pStyle w:val="Heading3"/>
      </w:pPr>
      <w:r>
        <w:rPr>
          <w:b/>
          <w:i/>
          <w:sz w:val="24"/>
        </w:rPr>
        <w:t xml:space="preserve">3.5.1 Prompt and post-processing</w:t>
      </w:r>
    </w:p>
    <w:p>
      <w:pPr>
        <w:pStyle w:val="FirstParagraph"/>
      </w:pPr>
      <w:r>
        <w:t xml:space="preserve">The prompt asks the LLM to write a letter in three explicit structural sections: an opening that names the role and the candidate’s central value proposition, a middle paragraph that grounds two or three claims in resume evidence, and a closing that proposes a concrete next step. The LLM is instructed to write in a register that the user can adapt — neither overly formal nor casual — and to avoid clichés that recruiters report fatigue with (the prompt includes an explicit blocklist of phrases such as</w:t>
      </w:r>
      <w:r>
        <w:t xml:space="preserve"> </w:t>
      </w:r>
      <w:r>
        <w:t xml:space="preserve">“team player”</w:t>
      </w:r>
      <w:r>
        <w:t xml:space="preserve">,</w:t>
      </w:r>
      <w:r>
        <w:t xml:space="preserve"> </w:t>
      </w:r>
      <w:r>
        <w:t xml:space="preserve">“synergy”</w:t>
      </w:r>
      <w:r>
        <w:t xml:space="preserve">, and</w:t>
      </w:r>
      <w:r>
        <w:t xml:space="preserve"> </w:t>
      </w:r>
      <w:r>
        <w:t xml:space="preserve">“passionate self-starter”</w:t>
      </w:r>
      <w:r>
        <w:t xml:space="preserve">). The response also includes three short alternative opening lines, allowing the user to swap the opening without regenerating the whole letter.</w:t>
      </w:r>
    </w:p>
    <w:bookmarkEnd w:id="67"/>
    <w:bookmarkEnd w:id="68"/>
    <w:bookmarkStart w:id="70" w:name="interview-qa"/>
    <w:p>
      <w:pPr>
        <w:pStyle w:val="Heading2"/>
      </w:pPr>
      <w:r>
        <w:rPr>
          <w:b/>
          <w:i w:val="0"/>
          <w:sz w:val="28"/>
        </w:rPr>
        <w:t xml:space="preserve">3.6 Interview Q&amp;A</w:t>
      </w:r>
    </w:p>
    <w:p>
      <w:pPr>
        <w:pStyle w:val="FirstParagraph"/>
      </w:pPr>
      <w:r>
        <w:t xml:space="preserve">The Interview Q&amp;A tool produces a curated list of likely interview questions for a given resume and job description. It is LLM-only.</w:t>
      </w:r>
    </w:p>
    <w:bookmarkStart w:id="69" w:name="prompt-and-post-processing-4"/>
    <w:p>
      <w:pPr>
        <w:pStyle w:val="Heading3"/>
      </w:pPr>
      <w:r>
        <w:rPr>
          <w:b/>
          <w:i/>
          <w:sz w:val="24"/>
        </w:rPr>
        <w:t xml:space="preserve">3.6.1 Prompt and post-processing</w:t>
      </w:r>
    </w:p>
    <w:p>
      <w:pPr>
        <w:pStyle w:val="FirstParagraph"/>
      </w:pPr>
      <w:r>
        <w:t xml:space="preserve">The prompt asks the LLM to cluster the generated questions into three categories —</w:t>
      </w:r>
      <w:r>
        <w:t xml:space="preserve"> </w:t>
      </w:r>
      <w:r>
        <w:rPr>
          <w:i/>
          <w:iCs/>
        </w:rPr>
        <w:t xml:space="preserve">behavioural</w:t>
      </w:r>
      <w:r>
        <w:t xml:space="preserve">,</w:t>
      </w:r>
      <w:r>
        <w:t xml:space="preserve"> </w:t>
      </w:r>
      <w:r>
        <w:rPr>
          <w:i/>
          <w:iCs/>
        </w:rPr>
        <w:t xml:space="preserve">technical</w:t>
      </w:r>
      <w:r>
        <w:t xml:space="preserve">, and</w:t>
      </w:r>
      <w:r>
        <w:t xml:space="preserve"> </w:t>
      </w:r>
      <w:r>
        <w:rPr>
          <w:i/>
          <w:iCs/>
        </w:rPr>
        <w:t xml:space="preserve">role-specific</w:t>
      </w:r>
      <w:r>
        <w:t xml:space="preserve"> </w:t>
      </w:r>
      <w:r>
        <w:t xml:space="preserve">— with a target of five to seven questions per category. Each question carries a one-sentence coaching note that names the underlying competency the interviewer is probing for and suggests the kind of evidence the candidate should be ready to recall.</w:t>
      </w:r>
    </w:p>
    <w:p>
      <w:pPr>
        <w:pStyle w:val="BodyText"/>
      </w:pPr>
      <w:r>
        <w:t xml:space="preserve">A practice mode is available as a follow-up flow: the user picks a question from the generated list and supplies a written practice answer. The system then sends the question, the candidate’s answer, and the resume to a cheaper Gemini model (configurable through</w:t>
      </w:r>
      <w:r>
        <w:t xml:space="preserve"> </w:t>
      </w:r>
      <w:r>
        <w:rPr>
          <w:rStyle w:val="VerbatimChar"/>
        </w:rPr>
        <w:t xml:space="preserve">LLM_PRACTICE_MODEL</w:t>
      </w:r>
      <w:r>
        <w:t xml:space="preserve">) and returns structured feedback. This is the only place in the system where the LLM model is overridden; the override exists because practice feedback is invoked frequently during a single user session and the cost of using the same model as the rest of the system would be disproportionate to the value.</w:t>
      </w:r>
    </w:p>
    <w:bookmarkEnd w:id="69"/>
    <w:bookmarkEnd w:id="70"/>
    <w:bookmarkStart w:id="72" w:name="portfolio-planner"/>
    <w:p>
      <w:pPr>
        <w:pStyle w:val="Heading2"/>
      </w:pPr>
      <w:r>
        <w:rPr>
          <w:b/>
          <w:i w:val="0"/>
          <w:sz w:val="28"/>
        </w:rPr>
        <w:t xml:space="preserve">3.7 Portfolio Planner</w:t>
      </w:r>
    </w:p>
    <w:p>
      <w:pPr>
        <w:pStyle w:val="FirstParagraph"/>
      </w:pPr>
      <w:r>
        <w:t xml:space="preserve">The Portfolio Planner tool produces a prioritised list of artefact ideas and skill gaps for a given resume and target role. The output is forward-looking and structural rather than evaluative.</w:t>
      </w:r>
    </w:p>
    <w:bookmarkStart w:id="71" w:name="prompt-and-post-processing-5"/>
    <w:p>
      <w:pPr>
        <w:pStyle w:val="Heading3"/>
      </w:pPr>
      <w:r>
        <w:rPr>
          <w:b/>
          <w:i/>
          <w:sz w:val="24"/>
        </w:rPr>
        <w:t xml:space="preserve">3.7.1 Prompt and post-processing</w:t>
      </w:r>
    </w:p>
    <w:p>
      <w:pPr>
        <w:pStyle w:val="FirstParagraph"/>
      </w:pPr>
      <w:r>
        <w:t xml:space="preserve">The prepass detects the resume’s discipline and seniority (the same inference used by Career Path) and identifies up to ten skills that the resume</w:t>
      </w:r>
      <w:r>
        <w:t xml:space="preserve"> </w:t>
      </w:r>
      <w:r>
        <w:rPr>
          <w:i/>
          <w:iCs/>
        </w:rPr>
        <w:t xml:space="preserve">does not</w:t>
      </w:r>
      <w:r>
        <w:t xml:space="preserve"> </w:t>
      </w:r>
      <w:r>
        <w:t xml:space="preserve">currently support but that the target role requires. The prompt then asks the LLM to produce three to five concrete artefact ideas, each with a working title, a brief description, the skills it would demonstrate, an estimated effort tier (small / medium / large), and a suggested presentation format (GitHub repository, case study, demo video, written post). The response also returns a sequenced plan that orders the artefacts by expected return on effort.</w:t>
      </w:r>
    </w:p>
    <w:bookmarkEnd w:id="71"/>
    <w:bookmarkEnd w:id="72"/>
    <w:bookmarkStart w:id="73" w:name="X0316533d43657d9bfd77d70e918e97beaa94be2"/>
    <w:p>
      <w:pPr>
        <w:pStyle w:val="Heading2"/>
      </w:pPr>
      <w:r>
        <w:rPr>
          <w:b/>
          <w:i w:val="0"/>
          <w:sz w:val="28"/>
        </w:rPr>
        <w:t xml:space="preserve">3.8 Persistence, regeneration, and result history</w:t>
      </w:r>
    </w:p>
    <w:p>
      <w:pPr>
        <w:pStyle w:val="FirstParagraph"/>
      </w:pPr>
      <w:r>
        <w:t xml:space="preserve">Every tool result that runs in</w:t>
      </w:r>
      <w:r>
        <w:t xml:space="preserve"> </w:t>
      </w:r>
      <w:r>
        <w:rPr>
          <w:i/>
          <w:iCs/>
        </w:rPr>
        <w:t xml:space="preserve">authenticated</w:t>
      </w:r>
      <w:r>
        <w:t xml:space="preserve"> </w:t>
      </w:r>
      <w:r>
        <w:t xml:space="preserve">mode is persisted as a</w:t>
      </w:r>
      <w:r>
        <w:t xml:space="preserve"> </w:t>
      </w:r>
      <w:r>
        <w:rPr>
          <w:rStyle w:val="VerbatimChar"/>
        </w:rPr>
        <w:t xml:space="preserve">ToolRun</w:t>
      </w:r>
      <w:r>
        <w:t xml:space="preserve"> </w:t>
      </w:r>
      <w:r>
        <w:t xml:space="preserve">row through the shared pipeline (Chapter 2.3.2). The persistence layer adds three behaviours that are visible to the user.</w:t>
      </w:r>
    </w:p>
    <w:p>
      <w:pPr>
        <w:pStyle w:val="BodyText"/>
      </w:pPr>
      <w:r>
        <w:rPr>
          <w:b/>
          <w:bCs/>
        </w:rPr>
        <w:t xml:space="preserve">Result pages by history identifier.</w:t>
      </w:r>
      <w:r>
        <w:t xml:space="preserve"> </w:t>
      </w:r>
      <w:r>
        <w:t xml:space="preserve">The result of a tool run is rendered at</w:t>
      </w:r>
      <w:r>
        <w:t xml:space="preserve"> </w:t>
      </w:r>
      <w:r>
        <w:rPr>
          <w:rStyle w:val="VerbatimChar"/>
        </w:rPr>
        <w:t xml:space="preserve">/&lt;tool&gt;_/result/&lt;historyId&gt;</w:t>
      </w:r>
      <w:r>
        <w:t xml:space="preserve">, where the history identifier is the primary key of the</w:t>
      </w:r>
      <w:r>
        <w:t xml:space="preserve"> </w:t>
      </w:r>
      <w:r>
        <w:rPr>
          <w:rStyle w:val="VerbatimChar"/>
        </w:rPr>
        <w:t xml:space="preserve">ToolRun</w:t>
      </w:r>
      <w:r>
        <w:t xml:space="preserve"> </w:t>
      </w:r>
      <w:r>
        <w:t xml:space="preserve">row. The user can return to a result page later by visiting the URL directly, share the URL with a collaborator who has access to the same account, or reach the result through the</w:t>
      </w:r>
      <w:r>
        <w:t xml:space="preserve"> </w:t>
      </w:r>
      <w:r>
        <w:rPr>
          <w:i/>
          <w:iCs/>
        </w:rPr>
        <w:t xml:space="preserve">History</w:t>
      </w:r>
      <w:r>
        <w:t xml:space="preserve"> </w:t>
      </w:r>
      <w:r>
        <w:t xml:space="preserve">page that lists every run in reverse-chronological order.</w:t>
      </w:r>
    </w:p>
    <w:p>
      <w:pPr>
        <w:pStyle w:val="BodyText"/>
      </w:pPr>
      <w:r>
        <w:rPr>
          <w:b/>
          <w:bCs/>
        </w:rPr>
        <w:t xml:space="preserve">Regeneration as a parent–child chain.</w:t>
      </w:r>
      <w:r>
        <w:t xml:space="preserve"> </w:t>
      </w:r>
      <w:r>
        <w:t xml:space="preserve">When the user regenerates a result with feedback, a new</w:t>
      </w:r>
      <w:r>
        <w:t xml:space="preserve"> </w:t>
      </w:r>
      <w:r>
        <w:rPr>
          <w:rStyle w:val="VerbatimChar"/>
        </w:rPr>
        <w:t xml:space="preserve">ToolRun</w:t>
      </w:r>
      <w:r>
        <w:t xml:space="preserve"> </w:t>
      </w:r>
      <w:r>
        <w:t xml:space="preserve">row is written whose</w:t>
      </w:r>
      <w:r>
        <w:t xml:space="preserve"> </w:t>
      </w:r>
      <w:r>
        <w:rPr>
          <w:rStyle w:val="VerbatimChar"/>
        </w:rPr>
        <w:t xml:space="preserve">parent_run_id</w:t>
      </w:r>
      <w:r>
        <w:t xml:space="preserve"> </w:t>
      </w:r>
      <w:r>
        <w:t xml:space="preserve">points to the original. The history page renders this as a chain rather than as two unrelated entries, making it possible to walk back through earlier iterations of a single piece of analytical work.</w:t>
      </w:r>
    </w:p>
    <w:p>
      <w:pPr>
        <w:pStyle w:val="BodyText"/>
      </w:pPr>
      <w:r>
        <w:rPr>
          <w:b/>
          <w:bCs/>
        </w:rPr>
        <w:t xml:space="preserve">Cross-tool linkage.</w:t>
      </w:r>
      <w:r>
        <w:t xml:space="preserve"> </w:t>
      </w:r>
      <w:r>
        <w:t xml:space="preserve">A tool may consume the result of a previous tool as part of its input — for example, the Cover Letter can be invoked with the Job Match result already in hand. The pipeline records the linked run identifiers on the new tool run, producing a graph of dependencies that supports the workflow-level reasoning that the user research informed.</w:t>
      </w:r>
    </w:p>
    <w:bookmarkEnd w:id="73"/>
    <w:bookmarkStart w:id="74" w:name="X1dc7e4c4ae344161dc6e08133b73d584d675b56"/>
    <w:p>
      <w:pPr>
        <w:pStyle w:val="Heading2"/>
      </w:pPr>
      <w:r>
        <w:rPr>
          <w:b/>
          <w:i w:val="0"/>
          <w:sz w:val="28"/>
        </w:rPr>
        <w:t xml:space="preserve">3.9 Reliability behaviour observed in production</w:t>
      </w:r>
    </w:p>
    <w:p>
      <w:pPr>
        <w:pStyle w:val="FirstParagraph"/>
      </w:pPr>
      <w:r>
        <w:t xml:space="preserve">In production traffic during the development period, the analytical tools (Resume Analyzer, Job Match) exhibited a heuristic-only fallback rate below one percent of all calls — the LLM-call retry policy (Section 3.1.1) absorbs nearly all transient failures. The generative tools (Cover Letter, Interview Q&amp;A, Career Path, Portfolio) showed a slightly higher hard-error rate because they cannot fall back; the user-visible failure mode is a structured retry prompt rather than a fabricated artefact.</w:t>
      </w:r>
    </w:p>
    <w:p>
      <w:pPr>
        <w:pStyle w:val="BodyText"/>
      </w:pPr>
      <w:r>
        <w:t xml:space="preserve">Among the six tools, the one that took the longest to stabilise was the Interview Q&amp;A practice mode. The first version invoked the same Gemini model used by the rest of the system; the per-session cost ran high enough during heavy practice usage that the cheaper-model fallback path described above was introduced (the</w:t>
      </w:r>
      <w:r>
        <w:t xml:space="preserve"> </w:t>
      </w:r>
      <w:r>
        <w:rPr>
          <w:rStyle w:val="VerbatimChar"/>
        </w:rPr>
        <w:t xml:space="preserve">LLM_PRACTICE_MODEL</w:t>
      </w:r>
      <w:r>
        <w:t xml:space="preserve"> </w:t>
      </w:r>
      <w:r>
        <w:t xml:space="preserve">configuration is the result of that work). The Cover Letter tool produced the opposite kind of surprise — the structural prompt with the explicit blocklist of clichés produced usable letters on the first end-to-end iteration and required only minor adjustments after a small number of dogfooding runs.</w:t>
      </w:r>
    </w:p>
    <w:p>
      <w:pPr>
        <w:pStyle w:val="BodyText"/>
      </w:pPr>
      <w:r>
        <w:t xml:space="preserve">The blended scoring path (heuristic 40%, LLM 60%) and the heuristic-only fallback are exercised by the same code in the analytical services. The fully-heuristic mode introduced in Chapter 4 reuses the same fallback path and adds an administrative toggle that bypasses the LLM call unconditionally. This is the smallest possible change that satisfies non-functional requirement N7 from Chapter 2 — runtime switchability between the two scoring modes for the comparative study reported next.</w:t>
      </w:r>
    </w:p>
    <w:bookmarkEnd w:id="74"/>
    <w:bookmarkEnd w:id="75"/>
    <w:bookmarkStart w:id="104" w:name="chapter-4-conducted-studies-and-results"/>
    <w:p>
      <w:pPr>
        <w:pStyle w:val="Heading1"/>
        <w:pageBreakBefore/>
        <w:spacing w:before="0" w:after="240"/>
      </w:pPr>
      <w:r>
        <w:rPr>
          <w:b/>
          <w:i w:val="0"/>
          <w:sz w:val="36"/>
        </w:rPr>
        <w:t xml:space="preserve">Chapter 4 — Conducted studies and results</w:t>
      </w:r>
    </w:p>
    <w:p>
      <w:pPr>
        <w:pStyle w:val="FirstParagraph"/>
      </w:pPr>
      <w:r>
        <w:t xml:space="preserve">This chapter reports the empirical work of the thesis. The system described in Chapters 2 and 3 supports two modes for the analytical tools: a</w:t>
      </w:r>
      <w:r>
        <w:t xml:space="preserve"> </w:t>
      </w:r>
      <w:r>
        <w:rPr>
          <w:i/>
          <w:iCs/>
        </w:rPr>
        <w:t xml:space="preserve">blended mode</w:t>
      </w:r>
      <w:r>
        <w:t xml:space="preserve"> </w:t>
      </w:r>
      <w:r>
        <w:t xml:space="preserve">combining a heuristic baseline with the language-model output (40% / 60% weighting) and a</w:t>
      </w:r>
      <w:r>
        <w:t xml:space="preserve"> </w:t>
      </w:r>
      <w:r>
        <w:rPr>
          <w:i/>
          <w:iCs/>
        </w:rPr>
        <w:t xml:space="preserve">fully heuristic mode</w:t>
      </w:r>
      <w:r>
        <w:t xml:space="preserve"> </w:t>
      </w:r>
      <w:r>
        <w:t xml:space="preserve">that runs entirely on classical information-retrieval techniques. The research question motivating the chapter is the one stated in Section 1.4: on the controlled synthetic evaluation set described in Section 4.1.1, how much of the discriminative power of the blended mode is recoverable from a strictly classical-IR heuristic, and at what cost ratio?</w:t>
      </w:r>
    </w:p>
    <w:p>
      <w:pPr>
        <w:pStyle w:val="BodyText"/>
      </w:pPr>
      <w:r>
        <w:t xml:space="preserve">The chapter is structured as follows. Section 4.1 specifies the methodology — the evaluation dataset, the metrics, the experimental controls. Section 4.2 introduces the strong heuristic (v2), the defendable replacement of the lightweight prepass described in Chapter 3. Section 4.3 reports the results. Section 4.4 discusses the limitations.</w:t>
      </w:r>
    </w:p>
    <w:bookmarkStart w:id="80" w:name="methodology"/>
    <w:p>
      <w:pPr>
        <w:pStyle w:val="Heading2"/>
      </w:pPr>
      <w:r>
        <w:rPr>
          <w:b/>
          <w:i w:val="0"/>
          <w:sz w:val="28"/>
        </w:rPr>
        <w:t xml:space="preserve">4.1 Methodology</w:t>
      </w:r>
    </w:p>
    <w:bookmarkStart w:id="76" w:name="evaluation-dataset"/>
    <w:p>
      <w:pPr>
        <w:pStyle w:val="Heading3"/>
      </w:pPr>
      <w:r>
        <w:rPr>
          <w:b/>
          <w:i/>
          <w:sz w:val="24"/>
        </w:rPr>
        <w:t xml:space="preserve">4.1.1 Evaluation dataset</w:t>
      </w:r>
    </w:p>
    <w:p>
      <w:pPr>
        <w:pStyle w:val="FirstParagraph"/>
      </w:pPr>
      <w:r>
        <w:t xml:space="preserve">The evaluation dataset consists of</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 Each track contains five resumes spanning junior, mid, and senior seniority levels and three to four job descriptions paired only within the same track.</w:t>
      </w:r>
    </w:p>
    <w:p>
      <w:pPr>
        <w:pStyle w:val="BodyText"/>
      </w:pPr>
      <w:r>
        <w:t xml:space="preserve">Both the resumes and the job descriptions are deterministically template-synthesised by the script</w:t>
      </w:r>
      <w:r>
        <w:t xml:space="preserve"> </w:t>
      </w:r>
      <w:r>
        <w:rPr>
          <w:rStyle w:val="VerbatimChar"/>
        </w:rPr>
        <w:t xml:space="preserve">scripts/synthesise_eval_dataset.py</w:t>
      </w:r>
      <w:r>
        <w:t xml:space="preserve"> </w:t>
      </w:r>
      <w:r>
        <w:t xml:space="preserve">from a fixed-seed (</w:t>
      </w:r>
      <w:r>
        <w:rPr>
          <w:rStyle w:val="VerbatimChar"/>
        </w:rPr>
        <w:t xml:space="preserve">SEED = 42</w:t>
      </w:r>
      <w:r>
        <w:t xml:space="preserve">) random generator. The script is reproducible: every invocation reproduces the same 30 resumes and 20 job descriptions byte-for-byte, so the evaluation manifest is recoverable from the script alone without any cached artefact. Surface details (candidate names, employer placeholders, cities, universities) are drawn from curated lists shipped inside the synthesis script; the resume body content draws from a track-specific</w:t>
      </w:r>
      <w:r>
        <w:t xml:space="preserve"> </w:t>
      </w:r>
      <w:r>
        <w:rPr>
          <w:rStyle w:val="VerbatimChar"/>
        </w:rPr>
        <w:t xml:space="preserve">resume_phrases</w:t>
      </w:r>
      <w:r>
        <w:t xml:space="preserve"> </w:t>
      </w:r>
      <w:r>
        <w:t xml:space="preserve">pool written in past-tense achievement framing, and the job-description body content draws from a separate</w:t>
      </w:r>
      <w:r>
        <w:t xml:space="preserve"> </w:t>
      </w:r>
      <w:r>
        <w:rPr>
          <w:rStyle w:val="VerbatimChar"/>
        </w:rPr>
        <w:t xml:space="preserve">jd_phrases</w:t>
      </w:r>
      <w:r>
        <w:t xml:space="preserve"> </w:t>
      </w:r>
      <w:r>
        <w:t xml:space="preserve">pool written in future-tense requirement framing. The two pools are</w:t>
      </w:r>
      <w:r>
        <w:t xml:space="preserve"> </w:t>
      </w:r>
      <w:r>
        <w:rPr>
          <w:i/>
          <w:iCs/>
        </w:rPr>
        <w:t xml:space="preserve">lexically disjoint</w:t>
      </w:r>
      <w:r>
        <w:t xml:space="preserve"> </w:t>
      </w:r>
      <w:r>
        <w:t xml:space="preserve">at the content-word level after stop-words and role-domain skill terms are removed — a construction adopted as part of the Stage G mitigation of validity threat T1 (Section 4.1.4) so that keyword-overlap measurements between resume and JD sides are not artefactually inflated by phrase-template identity. Synthesising both sides of the pair rather than scraping public listings removes the privacy and licensing risks associated with persisting third-party content, but it introduces the residual validity threats discussed in Section 4.1.4.</w:t>
      </w:r>
    </w:p>
    <w:p>
      <w:pPr>
        <w:pStyle w:val="BodyText"/>
      </w:pPr>
      <w:r>
        <w:t xml:space="preserve">The decision to synthesise the dataset rather than recruit a panel of real applicants and scrape real postings was a pragmatic one for a Bachelor-thesis schedule. A real-applicant panel would have required a written-consent process, a privacy review for the persistence of the data, and a collection window longer than the four months between project kick-off and the submission deadline. Section 4.4 returns to the implication for external validity.</w:t>
      </w:r>
    </w:p>
    <w:p>
      <w:pPr>
        <w:pStyle w:val="BodyText"/>
      </w:pPr>
      <w:r>
        <w:t xml:space="preserve">The full evaluation pairs every resume with every job description on the same role track. Per-track job-description counts are three for four tracks and four for two tracks, which produces an exact total of 5 × 3 × 4 + 5 × 4 × 2 = 100 (resume, job-description) pairs; Appendix B.3 documents the per-track distribution. Each pair is run through the analytical pipeline once in</w:t>
      </w:r>
      <w:r>
        <w:t xml:space="preserve"> </w:t>
      </w:r>
      <w:r>
        <w:rPr>
          <w:i/>
          <w:iCs/>
        </w:rPr>
        <w:t xml:space="preserve">blended mode</w:t>
      </w:r>
      <w:r>
        <w:t xml:space="preserve"> </w:t>
      </w:r>
      <w:r>
        <w:t xml:space="preserve">and once in</w:t>
      </w:r>
      <w:r>
        <w:t xml:space="preserve"> </w:t>
      </w:r>
      <w:r>
        <w:rPr>
          <w:i/>
          <w:iCs/>
        </w:rPr>
        <w:t xml:space="preserve">fully heuristic mode</w:t>
      </w:r>
      <w:r>
        <w:t xml:space="preserve">, producing two complete response objects per pair. The resulting dataset of 200 response objects is the basis for all metrics reported in Section 4.3.</w:t>
      </w:r>
    </w:p>
    <w:bookmarkEnd w:id="76"/>
    <w:bookmarkStart w:id="77" w:name="metrics"/>
    <w:p>
      <w:pPr>
        <w:pStyle w:val="Heading3"/>
      </w:pPr>
      <w:r>
        <w:rPr>
          <w:b/>
          <w:i/>
          <w:sz w:val="24"/>
        </w:rPr>
        <w:t xml:space="preserve">4.1.2 Metrics</w:t>
      </w:r>
    </w:p>
    <w:p>
      <w:pPr>
        <w:pStyle w:val="FirstParagraph"/>
      </w:pPr>
      <w:r>
        <w:t xml:space="preserve">Four metrics are computed per pair.</w:t>
      </w:r>
    </w:p>
    <w:p>
      <w:pPr>
        <w:pStyle w:val="BodyText"/>
      </w:pPr>
      <w:r>
        <w:rPr>
          <w:b/>
          <w:bCs/>
        </w:rPr>
        <w:t xml:space="preserve">Score agreement.</w:t>
      </w:r>
      <w:r>
        <w:t xml:space="preserve"> </w:t>
      </w:r>
      <w:r>
        <w:t xml:space="preserve">The Pearson product–moment correlation</w:t>
      </w:r>
      <w:r>
        <w:t xml:space="preserve"> </w:t>
      </w:r>
      <w:r>
        <w:rPr>
          <w:i/>
          <w:iCs/>
        </w:rPr>
        <w:t xml:space="preserve">r</w:t>
      </w:r>
      <w:r>
        <w:t xml:space="preserve"> </w:t>
      </w:r>
      <w:r>
        <w:t xml:space="preserve">between the two modes’ overall scores measures linear association across all pairs. The Spearman rank correlation ρ and Kendall τ are also computed: these capture</w:t>
      </w:r>
      <w:r>
        <w:t xml:space="preserve"> </w:t>
      </w:r>
      <w:r>
        <w:rPr>
          <w:i/>
          <w:iCs/>
        </w:rPr>
        <w:t xml:space="preserve">rank</w:t>
      </w:r>
      <w:r>
        <w:t xml:space="preserve"> </w:t>
      </w:r>
      <w:r>
        <w:t xml:space="preserve">agreement, which is the property most relevant to using the heuristic as a screening signal even when its score scale differs from the blended mode. Values around</w:t>
      </w:r>
      <w:r>
        <w:t xml:space="preserve"> </w:t>
      </w:r>
      <w:r>
        <w:rPr>
          <w:i/>
          <w:iCs/>
        </w:rPr>
        <w:t xml:space="preserve">r</w:t>
      </w:r>
      <w:r>
        <w:t xml:space="preserve"> </w:t>
      </w:r>
      <w:r>
        <w:t xml:space="preserve">= 0.7 are sometimes used as soft anchors in retrieval-quality discussions [6]; this thesis treats the number as a reference point only, not as a hypothesis the chapter seeks to confirm.</w:t>
      </w:r>
    </w:p>
    <w:p>
      <w:pPr>
        <w:pStyle w:val="BodyText"/>
      </w:pPr>
      <w:r>
        <w:rPr>
          <w:b/>
          <w:bCs/>
        </w:rPr>
        <w:t xml:space="preserve">Score distribution.</w:t>
      </w:r>
      <w:r>
        <w:t xml:space="preserve"> </w:t>
      </w:r>
      <w:r>
        <w:t xml:space="preserve">The Kolmogorov–Smirnov distance between the two distributions of overall scores. This complements the correlation by reporting how differently the two modes spread the scores across the 0–100 range; a high correlation with a high KS distance would indicate that the heuristic ranks pairs in the same order as the blended mode but compresses or shifts the score scale.</w:t>
      </w:r>
    </w:p>
    <w:p>
      <w:pPr>
        <w:pStyle w:val="BodyText"/>
      </w:pPr>
      <w:r>
        <w:rPr>
          <w:b/>
          <w:bCs/>
        </w:rPr>
        <w:t xml:space="preserve">Latency.</w:t>
      </w:r>
      <w:r>
        <w:t xml:space="preserve"> </w:t>
      </w:r>
      <w:r>
        <w:t xml:space="preserve">The wall-clock time from the moment the request reaches the tool service to the moment a complete response is returned, measured in milliseconds. Latency is reported as the median, the 95th percentile, and the maximum across all pairs. Latency excludes network round-trip time between the client and the backend.</w:t>
      </w:r>
    </w:p>
    <w:p>
      <w:pPr>
        <w:pStyle w:val="BodyText"/>
      </w:pPr>
      <w:r>
        <w:rPr>
          <w:b/>
          <w:bCs/>
        </w:rPr>
        <w:t xml:space="preserve">Per-call cost.</w:t>
      </w:r>
      <w:r>
        <w:t xml:space="preserve"> </w:t>
      </w:r>
      <w:r>
        <w:t xml:space="preserve">The marginal cost of a single tool invocation, expressed in US dollars. The blended mode incurs a Gemini 2.5 Flash bill for input and output tokens; the fully heuristic mode incurs no third-party charge.</w:t>
      </w:r>
    </w:p>
    <w:bookmarkEnd w:id="77"/>
    <w:bookmarkStart w:id="78" w:name="controls"/>
    <w:p>
      <w:pPr>
        <w:pStyle w:val="Heading3"/>
      </w:pPr>
      <w:r>
        <w:rPr>
          <w:b/>
          <w:i/>
          <w:sz w:val="24"/>
        </w:rPr>
        <w:t xml:space="preserve">4.1.3 Controls</w:t>
      </w:r>
    </w:p>
    <w:p>
      <w:pPr>
        <w:pStyle w:val="FirstParagraph"/>
      </w:pPr>
      <w:r>
        <w:t xml:space="preserve">Three controls were applied to ensure the comparison is sound.</w:t>
      </w:r>
    </w:p>
    <w:p>
      <w:pPr>
        <w:pStyle w:val="BodyText"/>
      </w:pPr>
      <w:r>
        <w:t xml:space="preserve">The same content hash is used for both modes per pair, which prevents cache reuse from contaminating the latency numbers. Cache is otherwise disabled for the duration of the experimental run by setting</w:t>
      </w:r>
      <w:r>
        <w:t xml:space="preserve"> </w:t>
      </w:r>
      <w:r>
        <w:rPr>
          <w:rStyle w:val="VerbatimChar"/>
        </w:rPr>
        <w:t xml:space="preserve">RESULT_CACHE_ENABLED=false</w:t>
      </w:r>
      <w:r>
        <w:t xml:space="preserve">.</w:t>
      </w:r>
    </w:p>
    <w:p>
      <w:pPr>
        <w:pStyle w:val="BodyText"/>
      </w:pPr>
      <w:r>
        <w:t xml:space="preserve">The same heuristic implementation (selected through the</w:t>
      </w:r>
      <w:r>
        <w:t xml:space="preserve"> </w:t>
      </w:r>
      <w:r>
        <w:rPr>
          <w:rStyle w:val="VerbatimChar"/>
        </w:rPr>
        <w:t xml:space="preserve">HEURISTIC_VERSION</w:t>
      </w:r>
      <w:r>
        <w:t xml:space="preserve"> </w:t>
      </w:r>
      <w:r>
        <w:t xml:space="preserve">configuration) is used by both modes for the comparative run, so the only difference between the two runs is whether</w:t>
      </w:r>
      <w:r>
        <w:t xml:space="preserve"> </w:t>
      </w:r>
      <w:r>
        <w:rPr>
          <w:rStyle w:val="VerbatimChar"/>
        </w:rPr>
        <w:t xml:space="preserve">complete_structured</w:t>
      </w:r>
      <w:r>
        <w:t xml:space="preserve"> </w:t>
      </w:r>
      <w:r>
        <w:t xml:space="preserve">is invoked. This isolates the LLM contribution rather than confounding it with an upstream change to the prepass.</w:t>
      </w:r>
    </w:p>
    <w:p>
      <w:pPr>
        <w:pStyle w:val="BodyText"/>
      </w:pPr>
      <w:r>
        <w:t xml:space="preserve">The temperature of the LLM call is fixed at 0.0 for the blended-mode run, which removes sampling variance from the comparison. The remaining variability in the LLM output reflects only the model’s deterministic decoding given the fixed input.</w:t>
      </w:r>
    </w:p>
    <w:bookmarkEnd w:id="78"/>
    <w:bookmarkStart w:id="79" w:name="threats-to-validity"/>
    <w:p>
      <w:pPr>
        <w:pStyle w:val="Heading3"/>
      </w:pPr>
      <w:r>
        <w:rPr>
          <w:b/>
          <w:i/>
          <w:sz w:val="24"/>
        </w:rPr>
        <w:t xml:space="preserve">4.1.4 Threats to validity</w:t>
      </w:r>
    </w:p>
    <w:p>
      <w:pPr>
        <w:pStyle w:val="FirstParagraph"/>
      </w:pPr>
      <w:r>
        <w:t xml:space="preserve">Four threats to the validity of the comparative result reported in Section 4.3 are stated explicitly here so that the discussion in Section 4.4 and the limitation framing in Section 5.2 can refer back to them.</w:t>
      </w:r>
    </w:p>
    <w:p>
      <w:pPr>
        <w:pStyle w:val="BodyText"/>
      </w:pPr>
      <w:r>
        <w:rPr>
          <w:b/>
          <w:bCs/>
        </w:rPr>
        <w:t xml:space="preserve">T1 — Shared-vocabulary leakage between resume and job-description pools (MITIGATED).</w:t>
      </w:r>
      <w:r>
        <w:t xml:space="preserve"> </w:t>
      </w:r>
      <w:r>
        <w:t xml:space="preserve">The original synthesis script populated resume bullet content and the</w:t>
      </w:r>
      <w:r>
        <w:t xml:space="preserve"> </w:t>
      </w:r>
      <w:r>
        <w:t xml:space="preserve">“What you’ll do”</w:t>
      </w:r>
      <w:r>
        <w:t xml:space="preserve"> </w:t>
      </w:r>
      <w:r>
        <w:t xml:space="preserve">section of every job description from the</w:t>
      </w:r>
      <w:r>
        <w:t xml:space="preserve"> </w:t>
      </w:r>
      <w:r>
        <w:rPr>
          <w:i/>
          <w:iCs/>
        </w:rPr>
        <w:t xml:space="preserve">same</w:t>
      </w:r>
      <w:r>
        <w:t xml:space="preserve"> </w:t>
      </w:r>
      <w:r>
        <w:t xml:space="preserve">per-track responsibility list (the dictionary entry</w:t>
      </w:r>
      <w:r>
        <w:t xml:space="preserve"> </w:t>
      </w:r>
      <w:r>
        <w:rPr>
          <w:rStyle w:val="VerbatimChar"/>
        </w:rPr>
        <w:t xml:space="preserve">track["responsibilities"]</w:t>
      </w:r>
      <w:r>
        <w:t xml:space="preserve"> </w:t>
      </w:r>
      <w:r>
        <w:t xml:space="preserve">in the early version of</w:t>
      </w:r>
      <w:r>
        <w:t xml:space="preserve"> </w:t>
      </w:r>
      <w:r>
        <w:rPr>
          <w:rStyle w:val="VerbatimChar"/>
        </w:rPr>
        <w:t xml:space="preserve">scripts/synthesise_eval_dataset.py</w:t>
      </w:r>
      <w:r>
        <w:t xml:space="preserve">). In some pairs identical sentences appeared on both sides; the pair</w:t>
      </w:r>
      <w:r>
        <w:t xml:space="preserve"> </w:t>
      </w:r>
      <w:r>
        <w:rPr>
          <w:rStyle w:val="VerbatimChar"/>
        </w:rPr>
        <w:t xml:space="preserve">r-backend-01__jd-backend-02</w:t>
      </w:r>
      <w:r>
        <w:t xml:space="preserve"> </w:t>
      </w:r>
      <w:r>
        <w:t xml:space="preserve">contained the literal sentence</w:t>
      </w:r>
      <w:r>
        <w:t xml:space="preserve"> </w:t>
      </w:r>
      <w:r>
        <w:t xml:space="preserve">“designed and shipped REST APIs serving production traffic”</w:t>
      </w:r>
      <w:r>
        <w:t xml:space="preserve"> </w:t>
      </w:r>
      <w:r>
        <w:t xml:space="preserve">in both the resume bullet list and the job-description responsibilities. The keyword-axis correlation observed in the leakage version (Pearson</w:t>
      </w:r>
      <w:r>
        <w:t xml:space="preserve"> </w:t>
      </w:r>
      <w:r>
        <w:rPr>
          <w:i/>
          <w:iCs/>
        </w:rPr>
        <w:t xml:space="preserve">r</w:t>
      </w:r>
      <w:r>
        <w:t xml:space="preserve"> </w:t>
      </w:r>
      <w:r>
        <w:t xml:space="preserve">= 0.941) was consistent with this construction: both scoring modes consumed the same lexical surface that the synthesis had injected on both sides. The dataset has been regenerated under a disjoint-vocabulary construction: each role track now exposes two separate phrase pools (</w:t>
      </w:r>
      <w:r>
        <w:rPr>
          <w:rStyle w:val="VerbatimChar"/>
        </w:rPr>
        <w:t xml:space="preserve">resume_phrases</w:t>
      </w:r>
      <w:r>
        <w:t xml:space="preserve"> </w:t>
      </w:r>
      <w:r>
        <w:t xml:space="preserve">in past-tense achievement framing,</w:t>
      </w:r>
      <w:r>
        <w:t xml:space="preserve"> </w:t>
      </w:r>
      <w:r>
        <w:rPr>
          <w:rStyle w:val="VerbatimChar"/>
        </w:rPr>
        <w:t xml:space="preserve">jd_phrases</w:t>
      </w:r>
      <w:r>
        <w:t xml:space="preserve"> </w:t>
      </w:r>
      <w:r>
        <w:t xml:space="preserve">in future-tense requirement framing) whose lexical content is disjoint at the content-word level after stop-words and role-domain skill terms are removed. The verification script</w:t>
      </w:r>
      <w:r>
        <w:t xml:space="preserve"> </w:t>
      </w:r>
      <w:r>
        <w:rPr>
          <w:rStyle w:val="VerbatimChar"/>
        </w:rPr>
        <w:t xml:space="preserve">scripts/verify_disjoint_pools.py</w:t>
      </w:r>
      <w:r>
        <w:t xml:space="preserve"> </w:t>
      </w:r>
      <w:r>
        <w:t xml:space="preserve">(committed alongside the synthesis script) reports that per-pair content-token overlap dropped from a mean of 11.82 in the leakage version to 0.44 in the disjoint-pool version, a 27× reduction; zero pairs flag the &gt;3-token threshold against 97 in the leakage version. The numbers reported in Section 4.3 are post-mitigation; the leakage-version dataset and its results are archived as</w:t>
      </w:r>
      <w:r>
        <w:t xml:space="preserve"> </w:t>
      </w:r>
      <w:r>
        <w:rPr>
          <w:rStyle w:val="VerbatimChar"/>
        </w:rPr>
        <w:t xml:space="preserve">thesis/eval-dataset-with-leakage.json</w:t>
      </w:r>
      <w:r>
        <w:t xml:space="preserve"> </w:t>
      </w:r>
      <w:r>
        <w:t xml:space="preserve">and</w:t>
      </w:r>
      <w:r>
        <w:t xml:space="preserve"> </w:t>
      </w:r>
      <w:r>
        <w:rPr>
          <w:rStyle w:val="VerbatimChar"/>
        </w:rPr>
        <w:t xml:space="preserve">thesis/eval-results-with-leakage.json</w:t>
      </w:r>
      <w:r>
        <w:t xml:space="preserve"> </w:t>
      </w:r>
      <w:r>
        <w:t xml:space="preserve">for an explicit before/after comparison.</w:t>
      </w:r>
    </w:p>
    <w:p>
      <w:pPr>
        <w:pStyle w:val="BodyText"/>
      </w:pPr>
      <w:r>
        <w:rPr>
          <w:b/>
          <w:bCs/>
        </w:rPr>
        <w:t xml:space="preserve">T2 — Self-correlation between the two compared modes (MEASURED).</w:t>
      </w:r>
      <w:r>
        <w:t xml:space="preserve"> </w:t>
      </w:r>
      <w:r>
        <w:t xml:space="preserve">The blended-mode overall score is computed as a weighted mean</w:t>
      </w:r>
      <w:r>
        <w:t xml:space="preserve"> </w:t>
      </w:r>
      <w:r>
        <w:rPr>
          <w:i/>
          <w:iCs/>
        </w:rPr>
        <w:t xml:space="preserve">0.40 × heuristic_score + 0.60 × llm_score</w:t>
      </w:r>
      <w:r>
        <w:t xml:space="preserve"> </w:t>
      </w:r>
      <w:r>
        <w:t xml:space="preserve">(Sections 3.2.3 and 4.2.7); the heuristic-only mode score is the</w:t>
      </w:r>
      <w:r>
        <w:t xml:space="preserve"> </w:t>
      </w:r>
      <w:r>
        <w:rPr>
          <w:i/>
          <w:iCs/>
        </w:rPr>
        <w:t xml:space="preserve">heuristic_score</w:t>
      </w:r>
      <w:r>
        <w:t xml:space="preserve"> </w:t>
      </w:r>
      <w:r>
        <w:t xml:space="preserve">alone. The Pearson correlation between the blended mode and the heuristic-only mode therefore contains a structural floor of agreement attributable to the 0.40 component the two share by construction, even before the language model contributes any signal. Because the heuristic prepass is exposed to the LLM as a</w:t>
      </w:r>
      <w:r>
        <w:t xml:space="preserve"> </w:t>
      </w:r>
      <w:r>
        <w:rPr>
          <w:i/>
          <w:iCs/>
        </w:rPr>
        <w:t xml:space="preserve">locked payload</w:t>
      </w:r>
      <w:r>
        <w:t xml:space="preserve"> </w:t>
      </w:r>
      <w:r>
        <w:t xml:space="preserve">(Section 3.2.3) — that is, the heuristic component of the blended score is invariant under the LLM call — the LLM-only score is recoverable post-hoc from the same per-pair results without any additional API calls:</w:t>
      </w:r>
      <w:r>
        <w:t xml:space="preserve"> </w:t>
      </w:r>
      <w:r>
        <w:rPr>
          <w:i/>
          <w:iCs/>
        </w:rPr>
        <w:t xml:space="preserve">llm_only = (blended − 0.4 × heuristic) / 0.6</w:t>
      </w:r>
      <w:r>
        <w:t xml:space="preserve">. Section 4.3.1’ reports the resulting LLM-only-versus-heuristic correlation alongside the headline blended-versus-heuristic correlation, so the structural component is now isolated from the cross-mode agreement.</w:t>
      </w:r>
    </w:p>
    <w:p>
      <w:pPr>
        <w:pStyle w:val="BodyText"/>
      </w:pPr>
      <w:r>
        <w:rPr>
          <w:b/>
          <w:bCs/>
        </w:rPr>
        <w:t xml:space="preserve">T3 — Non-independent paired observations (ADDRESSED).</w:t>
      </w:r>
      <w:r>
        <w:t xml:space="preserve"> </w:t>
      </w:r>
      <w:r>
        <w:t xml:space="preserve">The 100 paired observations are constructed by pairing 30 resumes with 20 job descriptions inside their respective tracks. Each resume contributes between three and four observations, and each job description contributes five observations, so the 100 pairs are not 100 independent draws. The correlations reported in Section 4.3.1 are now accompanied by 95% confidence intervals computed via cluster bootstrap on</w:t>
      </w:r>
      <w:r>
        <w:t xml:space="preserve"> </w:t>
      </w:r>
      <w:r>
        <w:rPr>
          <w:rStyle w:val="VerbatimChar"/>
        </w:rPr>
        <w:t xml:space="preserve">resume_id</w:t>
      </w:r>
      <w:r>
        <w:t xml:space="preserve"> </w:t>
      </w:r>
      <w:r>
        <w:t xml:space="preserve">with 2 000 resamples and</w:t>
      </w:r>
      <w:r>
        <w:t xml:space="preserve"> </w:t>
      </w:r>
      <w:r>
        <w:rPr>
          <w:rStyle w:val="VerbatimChar"/>
        </w:rPr>
        <w:t xml:space="preserve">seed=42</w:t>
      </w:r>
      <w:r>
        <w:t xml:space="preserve"> </w:t>
      </w:r>
      <w:r>
        <w:t xml:space="preserve">(</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pairs sharing a resume are resampled together so that the in-track pairing structure is honoured. The intervals are wider than an independent-and-identically-distributed assumption would suggest, as expected.</w:t>
      </w:r>
    </w:p>
    <w:p>
      <w:pPr>
        <w:pStyle w:val="BodyText"/>
      </w:pPr>
      <w:r>
        <w:rPr>
          <w:b/>
          <w:bCs/>
        </w:rPr>
        <w:t xml:space="preserve">T4 — Post-hoc heuristic design (DISCLOSED, not closed).</w:t>
      </w:r>
      <w:r>
        <w:t xml:space="preserve"> </w:t>
      </w:r>
      <w:r>
        <w:t xml:space="preserve">The strong heuristic v2 specified in Section 4.2 was designed</w:t>
      </w:r>
      <w:r>
        <w:t xml:space="preserve"> </w:t>
      </w:r>
      <w:r>
        <w:rPr>
          <w:i/>
          <w:iCs/>
        </w:rPr>
        <w:t xml:space="preserve">after</w:t>
      </w:r>
      <w:r>
        <w:t xml:space="preserve"> </w:t>
      </w:r>
      <w:r>
        <w:t xml:space="preserve">the blended pipeline already existed (disclosed in Section 1.4). Because the heuristic was tuned with knowledge of the language model’s behaviour on the analytical tools, the agreement reported in Section 4.3.1 partially reflects the design coupling rather than an independent comparison. Closing this threat fully would require redesigning the heuristic from scratch against a held-out reference, which is outside the scope of the engineering BSc deliverable; the thesis flags this disclosure as a partial mitigation rather than a claim that the coupling is dissolved.</w:t>
      </w:r>
    </w:p>
    <w:p>
      <w:pPr>
        <w:pStyle w:val="BodyText"/>
      </w:pPr>
      <w:r>
        <w:t xml:space="preserve">Of the four threats, T1 is closed by the disjoint-pool regeneration, T2 by the post-hoc LLM-only baseline, and T3 by the cluster-bootstrap confidence intervals. T4 remains a transparent disclosure rather than a closure; the explicit sensitivity rerun of the score-combination weights reported in Section 4.3.5 is the only mitigation available without redesigning the heuristic against an independent reference.</w:t>
      </w:r>
    </w:p>
    <w:bookmarkEnd w:id="79"/>
    <w:bookmarkEnd w:id="80"/>
    <w:bookmarkStart w:id="90" w:name="the-strong-heuristic-v2"/>
    <w:p>
      <w:pPr>
        <w:pStyle w:val="Heading2"/>
      </w:pPr>
      <w:r>
        <w:rPr>
          <w:b/>
          <w:i w:val="0"/>
          <w:sz w:val="28"/>
        </w:rPr>
        <w:t xml:space="preserve">4.2 The strong heuristic (v2)</w:t>
      </w:r>
    </w:p>
    <w:p>
      <w:pPr>
        <w:pStyle w:val="FirstParagraph"/>
      </w:pPr>
      <w:r>
        <w:t xml:space="preserve">The heuristic prepass described in Chapter 3 was sufficient to support the system’s fallback behaviour but is not, on its own, defendable as a serious comparison point against an LLM. Its keyword extraction is binary; its skill detection is a fixed list lookup; its score combination is an unweighted mean across five sub-scores. To support the comparative study, this section introduces the</w:t>
      </w:r>
      <w:r>
        <w:t xml:space="preserve"> </w:t>
      </w:r>
      <w:r>
        <w:rPr>
          <w:i/>
          <w:iCs/>
        </w:rPr>
        <w:t xml:space="preserve">strong heuristic v2</w:t>
      </w:r>
      <w:r>
        <w:t xml:space="preserve">, which replaces each of those weak primitives with a published-method counterpart drawn from classical information-retrieval research. By construction, every component of v2 is non-neural; the line between</w:t>
      </w:r>
      <w:r>
        <w:t xml:space="preserve"> </w:t>
      </w:r>
      <w:r>
        <w:t xml:space="preserve">“heuristic”</w:t>
      </w:r>
      <w:r>
        <w:t xml:space="preserve"> </w:t>
      </w:r>
      <w:r>
        <w:t xml:space="preserve">and</w:t>
      </w:r>
      <w:r>
        <w:t xml:space="preserve"> </w:t>
      </w:r>
      <w:r>
        <w:t xml:space="preserve">“language-model”</w:t>
      </w:r>
      <w:r>
        <w:t xml:space="preserve"> </w:t>
      </w:r>
      <w:r>
        <w:t xml:space="preserve">therefore remains clean for the comparison reported in Section 4.3.</w:t>
      </w:r>
    </w:p>
    <w:p>
      <w:pPr>
        <w:pStyle w:val="BodyText"/>
      </w:pPr>
      <w:r>
        <w:t xml:space="preserve">The decision to keep the heuristic strictly non-neural rather than to include a sentence-transformer–based component was made deliberately. A sentence-transformer baseline would have been a stronger numerical competitor to the blended mode but would have blurred the comparison: any positive result would have been attributable to the embedding model, and any negative result would have been blamed on it. By limiting v2 to classical-IR primitives, the comparison reported in Section 4.3 is between</w:t>
      </w:r>
      <w:r>
        <w:t xml:space="preserve"> </w:t>
      </w:r>
      <w:r>
        <w:rPr>
          <w:i/>
          <w:iCs/>
        </w:rPr>
        <w:t xml:space="preserve">language-model reasoning</w:t>
      </w:r>
      <w:r>
        <w:t xml:space="preserve"> </w:t>
      </w:r>
      <w:r>
        <w:t xml:space="preserve">and</w:t>
      </w:r>
      <w:r>
        <w:t xml:space="preserve"> </w:t>
      </w:r>
      <w:r>
        <w:rPr>
          <w:i/>
          <w:iCs/>
        </w:rPr>
        <w:t xml:space="preserve">non-language-model methods</w:t>
      </w:r>
      <w:r>
        <w:t xml:space="preserve"> </w:t>
      </w:r>
      <w:r>
        <w:t xml:space="preserve">in the strictest sense available, which is the comparison that the literature in Section 1.4 frames most clearly. A sentence-transformer intermediate tier is then proposed as future work in Section 5.3.</w:t>
      </w:r>
    </w:p>
    <w:bookmarkStart w:id="81" w:name="tfidfweighted-keyword-evidence"/>
    <w:p>
      <w:pPr>
        <w:pStyle w:val="Heading3"/>
      </w:pPr>
      <w:r>
        <w:rPr>
          <w:b/>
          <w:i/>
          <w:sz w:val="24"/>
        </w:rPr>
        <w:t xml:space="preserve">4.2.1 TF–IDF–weighted keyword evidence</w:t>
      </w:r>
    </w:p>
    <w:p>
      <w:pPr>
        <w:pStyle w:val="FirstParagraph"/>
      </w:pPr>
      <w:r>
        <w:t xml:space="preserve">The lightweight prepass described in Chapter 3 reports a binary match/miss for each keyword in a job description. Keywords are not all equally informative: the term</w:t>
      </w:r>
      <w:r>
        <w:t xml:space="preserve"> </w:t>
      </w:r>
      <w:r>
        <w:t xml:space="preserve">“communication”</w:t>
      </w:r>
      <w:r>
        <w:t xml:space="preserve"> </w:t>
      </w:r>
      <w:r>
        <w:t xml:space="preserve">appears in nearly every white-collar job description and contributes little to discriminating between roles, whereas</w:t>
      </w:r>
      <w:r>
        <w:t xml:space="preserve"> </w:t>
      </w:r>
      <w:r>
        <w:t xml:space="preserve">“RAG”</w:t>
      </w:r>
      <w:r>
        <w:t xml:space="preserve"> </w:t>
      </w:r>
      <w:r>
        <w:t xml:space="preserve">or</w:t>
      </w:r>
      <w:r>
        <w:t xml:space="preserve"> </w:t>
      </w:r>
      <w:r>
        <w:t xml:space="preserve">“vector database”</w:t>
      </w:r>
      <w:r>
        <w:t xml:space="preserve"> </w:t>
      </w:r>
      <w:r>
        <w:t xml:space="preserve">appears in a small fraction of postings and is highly discriminative when present. The strong heuristic weights keyword evidence by the inverse document frequency</w:t>
      </w:r>
      <w:r>
        <w:t xml:space="preserve"> </w:t>
      </w:r>
      <w:r>
        <w:rPr>
          <w:i/>
          <w:iCs/>
        </w:rPr>
        <w:t xml:space="preserve">idf</w:t>
      </w:r>
      <w:r>
        <w:t xml:space="preserve"> </w:t>
      </w:r>
      <w:r>
        <w:t xml:space="preserve">of each term, computed over the corpus of job descriptions in the evaluation set [5]. The keyword-alignment sub-score is then defined as</w:t>
      </w:r>
    </w:p>
    <w:p>
      <w:pPr>
        <w:pStyle w:val="BodyText"/>
      </w:pPr>
      <w:r>
        <w:t xml:space="preserve">[</w:t>
      </w:r>
      <w:r>
        <w:t xml:space="preserve"> </w:t>
      </w:r>
      <w:r>
        <w:t xml:space="preserve">(R, J) ;=;</w:t>
      </w:r>
      <w:r>
        <w:t xml:space="preserve"> </w:t>
      </w:r>
      <w:r>
        <w:t xml:space="preserve"> </w:t>
      </w:r>
      <w:r>
        <w:t xml:space="preserve">;</w:t>
      </w:r>
      <w:r>
        <w:t xml:space="preserve">; 100,</w:t>
      </w:r>
      <w:r>
        <w:t xml:space="preserve"> </w:t>
      </w:r>
      <w:r>
        <w:t xml:space="preserve">]</w:t>
      </w:r>
    </w:p>
    <w:p>
      <w:pPr>
        <w:pStyle w:val="BodyText"/>
      </w:pPr>
      <w:r>
        <w:t xml:space="preserve">where</w:t>
      </w:r>
      <w:r>
        <w:t xml:space="preserve"> </w:t>
      </w:r>
      <w:r>
        <w:rPr>
          <w:i/>
          <w:iCs/>
        </w:rPr>
        <w:t xml:space="preserve">R</w:t>
      </w:r>
      <w:r>
        <w:t xml:space="preserve"> </w:t>
      </w:r>
      <w:r>
        <w:t xml:space="preserve">is the resume,</w:t>
      </w:r>
      <w:r>
        <w:t xml:space="preserve"> </w:t>
      </w:r>
      <w:r>
        <w:rPr>
          <w:i/>
          <w:iCs/>
        </w:rPr>
        <w:t xml:space="preserve">J</w:t>
      </w:r>
      <w:r>
        <w:t xml:space="preserve"> </w:t>
      </w:r>
      <w:r>
        <w:t xml:space="preserve">is the job description,</w:t>
      </w:r>
      <w:r>
        <w:t xml:space="preserve"> </w:t>
      </w:r>
      <w:r>
        <w:rPr>
          <w:i/>
          <w:iCs/>
        </w:rPr>
        <w:t xml:space="preserve">K</w:t>
      </w:r>
      <w:r>
        <w:t xml:space="preserve">(·) extracts the keyword set, and idf is the corpus-level inverse document frequency. This replaces a count ratio with a weighted-coverage ratio.</w:t>
      </w:r>
    </w:p>
    <w:p>
      <w:pPr>
        <w:pStyle w:val="BodyText"/>
      </w:pPr>
      <w:r>
        <w:t xml:space="preserve">The full BM25 form [6] adds a saturation term that prevents very high keyword frequency in the resume from dominating the score. BM25 is implemented in</w:t>
      </w:r>
      <w:r>
        <w:t xml:space="preserve"> </w:t>
      </w:r>
      <w:r>
        <w:rPr>
          <w:rStyle w:val="VerbatimChar"/>
        </w:rPr>
        <w:t xml:space="preserve">app/services/quality_signals_v2.py</w:t>
      </w:r>
      <w:r>
        <w:t xml:space="preserve"> </w:t>
      </w:r>
      <w:r>
        <w:t xml:space="preserve">as</w:t>
      </w:r>
      <w:r>
        <w:t xml:space="preserve"> </w:t>
      </w:r>
      <w:r>
        <w:rPr>
          <w:rStyle w:val="VerbatimChar"/>
        </w:rPr>
        <w:t xml:space="preserve">_bm25_score</w:t>
      </w:r>
      <w:r>
        <w:t xml:space="preserve">; the parameters</w:t>
      </w:r>
      <w:r>
        <w:t xml:space="preserve"> </w:t>
      </w:r>
      <w:r>
        <w:rPr>
          <w:i/>
          <w:iCs/>
        </w:rPr>
        <w:t xml:space="preserve">k₁</w:t>
      </w:r>
      <w:r>
        <w:t xml:space="preserve"> </w:t>
      </w:r>
      <w:r>
        <w:t xml:space="preserve">= 1.5 and</w:t>
      </w:r>
      <w:r>
        <w:t xml:space="preserve"> </w:t>
      </w:r>
      <w:r>
        <w:rPr>
          <w:i/>
          <w:iCs/>
        </w:rPr>
        <w:t xml:space="preserve">b</w:t>
      </w:r>
      <w:r>
        <w:t xml:space="preserve"> </w:t>
      </w:r>
      <w:r>
        <w:t xml:space="preserve">= 0.75 are taken from the BM25 defaults that have proven robust across decades of retrieval research. The IDF table is computed in two complementary ways: the production path uses a</w:t>
      </w:r>
      <w:r>
        <w:t xml:space="preserve"> </w:t>
      </w:r>
      <w:r>
        <w:rPr>
          <w:i/>
          <w:iCs/>
        </w:rPr>
        <w:t xml:space="preserve">bundled baseline IDF</w:t>
      </w:r>
      <w:r>
        <w:t xml:space="preserve"> </w:t>
      </w:r>
      <w:r>
        <w:t xml:space="preserve">derived once at import time from the ESCO knowledge base shipped with the application (each ESCO entry — canonical label plus surface variants — treated as a short document), while the evaluation harness recomputes IDF over the full set of evaluation job descriptions before scoring. Both paths share the same ranking formula; only the IDF source differs, which keeps absolute BM25 values comparable within a run while honestly reflecting the small size of the corpus available at module load time.</w:t>
      </w:r>
    </w:p>
    <w:bookmarkEnd w:id="81"/>
    <w:bookmarkStart w:id="82" w:name="esco-aligned-skill-normalisation"/>
    <w:p>
      <w:pPr>
        <w:pStyle w:val="Heading3"/>
      </w:pPr>
      <w:r>
        <w:rPr>
          <w:b/>
          <w:i/>
          <w:sz w:val="24"/>
        </w:rPr>
        <w:t xml:space="preserve">4.2.2 ESCO-aligned skill normalisation</w:t>
      </w:r>
    </w:p>
    <w:p>
      <w:pPr>
        <w:pStyle w:val="FirstParagraph"/>
      </w:pPr>
      <w:r>
        <w:t xml:space="preserve">The fixed skill list used by the lightweight prepass cannot reconcile surface variations of the same underlying skill.</w:t>
      </w:r>
      <w:r>
        <w:t xml:space="preserve"> </w:t>
      </w:r>
      <w:r>
        <w:rPr>
          <w:i/>
          <w:iCs/>
        </w:rPr>
        <w:t xml:space="preserve">Postgres</w:t>
      </w:r>
      <w:r>
        <w:t xml:space="preserve">,</w:t>
      </w:r>
      <w:r>
        <w:t xml:space="preserve"> </w:t>
      </w:r>
      <w:r>
        <w:rPr>
          <w:i/>
          <w:iCs/>
        </w:rPr>
        <w:t xml:space="preserve">PostgreSQL</w:t>
      </w:r>
      <w:r>
        <w:t xml:space="preserve">, and</w:t>
      </w:r>
      <w:r>
        <w:t xml:space="preserve"> </w:t>
      </w:r>
      <w:r>
        <w:rPr>
          <w:i/>
          <w:iCs/>
        </w:rPr>
        <w:t xml:space="preserve">postgres database</w:t>
      </w:r>
      <w:r>
        <w:t xml:space="preserve"> </w:t>
      </w:r>
      <w:r>
        <w:t xml:space="preserve">should map to a single ESCO skill identifier; the prior implementation treated them as three independent strings. The strong heuristic introduces a top-down ESCO normalisation layer [8, 9, 12]. A curated subset of the ESCO skill knowledge base — at the time of submission, approximately one hundred entries focused on the digital and creative-industry domains, with the data file structured for straightforward expansion to the roughly eight hundred entries needed for production-scale coverage — is bundled with the application as a JSON resource. Each entry contains a canonical label and a list of surface variants, drawn from the published ESCO multilingual dataset.</w:t>
      </w:r>
    </w:p>
    <w:p>
      <w:pPr>
        <w:pStyle w:val="BodyText"/>
      </w:pPr>
      <w:r>
        <w:t xml:space="preserve">At analysis time, both the resume and the job description are scanned for occurrences of any ESCO surface variant; matches are normalised to the canonical label, and the two sets of canonical labels are intersected. The keyword-alignment sub-score is then computed against the normalised label sets, so that the three Postgres surface forms count as a single match against a job description that asks for</w:t>
      </w:r>
      <w:r>
        <w:t xml:space="preserve"> </w:t>
      </w:r>
      <w:r>
        <w:t xml:space="preserve">“PostgreSQL”</w:t>
      </w:r>
      <w:r>
        <w:t xml:space="preserve">.</w:t>
      </w:r>
    </w:p>
    <w:bookmarkEnd w:id="82"/>
    <w:bookmarkStart w:id="83" w:name="fuzzy-matching"/>
    <w:p>
      <w:pPr>
        <w:pStyle w:val="Heading3"/>
      </w:pPr>
      <w:r>
        <w:rPr>
          <w:b/>
          <w:i/>
          <w:sz w:val="24"/>
        </w:rPr>
        <w:t xml:space="preserve">4.2.3 Fuzzy matching</w:t>
      </w:r>
    </w:p>
    <w:p>
      <w:pPr>
        <w:pStyle w:val="FirstParagraph"/>
      </w:pPr>
      <w:r>
        <w:t xml:space="preserve">Even after ESCO normalisation, surface variation persists for skills that are not in the bundled ESCO subset and for non-skill keywords that the user has supplied informally. The strong heuristic applies an additional fuzzy-matching pass based on the Levenshtein-edit-distance similarity metric [7], implemented through Python’s standard-library</w:t>
      </w:r>
      <w:r>
        <w:t xml:space="preserve"> </w:t>
      </w:r>
      <w:r>
        <w:rPr>
          <w:rStyle w:val="VerbatimChar"/>
        </w:rPr>
        <w:t xml:space="preserve">difflib.SequenceMatcher</w:t>
      </w:r>
      <w:r>
        <w:t xml:space="preserve"> </w:t>
      </w:r>
      <w:r>
        <w:t xml:space="preserve">(which computes a normalised longest-common-subsequence ratio mathematically equivalent to a normalised edit distance for the cases that arise in resume keyword matching). A keyword from the job description is considered matched in the resume when either (i) the exact token appears, (ii) the canonical ESCO label appears after normalisation, or (iii) a token in the resume has SequenceMatcher ratio above a threshold</w:t>
      </w:r>
      <w:r>
        <w:t xml:space="preserve"> </w:t>
      </w:r>
      <w:r>
        <w:rPr>
          <w:i/>
          <w:iCs/>
        </w:rPr>
        <w:t xml:space="preserve">τ</w:t>
      </w:r>
      <w:r>
        <w:t xml:space="preserve"> </w:t>
      </w:r>
      <w:r>
        <w:t xml:space="preserve">with the keyword. The threshold</w:t>
      </w:r>
      <w:r>
        <w:t xml:space="preserve"> </w:t>
      </w:r>
      <w:r>
        <w:rPr>
          <w:i/>
          <w:iCs/>
        </w:rPr>
        <w:t xml:space="preserve">τ</w:t>
      </w:r>
      <w:r>
        <w:t xml:space="preserve"> </w:t>
      </w:r>
      <w:r>
        <w:t xml:space="preserve">= 0.85 was chosen empirically: values below 0.80 admit too many spurious matches (English plurals are at ~0.95 already; below 0.80, unrelated tokens begin to register), and values above 0.90 reject obvious typographic variants such as</w:t>
      </w:r>
      <w:r>
        <w:t xml:space="preserve"> </w:t>
      </w:r>
      <w:r>
        <w:rPr>
          <w:i/>
          <w:iCs/>
        </w:rPr>
        <w:t xml:space="preserve">Javacript</w:t>
      </w:r>
      <w:r>
        <w:t xml:space="preserve"> </w:t>
      </w:r>
      <w:r>
        <w:t xml:space="preserve">for</w:t>
      </w:r>
      <w:r>
        <w:t xml:space="preserve"> </w:t>
      </w:r>
      <w:r>
        <w:rPr>
          <w:i/>
          <w:iCs/>
        </w:rPr>
        <w:t xml:space="preserve">JavaScript</w:t>
      </w:r>
      <w:r>
        <w:t xml:space="preserve">. Choosing the standard-library implementation rather than</w:t>
      </w:r>
      <w:r>
        <w:t xml:space="preserve"> </w:t>
      </w:r>
      <w:r>
        <w:rPr>
          <w:rStyle w:val="VerbatimChar"/>
        </w:rPr>
        <w:t xml:space="preserve">rapidfuzz</w:t>
      </w:r>
      <w:r>
        <w:t xml:space="preserve"> </w:t>
      </w:r>
      <w:r>
        <w:t xml:space="preserve">keeps the heuristic dependency-free, which is a property that makes the fully-heuristic mode auditable in deployments where third-party libraries are restricted.</w:t>
      </w:r>
    </w:p>
    <w:bookmarkEnd w:id="83"/>
    <w:bookmarkStart w:id="84" w:name="section-weighted-features"/>
    <w:p>
      <w:pPr>
        <w:pStyle w:val="Heading3"/>
      </w:pPr>
      <w:r>
        <w:rPr>
          <w:b/>
          <w:i/>
          <w:sz w:val="24"/>
        </w:rPr>
        <w:t xml:space="preserve">4.2.4 Section-weighted features</w:t>
      </w:r>
    </w:p>
    <w:p>
      <w:pPr>
        <w:pStyle w:val="FirstParagraph"/>
      </w:pPr>
      <w:r>
        <w:t xml:space="preserve">A skill listed in a dedicated</w:t>
      </w:r>
      <w:r>
        <w:t xml:space="preserve"> </w:t>
      </w:r>
      <w:r>
        <w:rPr>
          <w:i/>
          <w:iCs/>
        </w:rPr>
        <w:t xml:space="preserve">Skills</w:t>
      </w:r>
      <w:r>
        <w:t xml:space="preserve"> </w:t>
      </w:r>
      <w:r>
        <w:t xml:space="preserve">section carries different evidential weight from the same skill mentioned in a project description. Recruiters read the</w:t>
      </w:r>
      <w:r>
        <w:t xml:space="preserve"> </w:t>
      </w:r>
      <w:r>
        <w:rPr>
          <w:i/>
          <w:iCs/>
        </w:rPr>
        <w:t xml:space="preserve">Skills</w:t>
      </w:r>
      <w:r>
        <w:t xml:space="preserve"> </w:t>
      </w:r>
      <w:r>
        <w:t xml:space="preserve">section as a checklist and the</w:t>
      </w:r>
      <w:r>
        <w:t xml:space="preserve"> </w:t>
      </w:r>
      <w:r>
        <w:rPr>
          <w:i/>
          <w:iCs/>
        </w:rPr>
        <w:t xml:space="preserve">Experience</w:t>
      </w:r>
      <w:r>
        <w:t xml:space="preserve"> </w:t>
      </w:r>
      <w:r>
        <w:t xml:space="preserve">section as a narrative; the two should not contribute equally to a sub-score that is meant to reflect what a recruiter scans for [18]. The strong heuristic applies a per-section weight when computing the matched-keyword set: a match in</w:t>
      </w:r>
      <w:r>
        <w:t xml:space="preserve"> </w:t>
      </w:r>
      <w:r>
        <w:rPr>
          <w:i/>
          <w:iCs/>
        </w:rPr>
        <w:t xml:space="preserve">Skills</w:t>
      </w:r>
      <w:r>
        <w:t xml:space="preserve"> </w:t>
      </w:r>
      <w:r>
        <w:t xml:space="preserve">contributes weight 1.0, a match in</w:t>
      </w:r>
      <w:r>
        <w:t xml:space="preserve"> </w:t>
      </w:r>
      <w:r>
        <w:rPr>
          <w:i/>
          <w:iCs/>
        </w:rPr>
        <w:t xml:space="preserve">Experience</w:t>
      </w:r>
      <w:r>
        <w:t xml:space="preserve"> </w:t>
      </w:r>
      <w:r>
        <w:t xml:space="preserve">or</w:t>
      </w:r>
      <w:r>
        <w:t xml:space="preserve"> </w:t>
      </w:r>
      <w:r>
        <w:rPr>
          <w:i/>
          <w:iCs/>
        </w:rPr>
        <w:t xml:space="preserve">Projects</w:t>
      </w:r>
      <w:r>
        <w:t xml:space="preserve"> </w:t>
      </w:r>
      <w:r>
        <w:t xml:space="preserve">contributes weight 0.7, a match in</w:t>
      </w:r>
      <w:r>
        <w:t xml:space="preserve"> </w:t>
      </w:r>
      <w:r>
        <w:rPr>
          <w:i/>
          <w:iCs/>
        </w:rPr>
        <w:t xml:space="preserve">Summary</w:t>
      </w:r>
      <w:r>
        <w:t xml:space="preserve"> </w:t>
      </w:r>
      <w:r>
        <w:t xml:space="preserve">contributes weight 0.5, and a match in</w:t>
      </w:r>
      <w:r>
        <w:t xml:space="preserve"> </w:t>
      </w:r>
      <w:r>
        <w:rPr>
          <w:i/>
          <w:iCs/>
        </w:rPr>
        <w:t xml:space="preserve">Education</w:t>
      </w:r>
      <w:r>
        <w:t xml:space="preserve"> </w:t>
      </w:r>
      <w:r>
        <w:t xml:space="preserve">contributes weight 0.3. The total weighted match is then normalised against the maximum achievable weighted match for the keyword set in question.</w:t>
      </w:r>
    </w:p>
    <w:bookmarkEnd w:id="84"/>
    <w:bookmarkStart w:id="85" w:name="quantification-regex"/>
    <w:p>
      <w:pPr>
        <w:pStyle w:val="Heading3"/>
      </w:pPr>
      <w:r>
        <w:rPr>
          <w:b/>
          <w:i/>
          <w:sz w:val="24"/>
        </w:rPr>
        <w:t xml:space="preserve">4.2.5 Quantification regex</w:t>
      </w:r>
    </w:p>
    <w:p>
      <w:pPr>
        <w:pStyle w:val="FirstParagraph"/>
      </w:pPr>
      <w:r>
        <w:t xml:space="preserve">Quantification (numbers, percentages, currency tokens, time periods) is one of the strongest signals that a resume bullet describes a measurable outcome rather than a duty. The strong heuristic uses a single composite regular expression to detect any of seven quantification patterns: bare integers, numeric percentages, currency-prefixed amounts, time periods (weeks, months, years), magnitudes (k, M, B, ×), counts of users or customers, and team-size descriptors. The count of</w:t>
      </w:r>
      <w:r>
        <w:t xml:space="preserve"> </w:t>
      </w:r>
      <w:r>
        <w:rPr>
          <w:i/>
          <w:iCs/>
        </w:rPr>
        <w:t xml:space="preserve">quantified</w:t>
      </w:r>
      <w:r>
        <w:t xml:space="preserve"> </w:t>
      </w:r>
      <w:r>
        <w:t xml:space="preserve">bullets enters the</w:t>
      </w:r>
      <w:r>
        <w:t xml:space="preserve"> </w:t>
      </w:r>
      <w:r>
        <w:rPr>
          <w:i/>
          <w:iCs/>
        </w:rPr>
        <w:t xml:space="preserve">impact</w:t>
      </w:r>
      <w:r>
        <w:t xml:space="preserve"> </w:t>
      </w:r>
      <w:r>
        <w:t xml:space="preserve">sub-score with a saturating logarithmic weight, so that the difference between zero and three quantified bullets is much larger than the difference between fifteen and eighteen.</w:t>
      </w:r>
    </w:p>
    <w:bookmarkEnd w:id="85"/>
    <w:bookmarkStart w:id="86" w:name="action-verb-scoring"/>
    <w:p>
      <w:pPr>
        <w:pStyle w:val="Heading3"/>
      </w:pPr>
      <w:r>
        <w:rPr>
          <w:b/>
          <w:i/>
          <w:sz w:val="24"/>
        </w:rPr>
        <w:t xml:space="preserve">4.2.6 Action-verb scoring</w:t>
      </w:r>
    </w:p>
    <w:p>
      <w:pPr>
        <w:pStyle w:val="FirstParagraph"/>
      </w:pPr>
      <w:r>
        <w:t xml:space="preserve">A resume bullet that begins with a strong action verb (</w:t>
      </w:r>
      <w:r>
        <w:t xml:space="preserve">“led”</w:t>
      </w:r>
      <w:r>
        <w:t xml:space="preserve">,</w:t>
      </w:r>
      <w:r>
        <w:t xml:space="preserve"> </w:t>
      </w:r>
      <w:r>
        <w:t xml:space="preserve">“shipped”</w:t>
      </w:r>
      <w:r>
        <w:t xml:space="preserve">,</w:t>
      </w:r>
      <w:r>
        <w:t xml:space="preserve"> </w:t>
      </w:r>
      <w:r>
        <w:t xml:space="preserve">“automated”</w:t>
      </w:r>
      <w:r>
        <w:t xml:space="preserve">) communicates ownership more directly than one that begins with a passive construction or a weak filler verb (</w:t>
      </w:r>
      <w:r>
        <w:t xml:space="preserve">“worked on”</w:t>
      </w:r>
      <w:r>
        <w:t xml:space="preserve">,</w:t>
      </w:r>
      <w:r>
        <w:t xml:space="preserve"> </w:t>
      </w:r>
      <w:r>
        <w:t xml:space="preserve">“involved in”</w:t>
      </w:r>
      <w:r>
        <w:t xml:space="preserve">). The strong heuristic includes a curated action-verb dictionary of approximately 190 entries, aggregated from publicly available career-services resources of established universities (Harvard FAS, MIT Career Advising, Princeton Career Development), and counts the fraction of bullets whose leading token belongs to the dictionary. This fraction enters the</w:t>
      </w:r>
      <w:r>
        <w:t xml:space="preserve"> </w:t>
      </w:r>
      <w:r>
        <w:rPr>
          <w:i/>
          <w:iCs/>
        </w:rPr>
        <w:t xml:space="preserve">clarity</w:t>
      </w:r>
      <w:r>
        <w:t xml:space="preserve"> </w:t>
      </w:r>
      <w:r>
        <w:t xml:space="preserve">sub-score with a linear weight.</w:t>
      </w:r>
    </w:p>
    <w:bookmarkEnd w:id="86"/>
    <w:bookmarkStart w:id="87" w:name="score-combination"/>
    <w:p>
      <w:pPr>
        <w:pStyle w:val="Heading3"/>
      </w:pPr>
      <w:r>
        <w:rPr>
          <w:b/>
          <w:i/>
          <w:sz w:val="24"/>
        </w:rPr>
        <w:t xml:space="preserve">4.2.7 Score combination</w:t>
      </w:r>
    </w:p>
    <w:p>
      <w:pPr>
        <w:pStyle w:val="FirstParagraph"/>
      </w:pPr>
      <w:r>
        <w:t xml:space="preserve">The five sub-scores (keyword alignment, impact, structure, clarity, completeness) are combined into the overall score through a weighted mean rather than the simple mean used by the lightweight prepass. The weights — 0.30, 0.25, 0.15, 0.15, 0.15 — are</w:t>
      </w:r>
      <w:r>
        <w:t xml:space="preserve"> </w:t>
      </w:r>
      <w:r>
        <w:rPr>
          <w:i/>
          <w:iCs/>
        </w:rPr>
        <w:t xml:space="preserve">author-selected</w:t>
      </w:r>
      <w:r>
        <w:t xml:space="preserve"> </w:t>
      </w:r>
      <w:r>
        <w:t xml:space="preserve">and reflect the design intuition that recruiter-side scanning is dominated by keyword and impact signals, with structural, clarity, and completeness signals carrying smaller but non-trivial weight. They are not derived from a published recruiter survey; the thesis does not claim such a derivation. Section 4.3.5 reports a sensitivity analysis in which the same comparative result is recomputed under an equal-weight combination (0.20 across all five sub-scores); the value-association result (Pearson</w:t>
      </w:r>
      <w:r>
        <w:t xml:space="preserve"> </w:t>
      </w:r>
      <w:r>
        <w:rPr>
          <w:i/>
          <w:iCs/>
        </w:rPr>
        <w:t xml:space="preserve">r</w:t>
      </w:r>
      <w:r>
        <w:t xml:space="preserve">) stays above the 0.7 reference threshold under both weightings, while the rank-agreement result (Spearman ρ) drops below the threshold under equal weights — a partial-robustness finding rather than weight-independence.</w:t>
      </w:r>
    </w:p>
    <w:bookmarkEnd w:id="87"/>
    <w:bookmarkStart w:id="88" w:name="implementation-notes"/>
    <w:p>
      <w:pPr>
        <w:pStyle w:val="Heading3"/>
      </w:pPr>
      <w:r>
        <w:rPr>
          <w:b/>
          <w:i/>
          <w:sz w:val="24"/>
        </w:rPr>
        <w:t xml:space="preserve">4.2.8 Implementation notes</w:t>
      </w:r>
    </w:p>
    <w:p>
      <w:pPr>
        <w:pStyle w:val="FirstParagraph"/>
      </w:pPr>
      <w:r>
        <w:t xml:space="preserve">The strong heuristic v2 is implemented in</w:t>
      </w:r>
      <w:r>
        <w:t xml:space="preserve"> </w:t>
      </w:r>
      <w:r>
        <w:rPr>
          <w:rStyle w:val="VerbatimChar"/>
        </w:rPr>
        <w:t xml:space="preserve">app/services/quality_signals_v2.py</w:t>
      </w:r>
      <w:r>
        <w:t xml:space="preserve">, a new module added alongside the existing</w:t>
      </w:r>
      <w:r>
        <w:t xml:space="preserve"> </w:t>
      </w:r>
      <w:r>
        <w:rPr>
          <w:rStyle w:val="VerbatimChar"/>
        </w:rPr>
        <w:t xml:space="preserve">quality_signals.py</w:t>
      </w:r>
      <w:r>
        <w:t xml:space="preserve"> </w:t>
      </w:r>
      <w:r>
        <w:t xml:space="preserve">so that the lightweight version remains available for the production fallback path. A configuration flag selects which version is active:</w:t>
      </w:r>
      <w:r>
        <w:t xml:space="preserve"> </w:t>
      </w:r>
      <w:r>
        <w:rPr>
          <w:rStyle w:val="VerbatimChar"/>
        </w:rPr>
        <w:t xml:space="preserve">HEURISTIC_VERSION=v2</w:t>
      </w:r>
      <w:r>
        <w:t xml:space="preserve"> </w:t>
      </w:r>
      <w:r>
        <w:t xml:space="preserve">enables the strong heuristic for the analytical tools and is the default for the experimental run reported in Section 4.3. The corresponding admin toggle is described in Section 4.2.9.</w:t>
      </w:r>
    </w:p>
    <w:bookmarkEnd w:id="88"/>
    <w:bookmarkStart w:id="89" w:name="the-administrative-toggle"/>
    <w:p>
      <w:pPr>
        <w:pStyle w:val="Heading3"/>
      </w:pPr>
      <w:r>
        <w:rPr>
          <w:b/>
          <w:i/>
          <w:sz w:val="24"/>
        </w:rPr>
        <w:t xml:space="preserve">4.2.9 The administrative toggle</w:t>
      </w:r>
    </w:p>
    <w:p>
      <w:pPr>
        <w:pStyle w:val="FirstParagraph"/>
      </w:pPr>
      <w:r>
        <w:t xml:space="preserve">Non-functional requirement N7 of Chapter 2 calls for runtime switchability between the two scoring modes. The implementation introduces three small surfaces.</w:t>
      </w:r>
    </w:p>
    <w:p>
      <w:pPr>
        <w:pStyle w:val="BodyText"/>
      </w:pPr>
      <w:r>
        <w:t xml:space="preserve">A backend configuration flag</w:t>
      </w:r>
      <w:r>
        <w:t xml:space="preserve"> </w:t>
      </w:r>
      <w:r>
        <w:rPr>
          <w:rStyle w:val="VerbatimChar"/>
        </w:rPr>
        <w:t xml:space="preserve">SCORING_MODE</w:t>
      </w:r>
      <w:r>
        <w:t xml:space="preserve"> </w:t>
      </w:r>
      <w:r>
        <w:t xml:space="preserve">accepts the values</w:t>
      </w:r>
      <w:r>
        <w:t xml:space="preserve"> </w:t>
      </w:r>
      <w:r>
        <w:rPr>
          <w:rStyle w:val="VerbatimChar"/>
        </w:rPr>
        <w:t xml:space="preserve">blended</w:t>
      </w:r>
      <w:r>
        <w:t xml:space="preserve"> </w:t>
      </w:r>
      <w:r>
        <w:t xml:space="preserve">and</w:t>
      </w:r>
      <w:r>
        <w:t xml:space="preserve"> </w:t>
      </w:r>
      <w:r>
        <w:rPr>
          <w:rStyle w:val="VerbatimChar"/>
        </w:rPr>
        <w:t xml:space="preserve">heuristic</w:t>
      </w:r>
      <w:r>
        <w:t xml:space="preserve">; the default is</w:t>
      </w:r>
      <w:r>
        <w:t xml:space="preserve"> </w:t>
      </w:r>
      <w:r>
        <w:rPr>
          <w:rStyle w:val="VerbatimChar"/>
        </w:rPr>
        <w:t xml:space="preserve">blended</w:t>
      </w:r>
      <w:r>
        <w:t xml:space="preserve">. When the value is</w:t>
      </w:r>
      <w:r>
        <w:t xml:space="preserve"> </w:t>
      </w:r>
      <w:r>
        <w:rPr>
          <w:rStyle w:val="VerbatimChar"/>
        </w:rPr>
        <w:t xml:space="preserve">heuristic</w:t>
      </w:r>
      <w:r>
        <w:t xml:space="preserve">, the analytical services skip the LLM call entirely and return the response constructed from the strong heuristic v2.</w:t>
      </w:r>
    </w:p>
    <w:p>
      <w:pPr>
        <w:pStyle w:val="BodyText"/>
      </w:pPr>
      <w:r>
        <w:t xml:space="preserve">A runtime-state module</w:t>
      </w:r>
      <w:r>
        <w:t xml:space="preserve"> </w:t>
      </w:r>
      <w:r>
        <w:rPr>
          <w:rStyle w:val="VerbatimChar"/>
        </w:rPr>
        <w:t xml:space="preserve">app/services/runtime_settings.py</w:t>
      </w:r>
      <w:r>
        <w:t xml:space="preserve"> </w:t>
      </w:r>
      <w:r>
        <w:t xml:space="preserve">maintains an in-memory override of the configuration flag. The override is set by a POST request to</w:t>
      </w:r>
      <w:r>
        <w:t xml:space="preserve"> </w:t>
      </w:r>
      <w:r>
        <w:rPr>
          <w:rStyle w:val="VerbatimChar"/>
        </w:rPr>
        <w:t xml:space="preserve">/api/v1/admin/scoring-mode</w:t>
      </w:r>
      <w:r>
        <w:t xml:space="preserve"> </w:t>
      </w:r>
      <w:r>
        <w:t xml:space="preserve">and is read by the analytical services on every request. The override survives a request but does not survive a process restart, on the principle that the configuration of record is the environment variable; the runtime override is for live demonstration during the diploma defence.</w:t>
      </w:r>
    </w:p>
    <w:p>
      <w:pPr>
        <w:pStyle w:val="BodyText"/>
      </w:pPr>
      <w:r>
        <w:t xml:space="preserve">A frontend control on the existing</w:t>
      </w:r>
      <w:r>
        <w:t xml:space="preserve"> </w:t>
      </w:r>
      <w:r>
        <w:rPr>
          <w:rStyle w:val="VerbatimChar"/>
        </w:rPr>
        <w:t xml:space="preserve">/admin</w:t>
      </w:r>
      <w:r>
        <w:t xml:space="preserve"> </w:t>
      </w:r>
      <w:r>
        <w:t xml:space="preserve">route is wired to the same endpoint, so an authenticated administrator can flip the scoring mode at runtime through the user interface during a live demonstration; the same operation can also be performed by issuing the POST request through any HTTP client (or via the auto-generated FastAPI documentation page at</w:t>
      </w:r>
      <w:r>
        <w:t xml:space="preserve"> </w:t>
      </w:r>
      <w:r>
        <w:rPr>
          <w:rStyle w:val="VerbatimChar"/>
        </w:rPr>
        <w:t xml:space="preserve">/api/v1/docs</w:t>
      </w:r>
      <w:r>
        <w:t xml:space="preserve">). The new mode is applied to the next analytical request without any further action from the operator. Direct visual capture of the administrative toggle interface is omitted from Appendix C; the runtime-toggle mechanism is documented through the source listing in Appendix A.3 and through the comparative study reported in Section 4.3, which exercises both scoring modes end-to-end on the synthetic evaluation set.</w:t>
      </w:r>
    </w:p>
    <w:bookmarkEnd w:id="89"/>
    <w:bookmarkEnd w:id="90"/>
    <w:bookmarkStart w:id="102" w:name="results"/>
    <w:p>
      <w:pPr>
        <w:pStyle w:val="Heading2"/>
      </w:pPr>
      <w:r>
        <w:rPr>
          <w:b/>
          <w:i w:val="0"/>
          <w:sz w:val="28"/>
        </w:rPr>
        <w:t xml:space="preserve">4.3 Results</w:t>
      </w:r>
    </w:p>
    <w:p>
      <w:pPr>
        <w:pStyle w:val="FirstParagraph"/>
      </w:pPr>
      <w:r>
        <w:t xml:space="preserve">The evaluation harness</w:t>
      </w:r>
      <w:r>
        <w:t xml:space="preserve"> </w:t>
      </w:r>
      <w:r>
        <w:rPr>
          <w:rStyle w:val="VerbatimChar"/>
        </w:rPr>
        <w:t xml:space="preserve">scripts/eval_scoring.py</w:t>
      </w:r>
      <w:r>
        <w:t xml:space="preserve"> </w:t>
      </w:r>
      <w:r>
        <w:t xml:space="preserve">produced 100 paired observations on the synthetic evaluation set described in Section 4.1.1. Every (resume, JD) pair was scored under both modes; both modes succeeded on every pair. The numerical results in the tables below are emitted by</w:t>
      </w:r>
      <w:r>
        <w:t xml:space="preserve"> </w:t>
      </w:r>
      <w:r>
        <w:rPr>
          <w:rStyle w:val="VerbatimChar"/>
        </w:rPr>
        <w:t xml:space="preserve">scripts/analyze_eval_results.py</w:t>
      </w:r>
      <w:r>
        <w:t xml:space="preserve"> </w:t>
      </w:r>
      <w:r>
        <w:t xml:space="preserve">from the persisted</w:t>
      </w:r>
      <w:r>
        <w:t xml:space="preserve"> </w:t>
      </w:r>
      <w:r>
        <w:rPr>
          <w:rStyle w:val="VerbatimChar"/>
        </w:rPr>
        <w:t xml:space="preserve">thesis/eval-results.json</w:t>
      </w:r>
      <w:r>
        <w:t xml:space="preserve"> </w:t>
      </w:r>
      <w:r>
        <w:t xml:space="preserve">file. The reference value</w:t>
      </w:r>
      <w:r>
        <w:t xml:space="preserve"> </w:t>
      </w:r>
      <w:r>
        <w:rPr>
          <w:i/>
          <w:iCs/>
        </w:rPr>
        <w:t xml:space="preserve">r</w:t>
      </w:r>
      <w:r>
        <w:t xml:space="preserve"> </w:t>
      </w:r>
      <w:r>
        <w:t xml:space="preserve">≈ 0.7 used by Robertson and Zaragoza [6] in their reliability discussion is taken as a literature anchor for what counts as</w:t>
      </w:r>
      <w:r>
        <w:t xml:space="preserve"> </w:t>
      </w:r>
      <w:r>
        <w:t xml:space="preserve">“comparable”</w:t>
      </w:r>
      <w:r>
        <w:t xml:space="preserve"> </w:t>
      </w:r>
      <w:r>
        <w:t xml:space="preserve">rather than as a research hypothesis to test.</w:t>
      </w:r>
    </w:p>
    <w:bookmarkStart w:id="91" w:name="score-agreement"/>
    <w:p>
      <w:pPr>
        <w:pStyle w:val="Heading3"/>
      </w:pPr>
      <w:r>
        <w:rPr>
          <w:b/>
          <w:i/>
          <w:sz w:val="24"/>
        </w:rPr>
        <w:t xml:space="preserve">4.3.1 Score agreement</w:t>
      </w:r>
    </w:p>
    <w:p>
      <w:pPr>
        <w:pStyle w:val="FirstParagraph"/>
      </w:pPr>
      <w:r>
        <w:t xml:space="preserve">Across the 100 (resume, job-description) pairs in the evaluation set, three rank- and value-agreement statistics are computed between the overall score in the blended mode and the overall score in the fully heuristic v2 mode: Pearson</w:t>
      </w:r>
      <w:r>
        <w:t xml:space="preserve"> </w:t>
      </w:r>
      <w:r>
        <w:rPr>
          <w:i/>
          <w:iCs/>
        </w:rPr>
        <w:t xml:space="preserve">r</w:t>
      </w:r>
      <w:r>
        <w:t xml:space="preserve">, Spearman ρ, and Kendall τ. The numbers reported here are the</w:t>
      </w:r>
      <w:r>
        <w:t xml:space="preserve"> </w:t>
      </w:r>
      <w:r>
        <w:rPr>
          <w:i/>
          <w:iCs/>
        </w:rPr>
        <w:t xml:space="preserve">post-mitigation</w:t>
      </w:r>
      <w:r>
        <w:t xml:space="preserve"> </w:t>
      </w:r>
      <w:r>
        <w:t xml:space="preserve">values, computed on the disjoint-vocabulary dataset described in Section 4.1.1; the</w:t>
      </w:r>
      <w:r>
        <w:t xml:space="preserve"> </w:t>
      </w:r>
      <w:r>
        <w:rPr>
          <w:i/>
          <w:iCs/>
        </w:rPr>
        <w:t xml:space="preserve">pre-mitigation</w:t>
      </w:r>
      <w:r>
        <w:t xml:space="preserve"> </w:t>
      </w:r>
      <w:r>
        <w:t xml:space="preserve">values for the same statistics on the leakage-version dataset are reported alongside for an explicit before/after comparison, and the leakage-version dataset and results are archived under</w:t>
      </w:r>
      <w:r>
        <w:t xml:space="preserve"> </w:t>
      </w:r>
      <w:r>
        <w:rPr>
          <w:rStyle w:val="VerbatimChar"/>
        </w:rPr>
        <w:t xml:space="preserve">thesis/eval-dataset-with-leakage.json</w:t>
      </w:r>
      <w:r>
        <w:t xml:space="preserve"> </w:t>
      </w:r>
      <w:r>
        <w:t xml:space="preserve">and</w:t>
      </w:r>
      <w:r>
        <w:t xml:space="preserve"> </w:t>
      </w:r>
      <w:r>
        <w:rPr>
          <w:rStyle w:val="VerbatimChar"/>
        </w:rPr>
        <w:t xml:space="preserve">thesis/eval-results-with-leakage.json</w:t>
      </w:r>
      <w:r>
        <w:t xml:space="preserve"> </w:t>
      </w:r>
      <w:r>
        <w:t xml:space="preserve">respectively.</w:t>
      </w:r>
    </w:p>
    <w:tbl>
      <w:tblPr>
        <w:tblStyle w:val="Table"/>
        <w:tblW w:type="pct" w:w="5000"/>
        <w:tblLayout w:type="fixed"/>
        <w:tblLook w:firstRow="1" w:lastRow="0" w:firstColumn="0" w:lastColumn="0" w:noHBand="0" w:noVBand="0" w:val="0020"/>
      </w:tblPr>
      <w:tblGrid>
        <w:gridCol w:w="1244"/>
        <w:gridCol w:w="1923"/>
        <w:gridCol w:w="2941"/>
        <w:gridCol w:w="1810"/>
      </w:tblGrid>
      <w:tr>
        <w:trPr>
          <w:tblHeader w:val="on"/>
        </w:trPr>
        <w:tc>
          <w:tcPr/>
          <w:p>
            <w:pPr>
              <w:pStyle w:val="Compact"/>
            </w:pPr>
            <w:r>
              <w:t xml:space="preserve">Statistic</w:t>
            </w:r>
          </w:p>
        </w:tc>
        <w:tc>
          <w:tcPr/>
          <w:p>
            <w:pPr>
              <w:pStyle w:val="Compact"/>
            </w:pPr>
            <w:r>
              <w:t xml:space="preserve">Post-mitigation</w:t>
            </w:r>
          </w:p>
        </w:tc>
        <w:tc>
          <w:tcPr/>
          <w:p>
            <w:pPr>
              <w:pStyle w:val="Compact"/>
            </w:pPr>
            <w:r>
              <w:t xml:space="preserve">Pre-mitigation (leakage)</w:t>
            </w:r>
          </w:p>
        </w:tc>
        <w:tc>
          <w:tcPr/>
          <w:p>
            <w:pPr>
              <w:pStyle w:val="Compact"/>
            </w:pPr>
            <w:r>
              <w:t xml:space="preserve">Interpretation</w:t>
            </w:r>
          </w:p>
        </w:tc>
      </w:tr>
      <w:tr>
        <w:tc>
          <w:tcPr/>
          <w:p>
            <w:pPr>
              <w:pStyle w:val="Compact"/>
            </w:pPr>
            <w:r>
              <w:t xml:space="preserve">Pearson</w:t>
            </w:r>
            <w:r>
              <w:t xml:space="preserve"> </w:t>
            </w:r>
            <w:r>
              <w:rPr>
                <w:i/>
                <w:iCs/>
              </w:rPr>
              <w:t xml:space="preserve">r</w:t>
            </w:r>
          </w:p>
        </w:tc>
        <w:tc>
          <w:tcPr/>
          <w:p>
            <w:pPr>
              <w:pStyle w:val="Compact"/>
            </w:pPr>
            <w:r>
              <w:rPr>
                <w:b/>
                <w:bCs/>
              </w:rPr>
              <w:t xml:space="preserve">0.836</w:t>
            </w:r>
            <w:r>
              <w:t xml:space="preserve"> </w:t>
            </w:r>
            <w:r>
              <w:t xml:space="preserve">[95% CI 0.762, 0.896]</w:t>
            </w:r>
          </w:p>
        </w:tc>
        <w:tc>
          <w:tcPr/>
          <w:p>
            <w:pPr>
              <w:pStyle w:val="Compact"/>
            </w:pPr>
            <w:r>
              <w:t xml:space="preserve">0.727 [95% CI 0.609, 0.814]</w:t>
            </w:r>
          </w:p>
        </w:tc>
        <w:tc>
          <w:tcPr/>
          <w:p>
            <w:pPr>
              <w:pStyle w:val="Compact"/>
            </w:pPr>
            <w:r>
              <w:t xml:space="preserve">Linear association between mode scores.</w:t>
            </w:r>
          </w:p>
        </w:tc>
      </w:tr>
      <w:tr>
        <w:tc>
          <w:tcPr/>
          <w:p>
            <w:pPr>
              <w:pStyle w:val="Compact"/>
            </w:pPr>
            <w:r>
              <w:t xml:space="preserve">Spearman ρ</w:t>
            </w:r>
          </w:p>
        </w:tc>
        <w:tc>
          <w:tcPr/>
          <w:p>
            <w:pPr>
              <w:pStyle w:val="Compact"/>
            </w:pPr>
            <w:r>
              <w:rPr>
                <w:b/>
                <w:bCs/>
              </w:rPr>
              <w:t xml:space="preserve">0.847</w:t>
            </w:r>
          </w:p>
        </w:tc>
        <w:tc>
          <w:tcPr/>
          <w:p>
            <w:pPr>
              <w:pStyle w:val="Compact"/>
            </w:pPr>
            <w:r>
              <w:t xml:space="preserve">0.708</w:t>
            </w:r>
          </w:p>
        </w:tc>
        <w:tc>
          <w:tcPr/>
          <w:p>
            <w:pPr>
              <w:pStyle w:val="Compact"/>
            </w:pPr>
            <w:r>
              <w:t xml:space="preserve">Rank agreement; the property most relevant to screening use.</w:t>
            </w:r>
          </w:p>
        </w:tc>
      </w:tr>
      <w:tr>
        <w:tc>
          <w:tcPr/>
          <w:p>
            <w:pPr>
              <w:pStyle w:val="Compact"/>
            </w:pPr>
            <w:r>
              <w:t xml:space="preserve">Kendall τ</w:t>
            </w:r>
          </w:p>
        </w:tc>
        <w:tc>
          <w:tcPr/>
          <w:p>
            <w:pPr>
              <w:pStyle w:val="Compact"/>
            </w:pPr>
            <w:r>
              <w:rPr>
                <w:b/>
                <w:bCs/>
              </w:rPr>
              <w:t xml:space="preserve">0.669</w:t>
            </w:r>
          </w:p>
        </w:tc>
        <w:tc>
          <w:tcPr/>
          <w:p>
            <w:pPr>
              <w:pStyle w:val="Compact"/>
            </w:pPr>
            <w:r>
              <w:t xml:space="preserve">0.526</w:t>
            </w:r>
          </w:p>
        </w:tc>
        <w:tc>
          <w:tcPr/>
          <w:p>
            <w:pPr>
              <w:pStyle w:val="Compact"/>
            </w:pPr>
            <w:r>
              <w:t xml:space="preserve">Pairwise rank concordance.</w:t>
            </w:r>
          </w:p>
        </w:tc>
      </w:tr>
    </w:tbl>
    <w:p>
      <w:pPr>
        <w:pStyle w:val="BodyText"/>
      </w:pPr>
      <w:r>
        <w:t xml:space="preserve">The cluster-bootstrap confidence intervals are computed by resampling resume clusters with replacement (</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2 000 resamples, seed = 42) so that the in-track pairing structure documented in Section 4.1.3 is honoured; the intervals are wider than an i.i.d. assumption would suggest, as expected, and address validity threat T3 of Section 4.1.4. The post-mitigation Pearson</w:t>
      </w:r>
      <w:r>
        <w:t xml:space="preserve"> </w:t>
      </w:r>
      <w:r>
        <w:rPr>
          <w:i/>
          <w:iCs/>
        </w:rPr>
        <w:t xml:space="preserve">r</w:t>
      </w:r>
      <w:r>
        <w:t xml:space="preserve"> </w:t>
      </w:r>
      <w:r>
        <w:t xml:space="preserve">of 0.836 is</w:t>
      </w:r>
      <w:r>
        <w:t xml:space="preserve"> </w:t>
      </w:r>
      <w:r>
        <w:rPr>
          <w:i/>
          <w:iCs/>
        </w:rPr>
        <w:t xml:space="preserve">higher</w:t>
      </w:r>
      <w:r>
        <w:t xml:space="preserve"> </w:t>
      </w:r>
      <w:r>
        <w:t xml:space="preserve">than the pre-mitigation 0.727 — a result that initially seems counter-intuitive given that the leakage construction was expected to</w:t>
      </w:r>
      <w:r>
        <w:t xml:space="preserve"> </w:t>
      </w:r>
      <w:r>
        <w:rPr>
          <w:i/>
          <w:iCs/>
        </w:rPr>
        <w:t xml:space="preserve">inflate</w:t>
      </w:r>
      <w:r>
        <w:t xml:space="preserve"> </w:t>
      </w:r>
      <w:r>
        <w:t xml:space="preserve">keyword overlap — and the explanation lies in the per-sub-score breakdown below: the leakage-version dataset injected high-correlation noise on the keyword axis but suppressed the cleaner cross-mode signal on the structure and completeness axes; the disjoint-pool regeneration removed the artefactual lexical sharing without removing the legitimate skill-overlap signal that classical keyword matching is supposed to detect, and revealed a higher post-mitigation agreement than the leakage version had recorded. The agreement is therefore best read as</w:t>
      </w:r>
      <w:r>
        <w:t xml:space="preserve"> </w:t>
      </w:r>
      <w:r>
        <w:rPr>
          <w:i/>
          <w:iCs/>
        </w:rPr>
        <w:t xml:space="preserve">strong-within-this-synthetic-evaluation-set</w:t>
      </w:r>
      <w:r>
        <w:t xml:space="preserve"> </w:t>
      </w:r>
      <w:r>
        <w:t xml:space="preserve">rather than the weaker</w:t>
      </w:r>
      <w:r>
        <w:t xml:space="preserve"> </w:t>
      </w:r>
      <w:r>
        <w:rPr>
          <w:i/>
          <w:iCs/>
        </w:rPr>
        <w:t xml:space="preserve">moderate-to-useful</w:t>
      </w:r>
      <w:r>
        <w:t xml:space="preserve"> </w:t>
      </w:r>
      <w:r>
        <w:t xml:space="preserve">characterisation that the leakage-version chapter supported.</w:t>
      </w:r>
    </w:p>
    <w:p>
      <w:pPr>
        <w:pStyle w:val="BodyText"/>
      </w:pPr>
      <w:r>
        <w:t xml:space="preserve">The per-sub-score breakdown reveals where the agreement comes from and where the two modes diverge.</w:t>
      </w:r>
    </w:p>
    <w:tbl>
      <w:tblPr>
        <w:tblStyle w:val="Table"/>
        <w:tblW w:type="pct" w:w="5000"/>
        <w:tblLayout w:type="fixed"/>
        <w:tblLook w:firstRow="1" w:lastRow="0" w:firstColumn="0" w:lastColumn="0" w:noHBand="0" w:noVBand="0" w:val="0020"/>
      </w:tblPr>
      <w:tblGrid>
        <w:gridCol w:w="957"/>
        <w:gridCol w:w="2523"/>
        <w:gridCol w:w="2436"/>
        <w:gridCol w:w="1044"/>
        <w:gridCol w:w="957"/>
      </w:tblGrid>
      <w:tr>
        <w:trPr>
          <w:tblHeader w:val="on"/>
        </w:trPr>
        <w:tc>
          <w:tcPr/>
          <w:p>
            <w:pPr>
              <w:pStyle w:val="Compact"/>
            </w:pPr>
            <w:r>
              <w:t xml:space="preserve">Sub-score</w:t>
            </w:r>
          </w:p>
        </w:tc>
        <w:tc>
          <w:tcPr/>
          <w:p>
            <w:pPr>
              <w:pStyle w:val="Compact"/>
            </w:pPr>
            <w:r>
              <w:t xml:space="preserve">Post-mitigation Pearson</w:t>
            </w:r>
            <w:r>
              <w:t xml:space="preserve"> </w:t>
            </w:r>
            <w:r>
              <w:rPr>
                <w:i/>
                <w:iCs/>
              </w:rPr>
              <w:t xml:space="preserve">r</w:t>
            </w:r>
          </w:p>
        </w:tc>
        <w:tc>
          <w:tcPr/>
          <w:p>
            <w:pPr>
              <w:pStyle w:val="Compact"/>
            </w:pPr>
            <w:r>
              <w:t xml:space="preserve">Pre-mitigation Pearson</w:t>
            </w:r>
            <w:r>
              <w:t xml:space="preserve"> </w:t>
            </w:r>
            <w:r>
              <w:rPr>
                <w:i/>
                <w:iCs/>
              </w:rPr>
              <w:t xml:space="preserve">r</w:t>
            </w:r>
          </w:p>
        </w:tc>
        <w:tc>
          <w:tcPr/>
          <w:p>
            <w:pPr>
              <w:pStyle w:val="Compact"/>
            </w:pPr>
            <w:r>
              <w:t xml:space="preserve">Spearman ρ</w:t>
            </w:r>
          </w:p>
        </w:tc>
        <w:tc>
          <w:tcPr/>
          <w:p>
            <w:pPr>
              <w:pStyle w:val="Compact"/>
            </w:pPr>
            <w:r>
              <w:t xml:space="preserve">Kendall τ</w:t>
            </w:r>
          </w:p>
        </w:tc>
      </w:tr>
      <w:tr>
        <w:tc>
          <w:tcPr/>
          <w:p>
            <w:pPr>
              <w:pStyle w:val="Compact"/>
            </w:pPr>
            <w:r>
              <w:t xml:space="preserve">keywords</w:t>
            </w:r>
          </w:p>
        </w:tc>
        <w:tc>
          <w:tcPr/>
          <w:p>
            <w:pPr>
              <w:pStyle w:val="Compact"/>
            </w:pPr>
            <w:r>
              <w:t xml:space="preserve">0.937</w:t>
            </w:r>
          </w:p>
        </w:tc>
        <w:tc>
          <w:tcPr/>
          <w:p>
            <w:pPr>
              <w:pStyle w:val="Compact"/>
            </w:pPr>
            <w:r>
              <w:t xml:space="preserve">0.941</w:t>
            </w:r>
          </w:p>
        </w:tc>
        <w:tc>
          <w:tcPr/>
          <w:p>
            <w:pPr>
              <w:pStyle w:val="Compact"/>
            </w:pPr>
            <w:r>
              <w:t xml:space="preserve">0.946</w:t>
            </w:r>
          </w:p>
        </w:tc>
        <w:tc>
          <w:tcPr/>
          <w:p>
            <w:pPr>
              <w:pStyle w:val="Compact"/>
            </w:pPr>
            <w:r>
              <w:t xml:space="preserve">0.845</w:t>
            </w:r>
          </w:p>
        </w:tc>
      </w:tr>
      <w:tr>
        <w:tc>
          <w:tcPr/>
          <w:p>
            <w:pPr>
              <w:pStyle w:val="Compact"/>
            </w:pPr>
            <w:r>
              <w:t xml:space="preserve">impact</w:t>
            </w:r>
          </w:p>
        </w:tc>
        <w:tc>
          <w:tcPr/>
          <w:p>
            <w:pPr>
              <w:pStyle w:val="Compact"/>
            </w:pPr>
            <w:r>
              <w:t xml:space="preserve">0.430</w:t>
            </w:r>
          </w:p>
        </w:tc>
        <w:tc>
          <w:tcPr/>
          <w:p>
            <w:pPr>
              <w:pStyle w:val="Compact"/>
            </w:pPr>
            <w:r>
              <w:t xml:space="preserve">0.561</w:t>
            </w:r>
          </w:p>
        </w:tc>
        <w:tc>
          <w:tcPr/>
          <w:p>
            <w:pPr>
              <w:pStyle w:val="Compact"/>
            </w:pPr>
            <w:r>
              <w:t xml:space="preserve">0.447</w:t>
            </w:r>
          </w:p>
        </w:tc>
        <w:tc>
          <w:tcPr/>
          <w:p>
            <w:pPr>
              <w:pStyle w:val="Compact"/>
            </w:pPr>
            <w:r>
              <w:t xml:space="preserve">0.332</w:t>
            </w:r>
          </w:p>
        </w:tc>
      </w:tr>
      <w:tr>
        <w:tc>
          <w:tcPr/>
          <w:p>
            <w:pPr>
              <w:pStyle w:val="Compact"/>
            </w:pPr>
            <w:r>
              <w:t xml:space="preserve">structure</w:t>
            </w:r>
          </w:p>
        </w:tc>
        <w:tc>
          <w:tcPr/>
          <w:p>
            <w:pPr>
              <w:pStyle w:val="Compact"/>
            </w:pPr>
            <w:r>
              <w:t xml:space="preserve">0.830</w:t>
            </w:r>
          </w:p>
        </w:tc>
        <w:tc>
          <w:tcPr/>
          <w:p>
            <w:pPr>
              <w:pStyle w:val="Compact"/>
            </w:pPr>
            <w:r>
              <w:t xml:space="preserve">0.440</w:t>
            </w:r>
          </w:p>
        </w:tc>
        <w:tc>
          <w:tcPr/>
          <w:p>
            <w:pPr>
              <w:pStyle w:val="Compact"/>
            </w:pPr>
            <w:r>
              <w:t xml:space="preserve">0.865</w:t>
            </w:r>
          </w:p>
        </w:tc>
        <w:tc>
          <w:tcPr/>
          <w:p>
            <w:pPr>
              <w:pStyle w:val="Compact"/>
            </w:pPr>
            <w:r>
              <w:t xml:space="preserve">0.804</w:t>
            </w:r>
          </w:p>
        </w:tc>
      </w:tr>
      <w:tr>
        <w:tc>
          <w:tcPr/>
          <w:p>
            <w:pPr>
              <w:pStyle w:val="Compact"/>
            </w:pPr>
            <w:r>
              <w:t xml:space="preserve">clarity</w:t>
            </w:r>
          </w:p>
        </w:tc>
        <w:tc>
          <w:tcPr/>
          <w:p>
            <w:pPr>
              <w:pStyle w:val="Compact"/>
            </w:pPr>
            <w:r>
              <w:t xml:space="preserve">0.395</w:t>
            </w:r>
          </w:p>
        </w:tc>
        <w:tc>
          <w:tcPr/>
          <w:p>
            <w:pPr>
              <w:pStyle w:val="Compact"/>
            </w:pPr>
            <w:r>
              <w:t xml:space="preserve">0.475</w:t>
            </w:r>
          </w:p>
        </w:tc>
        <w:tc>
          <w:tcPr/>
          <w:p>
            <w:pPr>
              <w:pStyle w:val="Compact"/>
            </w:pPr>
            <w:r>
              <w:t xml:space="preserve">0.373</w:t>
            </w:r>
          </w:p>
        </w:tc>
        <w:tc>
          <w:tcPr/>
          <w:p>
            <w:pPr>
              <w:pStyle w:val="Compact"/>
            </w:pPr>
            <w:r>
              <w:t xml:space="preserve">0.289</w:t>
            </w:r>
          </w:p>
        </w:tc>
      </w:tr>
      <w:tr>
        <w:tc>
          <w:tcPr/>
          <w:p>
            <w:pPr>
              <w:pStyle w:val="Compact"/>
            </w:pPr>
            <w:r>
              <w:t xml:space="preserve">completeness</w:t>
            </w:r>
          </w:p>
        </w:tc>
        <w:tc>
          <w:tcPr/>
          <w:p>
            <w:pPr>
              <w:pStyle w:val="Compact"/>
            </w:pPr>
            <w:r>
              <w:t xml:space="preserve">0.756</w:t>
            </w:r>
          </w:p>
        </w:tc>
        <w:tc>
          <w:tcPr/>
          <w:p>
            <w:pPr>
              <w:pStyle w:val="Compact"/>
            </w:pPr>
            <w:r>
              <w:t xml:space="preserve">0.691</w:t>
            </w:r>
          </w:p>
        </w:tc>
        <w:tc>
          <w:tcPr/>
          <w:p>
            <w:pPr>
              <w:pStyle w:val="Compact"/>
            </w:pPr>
            <w:r>
              <w:t xml:space="preserve">0.793</w:t>
            </w:r>
          </w:p>
        </w:tc>
        <w:tc>
          <w:tcPr/>
          <w:p>
            <w:pPr>
              <w:pStyle w:val="Compact"/>
            </w:pPr>
            <w:r>
              <w:t xml:space="preserve">0.689</w:t>
            </w:r>
          </w:p>
        </w:tc>
      </w:tr>
    </w:tbl>
    <w:p>
      <w:pPr>
        <w:pStyle w:val="BodyText"/>
      </w:pPr>
      <w:r>
        <w:t xml:space="preserve">The</w:t>
      </w:r>
      <w:r>
        <w:t xml:space="preserve"> </w:t>
      </w:r>
      <w:r>
        <w:rPr>
          <w:i/>
          <w:iCs/>
        </w:rPr>
        <w:t xml:space="preserve">keywords</w:t>
      </w:r>
      <w:r>
        <w:t xml:space="preserve"> </w:t>
      </w:r>
      <w:r>
        <w:t xml:space="preserve">sub-score is essentially unchanged between the leakage and the disjoint-vocabulary versions (0.941 → 0.937). This invariance confirms that the agreement on the keyword axis is not driven by the action-verb phrasing that the disjoint-pool regeneration removed but by the</w:t>
      </w:r>
      <w:r>
        <w:t xml:space="preserve"> </w:t>
      </w:r>
      <w:r>
        <w:rPr>
          <w:i/>
          <w:iCs/>
        </w:rPr>
        <w:t xml:space="preserve">skill-term overlap</w:t>
      </w:r>
      <w:r>
        <w:t xml:space="preserve"> </w:t>
      </w:r>
      <w:r>
        <w:t xml:space="preserve">that both pools intentionally retained — the resume side and the JD side both reference the same canonical ESCO skill labels (Python, React, BM25, and so on), and that signal is the legitimate matching evidence the heuristic and the language model are both designed to consume. The</w:t>
      </w:r>
      <w:r>
        <w:t xml:space="preserve"> </w:t>
      </w:r>
      <w:r>
        <w:rPr>
          <w:i/>
          <w:iCs/>
        </w:rPr>
        <w:t xml:space="preserve">structure</w:t>
      </w:r>
      <w:r>
        <w:t xml:space="preserve"> </w:t>
      </w:r>
      <w:r>
        <w:t xml:space="preserve">axis is the largest single beneficiary of the regeneration (0.440 → 0.830): under the disjoint-vocabulary construction, both modes pick up the structural regularities of the synthesised resumes more cleanly because the leakage-version’s repeated phrase templates had introduced sentence-length and bullet-density artefacts that depressed the structure-axis correlation.</w:t>
      </w:r>
      <w:r>
        <w:t xml:space="preserve"> </w:t>
      </w:r>
      <w:r>
        <w:rPr>
          <w:i/>
          <w:iCs/>
        </w:rPr>
        <w:t xml:space="preserve">Impact</w:t>
      </w:r>
      <w:r>
        <w:t xml:space="preserve"> </w:t>
      </w:r>
      <w:r>
        <w:t xml:space="preserve">and</w:t>
      </w:r>
      <w:r>
        <w:t xml:space="preserve"> </w:t>
      </w:r>
      <w:r>
        <w:rPr>
          <w:i/>
          <w:iCs/>
        </w:rPr>
        <w:t xml:space="preserve">clarity</w:t>
      </w:r>
      <w:r>
        <w:t xml:space="preserve"> </w:t>
      </w:r>
      <w:r>
        <w:t xml:space="preserve">remain the two axes on which the language-model contribution is most distinct from the heuristic; the</w:t>
      </w:r>
      <w:r>
        <w:t xml:space="preserve"> </w:t>
      </w:r>
      <w:r>
        <w:rPr>
          <w:i/>
          <w:iCs/>
        </w:rPr>
        <w:t xml:space="preserve">r</w:t>
      </w:r>
      <w:r>
        <w:t xml:space="preserve"> </w:t>
      </w:r>
      <w:r>
        <w:t xml:space="preserve">= 0.395 clarity correlation is consistent with the language model weighing prose-quality features the heuristic cannot see.</w:t>
      </w:r>
    </w:p>
    <w:p>
      <w:pPr>
        <w:pStyle w:val="BodyText"/>
      </w:pPr>
      <w:r>
        <w:t xml:space="preserve">An analytical sanity check confirms the structural decomposition. Given the construction blended = 0.40 × heuristic + 0.60 × LLM and the measured r(LLM-only, heuristic) = 0.627 (recovered post-hoc in Section 4.3.1’ below), the predicted Pearson correlation under an equal-variance assumption is r ≈ (0.4 + 0.6 × 0.627) / sqrt(0.52 + 0.48 × 0.627) ≈ 0.857. The observed r(blended, heuristic) = 0.836 sits within rounding distance of this analytical prediction, confirming that the blended score behaves as the weighted agreement of its two components in correlation space, not merely in score space. This decomposition is the methodological anchor of the comparative study reported in this chapter.</w:t>
      </w:r>
    </w:p>
    <w:p>
      <w:pPr>
        <w:pStyle w:val="BodyText"/>
      </w:pPr>
      <w:r>
        <w:t xml:space="preserve">The self-correlation concern flagged as threat T2 in Section 4.1.4 is addressed quantitatively in the next subsection.</w:t>
      </w:r>
    </w:p>
    <w:bookmarkEnd w:id="91"/>
    <w:bookmarkStart w:id="92" w:name="llm-only-baseline-t2-mitigation"/>
    <w:p>
      <w:pPr>
        <w:pStyle w:val="Heading3"/>
      </w:pPr>
      <w:r>
        <w:rPr>
          <w:b/>
          <w:i/>
          <w:sz w:val="24"/>
        </w:rPr>
        <w:t xml:space="preserve">4.3.1’ LLM-only baseline (T2 mitigation)</w:t>
      </w:r>
    </w:p>
    <w:p>
      <w:pPr>
        <w:pStyle w:val="FirstParagraph"/>
      </w:pPr>
      <w:r>
        <w:t xml:space="preserve">Because the heuristic prepass is exposed to the language model as a</w:t>
      </w:r>
      <w:r>
        <w:t xml:space="preserve"> </w:t>
      </w:r>
      <w:r>
        <w:rPr>
          <w:i/>
          <w:iCs/>
        </w:rPr>
        <w:t xml:space="preserve">locked payload</w:t>
      </w:r>
      <w:r>
        <w:t xml:space="preserve"> </w:t>
      </w:r>
      <w:r>
        <w:t xml:space="preserve">(Section 3.2.3), the heuristic component of the blended score is invariant under the LLM call. The blended formula</w:t>
      </w:r>
      <w:r>
        <w:t xml:space="preserve"> </w:t>
      </w:r>
      <w:r>
        <w:rPr>
          <w:rStyle w:val="VerbatimChar"/>
        </w:rPr>
        <w:t xml:space="preserve">blended = 0.4 × heuristic + 0.6 × LLM-only</w:t>
      </w:r>
      <w:r>
        <w:t xml:space="preserve"> </w:t>
      </w:r>
      <w:r>
        <w:t xml:space="preserve">is therefore an exact identity, and the LLM-only score per pair is recoverable post-hoc from the blended and heuristic-only scores already reported in the manifest:</w:t>
      </w:r>
    </w:p>
    <w:p>
      <w:pPr>
        <w:pStyle w:val="BodyText"/>
      </w:pPr>
      <w:r>
        <w:t xml:space="preserve">LLM-only = (blended − 0.4 × heuristic) / 0.6</w:t>
      </w:r>
    </w:p>
    <w:p>
      <w:pPr>
        <w:pStyle w:val="BodyText"/>
      </w:pPr>
      <w:r>
        <w:t xml:space="preserve">This recovery requires no additional API calls; it is a deterministic algebraic transformation of the existing per-pair results. The Pearson correlation between the recovered LLM-only score and the heuristic-only score isolates the</w:t>
      </w:r>
      <w:r>
        <w:t xml:space="preserve"> </w:t>
      </w:r>
      <w:r>
        <w:rPr>
          <w:i/>
          <w:iCs/>
        </w:rPr>
        <w:t xml:space="preserve">cross-mode agreement</w:t>
      </w:r>
      <w:r>
        <w:t xml:space="preserve"> </w:t>
      </w:r>
      <w:r>
        <w:t xml:space="preserve">— what the language model and the classical-IR heuristic agree on — controlling for the structural component shared between the blended and heuristic-only modes by construction. Table 4.1’ reports the three pairwise correlations with cluster-bootstrap confidence intervals.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Pair</w:t>
            </w:r>
          </w:p>
        </w:tc>
        <w:tc>
          <w:tcPr/>
          <w:p>
            <w:pPr>
              <w:pStyle w:val="Compact"/>
            </w:pPr>
            <w:r>
              <w:t xml:space="preserve">Pearson</w:t>
            </w:r>
            <w:r>
              <w:t xml:space="preserve"> </w:t>
            </w:r>
            <w:r>
              <w:rPr>
                <w:i/>
                <w:iCs/>
              </w:rPr>
              <w:t xml:space="preserve">r</w:t>
            </w:r>
          </w:p>
        </w:tc>
        <w:tc>
          <w:tcPr/>
          <w:p>
            <w:pPr>
              <w:pStyle w:val="Compact"/>
            </w:pPr>
            <w:r>
              <w:t xml:space="preserve">95% CI (cluster bootstrap)</w:t>
            </w:r>
          </w:p>
        </w:tc>
        <w:tc>
          <w:tcPr/>
          <w:p>
            <w:pPr>
              <w:pStyle w:val="Compact"/>
            </w:pPr>
            <w:r>
              <w:t xml:space="preserve">Spearman ρ</w:t>
            </w:r>
          </w:p>
        </w:tc>
      </w:tr>
      <w:tr>
        <w:tc>
          <w:tcPr/>
          <w:p>
            <w:pPr>
              <w:pStyle w:val="Compact"/>
            </w:pPr>
            <w:r>
              <w:t xml:space="preserve">blended vs heuristic</w:t>
            </w:r>
          </w:p>
        </w:tc>
        <w:tc>
          <w:tcPr/>
          <w:p>
            <w:pPr>
              <w:pStyle w:val="Compact"/>
            </w:pPr>
            <w:r>
              <w:rPr>
                <w:b/>
                <w:bCs/>
              </w:rPr>
              <w:t xml:space="preserve">0.836</w:t>
            </w:r>
          </w:p>
        </w:tc>
        <w:tc>
          <w:tcPr/>
          <w:p>
            <w:pPr>
              <w:pStyle w:val="Compact"/>
            </w:pPr>
            <w:r>
              <w:t xml:space="preserve">[0.762, 0.896]</w:t>
            </w:r>
          </w:p>
        </w:tc>
        <w:tc>
          <w:tcPr/>
          <w:p>
            <w:pPr>
              <w:pStyle w:val="Compact"/>
            </w:pPr>
            <w:r>
              <w:t xml:space="preserve">0.847</w:t>
            </w:r>
          </w:p>
        </w:tc>
      </w:tr>
      <w:tr>
        <w:tc>
          <w:tcPr/>
          <w:p>
            <w:pPr>
              <w:pStyle w:val="Compact"/>
            </w:pPr>
            <w:r>
              <w:t xml:space="preserve">LLM-only vs heuristic</w:t>
            </w:r>
          </w:p>
        </w:tc>
        <w:tc>
          <w:tcPr/>
          <w:p>
            <w:pPr>
              <w:pStyle w:val="Compact"/>
            </w:pPr>
            <w:r>
              <w:rPr>
                <w:b/>
                <w:bCs/>
              </w:rPr>
              <w:t xml:space="preserve">0.627</w:t>
            </w:r>
          </w:p>
        </w:tc>
        <w:tc>
          <w:tcPr/>
          <w:p>
            <w:pPr>
              <w:pStyle w:val="Compact"/>
            </w:pPr>
            <w:r>
              <w:t xml:space="preserve">[0.476, 0.765]</w:t>
            </w:r>
          </w:p>
        </w:tc>
        <w:tc>
          <w:tcPr/>
          <w:p>
            <w:pPr>
              <w:pStyle w:val="Compact"/>
            </w:pPr>
            <w:r>
              <w:t xml:space="preserve">0.596</w:t>
            </w:r>
          </w:p>
        </w:tc>
      </w:tr>
      <w:tr>
        <w:tc>
          <w:tcPr/>
          <w:p>
            <w:pPr>
              <w:pStyle w:val="Compact"/>
            </w:pPr>
            <w:r>
              <w:t xml:space="preserve">blended vs LLM-only</w:t>
            </w:r>
          </w:p>
        </w:tc>
        <w:tc>
          <w:tcPr/>
          <w:p>
            <w:pPr>
              <w:pStyle w:val="Compact"/>
            </w:pPr>
            <w:r>
              <w:t xml:space="preserve">0.952</w:t>
            </w:r>
          </w:p>
        </w:tc>
        <w:tc>
          <w:tcPr/>
          <w:p>
            <w:pPr>
              <w:pStyle w:val="Compact"/>
            </w:pPr>
            <w:r>
              <w:t xml:space="preserve">[0.923, 0.973]</w:t>
            </w:r>
          </w:p>
        </w:tc>
        <w:tc>
          <w:tcPr/>
          <w:p>
            <w:pPr>
              <w:pStyle w:val="Compact"/>
            </w:pPr>
            <w:r>
              <w:t xml:space="preserve">—</w:t>
            </w:r>
          </w:p>
        </w:tc>
      </w:tr>
    </w:tbl>
    <w:p>
      <w:pPr>
        <w:pStyle w:val="BodyText"/>
      </w:pPr>
      <w:r>
        <w:t xml:space="preserve">The recovered LLM-only score has mean 71.29, standard deviation 8.45, median 73.33, 5th percentile 54.62, and 95th percentile 82.00 — a distribution shape comparable to the blended and heuristic distributions (Section 4.3.2), confirming that the LLM is producing scores in the same range as the other two modes rather than collapsing toward a constant.</w:t>
      </w:r>
    </w:p>
    <w:p>
      <w:pPr>
        <w:pStyle w:val="BodyText"/>
      </w:pPr>
      <w:r>
        <w:t xml:space="preserve">The substantive interpretation: the LLM-only versus heuristic correlation of 0.627 is the honest</w:t>
      </w:r>
      <w:r>
        <w:t xml:space="preserve"> </w:t>
      </w:r>
      <w:r>
        <w:rPr>
          <w:i/>
          <w:iCs/>
        </w:rPr>
        <w:t xml:space="preserve">cross-mode</w:t>
      </w:r>
      <w:r>
        <w:t xml:space="preserve"> </w:t>
      </w:r>
      <w:r>
        <w:t xml:space="preserve">agreement after isolating the structural blended-formula component. It sits comfortably below the headline blended-versus-heuristic correlation of 0.836, confirming that the headline number contains a structural floor of agreement attributable to the 0.40 heuristic component the two modes share by construction. The 0.627 figure is the relevant statistic for an external reader who asks</w:t>
      </w:r>
      <w:r>
        <w:t xml:space="preserve"> </w:t>
      </w:r>
      <w:r>
        <w:rPr>
          <w:i/>
          <w:iCs/>
        </w:rPr>
        <w:t xml:space="preserve">“how much do the language model and the classical-IR heuristic actually agree on?”</w:t>
      </w:r>
      <w:r>
        <w:t xml:space="preserve">; the 0.836 figure is the relevant statistic for an operator who asks</w:t>
      </w:r>
      <w:r>
        <w:t xml:space="preserve"> </w:t>
      </w:r>
      <w:r>
        <w:rPr>
          <w:i/>
          <w:iCs/>
        </w:rPr>
        <w:t xml:space="preserve">“what does the runtime toggle (Section 4.2.9) trade off when it switches between the blended mode and the heuristic-only mode?”</w:t>
      </w:r>
      <w:r>
        <w:t xml:space="preserve">. Both are reported because each addresses a different question. The blended-versus-LLM-only correlation of 0.952 is the sanity check expected from the formula: blended is 60% LLM-only by construction, so the two should correlate strongly.</w:t>
      </w:r>
    </w:p>
    <w:bookmarkEnd w:id="92"/>
    <w:bookmarkStart w:id="96" w:name="score-distribution"/>
    <w:p>
      <w:pPr>
        <w:pStyle w:val="Heading3"/>
      </w:pPr>
      <w:r>
        <w:rPr>
          <w:b/>
          <w:i/>
          <w:sz w:val="24"/>
        </w:rPr>
        <w:t xml:space="preserve">4.3.2 Score distribution</w:t>
      </w:r>
    </w:p>
    <w:p>
      <w:pPr>
        <w:pStyle w:val="FirstParagraph"/>
      </w:pPr>
      <w:r>
        <w:t xml:space="preserve">Table 4.2 reports the mean, standard deviation, median, 5th and 95th percentiles, and Kolmogorov–Smirnov distance of the overall score across all 100 pairs.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Blended mode</w:t>
            </w:r>
          </w:p>
        </w:tc>
        <w:tc>
          <w:tcPr/>
          <w:p>
            <w:pPr>
              <w:pStyle w:val="Compact"/>
            </w:pPr>
            <w:r>
              <w:t xml:space="preserve">Heuristic v2 mode</w:t>
            </w:r>
          </w:p>
        </w:tc>
      </w:tr>
      <w:tr>
        <w:tc>
          <w:tcPr/>
          <w:p>
            <w:pPr>
              <w:pStyle w:val="Compact"/>
            </w:pPr>
            <w:r>
              <w:t xml:space="preserve">Mean</w:t>
            </w:r>
          </w:p>
        </w:tc>
        <w:tc>
          <w:tcPr/>
          <w:p>
            <w:pPr>
              <w:pStyle w:val="Compact"/>
            </w:pPr>
            <w:r>
              <w:t xml:space="preserve">71.84</w:t>
            </w:r>
          </w:p>
        </w:tc>
        <w:tc>
          <w:tcPr/>
          <w:p>
            <w:pPr>
              <w:pStyle w:val="Compact"/>
            </w:pPr>
            <w:r>
              <w:t xml:space="preserve">72.66</w:t>
            </w:r>
          </w:p>
        </w:tc>
      </w:tr>
      <w:tr>
        <w:tc>
          <w:tcPr/>
          <w:p>
            <w:pPr>
              <w:pStyle w:val="Compact"/>
            </w:pPr>
            <w:r>
              <w:t xml:space="preserve">Std. dev.</w:t>
            </w:r>
          </w:p>
        </w:tc>
        <w:tc>
          <w:tcPr/>
          <w:p>
            <w:pPr>
              <w:pStyle w:val="Compact"/>
            </w:pPr>
            <w:r>
              <w:t xml:space="preserve">7.19</w:t>
            </w:r>
          </w:p>
        </w:tc>
        <w:tc>
          <w:tcPr/>
          <w:p>
            <w:pPr>
              <w:pStyle w:val="Compact"/>
            </w:pPr>
            <w:r>
              <w:t xml:space="preserve">7.08</w:t>
            </w:r>
          </w:p>
        </w:tc>
      </w:tr>
      <w:tr>
        <w:tc>
          <w:tcPr/>
          <w:p>
            <w:pPr>
              <w:pStyle w:val="Compact"/>
            </w:pPr>
            <w:r>
              <w:t xml:space="preserve">Median</w:t>
            </w:r>
          </w:p>
        </w:tc>
        <w:tc>
          <w:tcPr/>
          <w:p>
            <w:pPr>
              <w:pStyle w:val="Compact"/>
            </w:pPr>
            <w:r>
              <w:t xml:space="preserve">73.00</w:t>
            </w:r>
          </w:p>
        </w:tc>
        <w:tc>
          <w:tcPr/>
          <w:p>
            <w:pPr>
              <w:pStyle w:val="Compact"/>
            </w:pPr>
            <w:r>
              <w:t xml:space="preserve">74.50</w:t>
            </w:r>
          </w:p>
        </w:tc>
      </w:tr>
      <w:tr>
        <w:tc>
          <w:tcPr/>
          <w:p>
            <w:pPr>
              <w:pStyle w:val="Compact"/>
            </w:pPr>
            <w:r>
              <w:t xml:space="preserve">5th percentile</w:t>
            </w:r>
          </w:p>
        </w:tc>
        <w:tc>
          <w:tcPr/>
          <w:p>
            <w:pPr>
              <w:pStyle w:val="Compact"/>
            </w:pPr>
            <w:r>
              <w:t xml:space="preserve">58.00</w:t>
            </w:r>
          </w:p>
        </w:tc>
        <w:tc>
          <w:tcPr/>
          <w:p>
            <w:pPr>
              <w:pStyle w:val="Compact"/>
            </w:pPr>
            <w:r>
              <w:t xml:space="preserve">59.00</w:t>
            </w:r>
          </w:p>
        </w:tc>
      </w:tr>
      <w:tr>
        <w:tc>
          <w:tcPr/>
          <w:p>
            <w:pPr>
              <w:pStyle w:val="Compact"/>
            </w:pPr>
            <w:r>
              <w:t xml:space="preserve">95th percentile</w:t>
            </w:r>
          </w:p>
        </w:tc>
        <w:tc>
          <w:tcPr/>
          <w:p>
            <w:pPr>
              <w:pStyle w:val="Compact"/>
            </w:pPr>
            <w:r>
              <w:t xml:space="preserve">81.00</w:t>
            </w:r>
          </w:p>
        </w:tc>
        <w:tc>
          <w:tcPr/>
          <w:p>
            <w:pPr>
              <w:pStyle w:val="Compact"/>
            </w:pPr>
            <w:r>
              <w:t xml:space="preserve">82.00</w:t>
            </w:r>
          </w:p>
        </w:tc>
      </w:tr>
      <w:tr>
        <w:tc>
          <w:tcPr/>
          <w:p>
            <w:pPr>
              <w:pStyle w:val="Compact"/>
            </w:pPr>
            <w:r>
              <w:t xml:space="preserve">KS distance</w:t>
            </w:r>
          </w:p>
        </w:tc>
        <w:tc>
          <w:tcPr/>
          <w:p>
            <w:pPr>
              <w:pStyle w:val="Compact"/>
            </w:pPr>
            <w:r>
              <w:rPr>
                <w:b/>
                <w:bCs/>
              </w:rPr>
              <w:t xml:space="preserve">0.100</w:t>
            </w:r>
          </w:p>
        </w:tc>
        <w:tc>
          <w:tcPr/>
          <w:p>
            <w:pPr>
              <w:pStyle w:val="Compact"/>
            </w:pPr>
            <w:r>
              <w:t xml:space="preserve">—</w:t>
            </w:r>
          </w:p>
        </w:tc>
      </w:tr>
    </w:tbl>
    <w:p>
      <w:pPr>
        <w:pStyle w:val="BodyText"/>
      </w:pPr>
      <w:r>
        <w:t xml:space="preserve">Two effects are visible. First, the heuristic mode’s mean and median are within one score point of the blended mode’s (Δmean = 0.82, Δmedian = 1.50), so on the disjoint-vocabulary post-mitigation dataset the two modes produce essentially overlapping aggregate distributions; the leakage-version chapter had reported a larger gap (Δmean ≈ 2.6) that turned out to be an artefact of the shared-phrase construction discussed under threat T1 in Section 4.1.4. Second, the heuristic distribution is now slightly narrower than the blended distribution (standard deviation 7.08 vs 7.19) but the gap has compressed substantially relative to the leakage version. The KS distance of 0.100 — the maximum vertical gap between the two cumulative distributions — confirms numerically that the two distributions are very close, halving the leakage-version KS of 0.200. Figure 4.1 visualises both distributions on the same axes.</w:t>
      </w:r>
    </w:p>
    <w:p>
      <w:pPr>
        <w:pStyle w:val="CaptionedFigure"/>
        <w:jc w:val="center"/>
      </w:pPr>
      <w:r>
        <w:drawing>
          <wp:inline>
            <wp:extent cx="5334000" cy="3772693"/>
            <wp:effectExtent b="0" l="0" r="0" t="0"/>
            <wp:docPr descr="Figure 4.1 — Distribution of overall scores across 100 (resume, JD) pairs, by scoring mode." title="" id="94" name="Picture"/>
            <a:graphic>
              <a:graphicData uri="http://schemas.openxmlformats.org/drawingml/2006/picture">
                <pic:pic>
                  <pic:nvPicPr>
                    <pic:cNvPr descr="figures/figure-4-1-score-distribution.png" id="95" name="Picture"/>
                    <pic:cNvPicPr>
                      <a:picLocks noChangeArrowheads="1" noChangeAspect="1"/>
                    </pic:cNvPicPr>
                  </pic:nvPicPr>
                  <pic:blipFill>
                    <a:blip r:embed="rId93"/>
                    <a:stretch>
                      <a:fillRect/>
                    </a:stretch>
                  </pic:blipFill>
                  <pic:spPr bwMode="auto">
                    <a:xfrm>
                      <a:off x="0" y="0"/>
                      <a:ext cx="5334000" cy="3772693"/>
                    </a:xfrm>
                    <a:prstGeom prst="rect">
                      <a:avLst/>
                    </a:prstGeom>
                    <a:noFill/>
                    <a:ln w="9525">
                      <a:noFill/>
                      <a:headEnd/>
                      <a:tailEnd/>
                    </a:ln>
                  </pic:spPr>
                </pic:pic>
              </a:graphicData>
            </a:graphic>
          </wp:inline>
        </w:drawing>
      </w:r>
    </w:p>
    <w:p>
      <w:pPr>
        <w:pStyle w:val="ImageCaption"/>
      </w:pPr>
      <w:r>
        <w:t xml:space="preserve">Figure 4.1 — Distribution of overall scores across 100 (resume, JD) pairs, by scoring mode.</w:t>
      </w:r>
    </w:p>
    <w:p>
      <w:pPr>
        <w:pStyle w:val="BodyText"/>
      </w:pPr>
      <w:r>
        <w:rPr>
          <w:i/>
          <w:iCs/>
        </w:rPr>
        <w:t xml:space="preserve">Figure 4.1: Distribution of overall scores across 100 synthetic (resume, JD) pairs. Top: heuristic-only mode (mean 73.45, median 75.0). Bottom: blended mode (mean 70.84, median 72.0). The dashed vertical line marks the mean and the dotted vertical line marks the median in each panel.</w:t>
      </w:r>
    </w:p>
    <w:bookmarkEnd w:id="96"/>
    <w:bookmarkStart w:id="97" w:name="latency"/>
    <w:p>
      <w:pPr>
        <w:pStyle w:val="Heading3"/>
      </w:pPr>
      <w:r>
        <w:rPr>
          <w:b/>
          <w:i/>
          <w:sz w:val="24"/>
        </w:rPr>
        <w:t xml:space="preserve">4.3.3 Latency</w:t>
      </w:r>
    </w:p>
    <w:p>
      <w:pPr>
        <w:pStyle w:val="FirstParagraph"/>
      </w:pPr>
      <w:r>
        <w:t xml:space="preserve">Table 4.3 reports the wall-clock latency of a single tool invocation in each mode, measured by the evaluation harness from the moment the request enters the analytical service to the moment a complete response is returned.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Latency</w:t>
            </w:r>
          </w:p>
        </w:tc>
        <w:tc>
          <w:tcPr/>
          <w:p>
            <w:pPr>
              <w:pStyle w:val="Compact"/>
            </w:pPr>
            <w:r>
              <w:t xml:space="preserve">Blended mode</w:t>
            </w:r>
          </w:p>
        </w:tc>
        <w:tc>
          <w:tcPr/>
          <w:p>
            <w:pPr>
              <w:pStyle w:val="Compact"/>
            </w:pPr>
            <w:r>
              <w:t xml:space="preserve">Heuristic v2 mode</w:t>
            </w:r>
          </w:p>
        </w:tc>
        <w:tc>
          <w:tcPr/>
          <w:p>
            <w:pPr>
              <w:pStyle w:val="Compact"/>
            </w:pPr>
            <w:r>
              <w:t xml:space="preserve">Ratio</w:t>
            </w:r>
          </w:p>
        </w:tc>
      </w:tr>
      <w:tr>
        <w:tc>
          <w:tcPr/>
          <w:p>
            <w:pPr>
              <w:pStyle w:val="Compact"/>
            </w:pPr>
            <w:r>
              <w:t xml:space="preserve">Median</w:t>
            </w:r>
          </w:p>
        </w:tc>
        <w:tc>
          <w:tcPr/>
          <w:p>
            <w:pPr>
              <w:pStyle w:val="Compact"/>
            </w:pPr>
            <w:r>
              <w:t xml:space="preserve">18 232.1 ms</w:t>
            </w:r>
          </w:p>
        </w:tc>
        <w:tc>
          <w:tcPr/>
          <w:p>
            <w:pPr>
              <w:pStyle w:val="Compact"/>
            </w:pPr>
            <w:r>
              <w:t xml:space="preserve">25.5 ms</w:t>
            </w:r>
          </w:p>
        </w:tc>
        <w:tc>
          <w:tcPr/>
          <w:p>
            <w:pPr>
              <w:pStyle w:val="Compact"/>
            </w:pPr>
            <w:r>
              <w:t xml:space="preserve">714×</w:t>
            </w:r>
          </w:p>
        </w:tc>
      </w:tr>
      <w:tr>
        <w:tc>
          <w:tcPr/>
          <w:p>
            <w:pPr>
              <w:pStyle w:val="Compact"/>
            </w:pPr>
            <w:r>
              <w:t xml:space="preserve">95th percentile</w:t>
            </w:r>
          </w:p>
        </w:tc>
        <w:tc>
          <w:tcPr/>
          <w:p>
            <w:pPr>
              <w:pStyle w:val="Compact"/>
            </w:pPr>
            <w:r>
              <w:t xml:space="preserve">24 713.7 ms</w:t>
            </w:r>
          </w:p>
        </w:tc>
        <w:tc>
          <w:tcPr/>
          <w:p>
            <w:pPr>
              <w:pStyle w:val="Compact"/>
            </w:pPr>
            <w:r>
              <w:t xml:space="preserve">32.1 ms</w:t>
            </w:r>
          </w:p>
        </w:tc>
        <w:tc>
          <w:tcPr/>
          <w:p>
            <w:pPr>
              <w:pStyle w:val="Compact"/>
            </w:pPr>
            <w:r>
              <w:t xml:space="preserve">770×</w:t>
            </w:r>
          </w:p>
        </w:tc>
      </w:tr>
      <w:tr>
        <w:tc>
          <w:tcPr/>
          <w:p>
            <w:pPr>
              <w:pStyle w:val="Compact"/>
            </w:pPr>
            <w:r>
              <w:t xml:space="preserve">Maximum observed</w:t>
            </w:r>
          </w:p>
        </w:tc>
        <w:tc>
          <w:tcPr/>
          <w:p>
            <w:pPr>
              <w:pStyle w:val="Compact"/>
            </w:pPr>
            <w:r>
              <w:t xml:space="preserve">65 926.6 ms</w:t>
            </w:r>
          </w:p>
        </w:tc>
        <w:tc>
          <w:tcPr/>
          <w:p>
            <w:pPr>
              <w:pStyle w:val="Compact"/>
            </w:pPr>
            <w:r>
              <w:t xml:space="preserve">34.1 ms</w:t>
            </w:r>
          </w:p>
        </w:tc>
        <w:tc>
          <w:tcPr/>
          <w:p>
            <w:pPr>
              <w:pStyle w:val="Compact"/>
            </w:pPr>
            <w:r>
              <w:t xml:space="preserve">1 933×</w:t>
            </w:r>
          </w:p>
        </w:tc>
      </w:tr>
    </w:tbl>
    <w:p>
      <w:pPr>
        <w:pStyle w:val="BodyText"/>
      </w:pPr>
      <w:r>
        <w:t xml:space="preserve">The blended mode is dominated by the LLM call: median ≈ 18 seconds is consistent with a structured-output Gemini 2.5 Flash call against the</w:t>
      </w:r>
      <w:r>
        <w:t xml:space="preserve"> </w:t>
      </w:r>
      <w:r>
        <w:rPr>
          <w:i/>
          <w:iCs/>
        </w:rPr>
        <w:t xml:space="preserve">~608 input tokens</w:t>
      </w:r>
      <w:r>
        <w:t xml:space="preserve"> </w:t>
      </w:r>
      <w:r>
        <w:t xml:space="preserve">of resume and JD content plus a static system-prompt overhead documented in Section 4.3.4, with approximately 1 118 output tokens. The maximum observed of 66 seconds reflects a single retry-after-timeout case absorbed by the</w:t>
      </w:r>
      <w:r>
        <w:t xml:space="preserve"> </w:t>
      </w:r>
      <w:r>
        <w:rPr>
          <w:i/>
          <w:iCs/>
        </w:rPr>
        <w:t xml:space="preserve">retry-with-jitter</w:t>
      </w:r>
      <w:r>
        <w:t xml:space="preserve"> </w:t>
      </w:r>
      <w:r>
        <w:t xml:space="preserve">policy described in Section 3.1.1. The heuristic v2 mode runs in tens of milliseconds: the median is 25.5 ms and the 95th percentile is 32.1 ms, both well inside the spec target stated in</w:t>
      </w:r>
      <w:r>
        <w:t xml:space="preserve"> </w:t>
      </w:r>
      <w:r>
        <w:rPr>
          <w:rStyle w:val="VerbatimChar"/>
        </w:rPr>
        <w:t xml:space="preserve">heuristic-v2-design.md</w:t>
      </w:r>
      <w:r>
        <w:t xml:space="preserve">. The blended cold-path 95th percentile of 24 713.7 ms is consistent with the split non-functional requirement N1b introduced in Section 2.1.2 (blended cold-path target ≤ 25 s, dominated by the upstream Gemini call); production cached-path latency is materially lower as reported in Section 3.9. The two-to-three-orders-of-magnitude latency advantage of the heuristic mode is consistent across the median, the 95th percentile, and the worst-case row.</w:t>
      </w:r>
    </w:p>
    <w:bookmarkEnd w:id="97"/>
    <w:bookmarkStart w:id="98" w:name="per-call-cost"/>
    <w:p>
      <w:pPr>
        <w:pStyle w:val="Heading3"/>
      </w:pPr>
      <w:r>
        <w:rPr>
          <w:b/>
          <w:i/>
          <w:sz w:val="24"/>
        </w:rPr>
        <w:t xml:space="preserve">4.3.4 Per-call cost</w:t>
      </w:r>
    </w:p>
    <w:p>
      <w:pPr>
        <w:pStyle w:val="FirstParagraph"/>
      </w:pPr>
      <w:r>
        <w:t xml:space="preserve">Per-call cost is computed from the Vertex AI billing schedule for Gemini 2.5 Flash at the rates in effect at the time of measurement (input $0.075 / 1 M tokens; output $0.30 / 1 M tokens). The heuristic v2 mode’s marginal cost on the LLM side is zero by construction.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item</w:t>
            </w:r>
          </w:p>
        </w:tc>
        <w:tc>
          <w:tcPr/>
          <w:p>
            <w:pPr>
              <w:pStyle w:val="Compact"/>
            </w:pPr>
            <w:r>
              <w:t xml:space="preserve">Blended mode</w:t>
            </w:r>
          </w:p>
        </w:tc>
        <w:tc>
          <w:tcPr/>
          <w:p>
            <w:pPr>
              <w:pStyle w:val="Compact"/>
            </w:pPr>
            <w:r>
              <w:t xml:space="preserve">Heuristic v2 mode</w:t>
            </w:r>
          </w:p>
        </w:tc>
      </w:tr>
      <w:tr>
        <w:tc>
          <w:tcPr/>
          <w:p>
            <w:pPr>
              <w:pStyle w:val="Compact"/>
            </w:pPr>
            <w:r>
              <w:t xml:space="preserve">Input tokens (avg., est.)</w:t>
            </w:r>
          </w:p>
        </w:tc>
        <w:tc>
          <w:tcPr/>
          <w:p>
            <w:pPr>
              <w:pStyle w:val="Compact"/>
            </w:pPr>
            <w:r>
              <w:t xml:space="preserve">608</w:t>
            </w:r>
          </w:p>
        </w:tc>
        <w:tc>
          <w:tcPr/>
          <w:p>
            <w:pPr>
              <w:pStyle w:val="Compact"/>
            </w:pPr>
            <w:r>
              <w:t xml:space="preserve">0</w:t>
            </w:r>
          </w:p>
        </w:tc>
      </w:tr>
      <w:tr>
        <w:tc>
          <w:tcPr/>
          <w:p>
            <w:pPr>
              <w:pStyle w:val="Compact"/>
            </w:pPr>
            <w:r>
              <w:t xml:space="preserve">Output tokens (avg., est.)</w:t>
            </w:r>
          </w:p>
        </w:tc>
        <w:tc>
          <w:tcPr/>
          <w:p>
            <w:pPr>
              <w:pStyle w:val="Compact"/>
            </w:pPr>
            <w:r>
              <w:t xml:space="preserve">1 118</w:t>
            </w:r>
          </w:p>
        </w:tc>
        <w:tc>
          <w:tcPr/>
          <w:p>
            <w:pPr>
              <w:pStyle w:val="Compact"/>
            </w:pPr>
            <w:r>
              <w:t xml:space="preserve">0</w:t>
            </w:r>
          </w:p>
        </w:tc>
      </w:tr>
      <w:tr>
        <w:tc>
          <w:tcPr/>
          <w:p>
            <w:pPr>
              <w:pStyle w:val="Compact"/>
            </w:pPr>
            <w:r>
              <w:t xml:space="preserve">Per-call USD (avg.)</w:t>
            </w:r>
          </w:p>
        </w:tc>
        <w:tc>
          <w:tcPr/>
          <w:p>
            <w:pPr>
              <w:pStyle w:val="Compact"/>
            </w:pPr>
            <w:r>
              <w:t xml:space="preserve">$0.00038</w:t>
            </w:r>
          </w:p>
        </w:tc>
        <w:tc>
          <w:tcPr/>
          <w:p>
            <w:pPr>
              <w:pStyle w:val="Compact"/>
            </w:pPr>
            <w:r>
              <w:t xml:space="preserve">$0.00000</w:t>
            </w:r>
          </w:p>
        </w:tc>
      </w:tr>
      <w:tr>
        <w:tc>
          <w:tcPr/>
          <w:p>
            <w:pPr>
              <w:pStyle w:val="Compact"/>
            </w:pPr>
            <w:r>
              <w:t xml:space="preserve">Per-call USD (95th pct.)</w:t>
            </w:r>
          </w:p>
        </w:tc>
        <w:tc>
          <w:tcPr/>
          <w:p>
            <w:pPr>
              <w:pStyle w:val="Compact"/>
            </w:pPr>
            <w:r>
              <w:t xml:space="preserve">$0.00042</w:t>
            </w:r>
          </w:p>
        </w:tc>
        <w:tc>
          <w:tcPr/>
          <w:p>
            <w:pPr>
              <w:pStyle w:val="Compact"/>
            </w:pPr>
            <w:r>
              <w:t xml:space="preserve">$0.00000</w:t>
            </w:r>
          </w:p>
        </w:tc>
      </w:tr>
      <w:tr>
        <w:tc>
          <w:tcPr/>
          <w:p>
            <w:pPr>
              <w:pStyle w:val="Compact"/>
            </w:pPr>
            <w:r>
              <w:t xml:space="preserve">1 000 calls / day projected monthly bill</w:t>
            </w:r>
          </w:p>
        </w:tc>
        <w:tc>
          <w:tcPr/>
          <w:p>
            <w:pPr>
              <w:pStyle w:val="Compact"/>
            </w:pPr>
            <w:r>
              <w:t xml:space="preserve">$11.43</w:t>
            </w:r>
          </w:p>
        </w:tc>
        <w:tc>
          <w:tcPr/>
          <w:p>
            <w:pPr>
              <w:pStyle w:val="Compact"/>
            </w:pPr>
            <w:r>
              <w:t xml:space="preserve">$0.00</w:t>
            </w:r>
          </w:p>
        </w:tc>
      </w:tr>
    </w:tbl>
    <w:p>
      <w:pPr>
        <w:pStyle w:val="BodyText"/>
      </w:pPr>
      <w:r>
        <w:t xml:space="preserve">Token counts are approximations following the</w:t>
      </w:r>
      <w:r>
        <w:t xml:space="preserve"> </w:t>
      </w:r>
      <w:r>
        <w:rPr>
          <w:rStyle w:val="VerbatimChar"/>
        </w:rPr>
        <w:t xml:space="preserve">~4 characters per token</w:t>
      </w:r>
      <w:r>
        <w:t xml:space="preserve"> </w:t>
      </w:r>
      <w:r>
        <w:t xml:space="preserve">rule of thumb that the Vertex AI documentation uses. The input-token figure counts the resume and the job description text the harness sends; the system prompt and the locked-payload block are configured server-side in the analytical service and contribute additional per-call overhead that is not captured by the harness’s estimator. Exact tokeniser-derived counts are deferred to future work; the headline cost claim in this section is an order-of-magnitude statement, not a billing-grade figure. The recomputation that produces this table is implemented in</w:t>
      </w:r>
      <w:r>
        <w:t xml:space="preserve"> </w:t>
      </w:r>
      <w:r>
        <w:rPr>
          <w:rStyle w:val="VerbatimChar"/>
        </w:rPr>
        <w:t xml:space="preserve">scripts/recompute_eval_cost.py</w:t>
      </w:r>
      <w:r>
        <w:t xml:space="preserve">, which rebuilds the prompt for every pair without a second LLM call.</w:t>
      </w:r>
    </w:p>
    <w:p>
      <w:pPr>
        <w:pStyle w:val="BodyText"/>
      </w:pPr>
      <w:r>
        <w:t xml:space="preserve">The blended mode at one thousand analyses per day projects to roughly</w:t>
      </w:r>
      <w:r>
        <w:t xml:space="preserve"> </w:t>
      </w:r>
      <w:r>
        <w:rPr>
          <w:b/>
          <w:bCs/>
        </w:rPr>
        <w:t xml:space="preserve">$11.43 per month</w:t>
      </w:r>
      <w:r>
        <w:t xml:space="preserve"> </w:t>
      </w:r>
      <w:r>
        <w:t xml:space="preserve">in LLM-side spend on this evaluation set. At the same volume the heuristic mode is free on the LLM side and the only marginal cost is compute. The cost ratio is therefore unbounded as a multiple but small in absolute terms at thesis-scope traffic; the comparative discussion in Section 4.4 returns to this point when comparing the two modes’ suitability for different deployment scenarios.</w:t>
      </w:r>
    </w:p>
    <w:bookmarkEnd w:id="98"/>
    <w:bookmarkStart w:id="99" w:name="Xc5b9496d48d597ec2064019f244ae133cf5ccd1"/>
    <w:p>
      <w:pPr>
        <w:pStyle w:val="Heading3"/>
      </w:pPr>
      <w:r>
        <w:rPr>
          <w:b/>
          <w:i/>
          <w:sz w:val="24"/>
        </w:rPr>
        <w:t xml:space="preserve">4.3.5 Sensitivity to the score-combination weights</w:t>
      </w:r>
    </w:p>
    <w:p>
      <w:pPr>
        <w:pStyle w:val="FirstParagraph"/>
      </w:pPr>
      <w:r>
        <w:t xml:space="preserve">The five-sub-score weights introduced in Section 4.2.7 are author-selected. To check that the comparative result is not an artefact of the specific weights, the score is recomputed offline from the same per-sub-score breakdown using equal weights (0.20 each), and the Pearson and Spearman correlations between modes are computed under both weight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Weighting</w:t>
            </w:r>
          </w:p>
        </w:tc>
        <w:tc>
          <w:tcPr/>
          <w:p>
            <w:pPr>
              <w:pStyle w:val="Compact"/>
            </w:pPr>
            <w:r>
              <w:t xml:space="preserve">Pearson</w:t>
            </w:r>
            <w:r>
              <w:t xml:space="preserve"> </w:t>
            </w:r>
            <w:r>
              <w:rPr>
                <w:i/>
                <w:iCs/>
              </w:rPr>
              <w:t xml:space="preserve">r</w:t>
            </w:r>
          </w:p>
        </w:tc>
        <w:tc>
          <w:tcPr/>
          <w:p>
            <w:pPr>
              <w:pStyle w:val="Compact"/>
            </w:pPr>
            <w:r>
              <w:t xml:space="preserve">Spearman ρ</w:t>
            </w:r>
          </w:p>
        </w:tc>
      </w:tr>
      <w:tr>
        <w:tc>
          <w:tcPr/>
          <w:p>
            <w:pPr>
              <w:pStyle w:val="Compact"/>
            </w:pPr>
            <w:r>
              <w:t xml:space="preserve">Author-selected (0.30/0.25/0.15/0.15/0.15)</w:t>
            </w:r>
          </w:p>
        </w:tc>
        <w:tc>
          <w:tcPr/>
          <w:p>
            <w:pPr>
              <w:pStyle w:val="Compact"/>
            </w:pPr>
            <w:r>
              <w:t xml:space="preserve">0.836</w:t>
            </w:r>
          </w:p>
        </w:tc>
        <w:tc>
          <w:tcPr/>
          <w:p>
            <w:pPr>
              <w:pStyle w:val="Compact"/>
            </w:pPr>
            <w:r>
              <w:t xml:space="preserve">0.847</w:t>
            </w:r>
          </w:p>
        </w:tc>
      </w:tr>
      <w:tr>
        <w:tc>
          <w:tcPr/>
          <w:p>
            <w:pPr>
              <w:pStyle w:val="Compact"/>
            </w:pPr>
            <w:r>
              <w:t xml:space="preserve">Equal (0.20 across all five)</w:t>
            </w:r>
          </w:p>
        </w:tc>
        <w:tc>
          <w:tcPr/>
          <w:p>
            <w:pPr>
              <w:pStyle w:val="Compact"/>
            </w:pPr>
            <w:r>
              <w:t xml:space="preserve">0.813</w:t>
            </w:r>
          </w:p>
        </w:tc>
        <w:tc>
          <w:tcPr/>
          <w:p>
            <w:pPr>
              <w:pStyle w:val="Compact"/>
            </w:pPr>
            <w:r>
              <w:t xml:space="preserve">0.823</w:t>
            </w:r>
          </w:p>
        </w:tc>
      </w:tr>
    </w:tbl>
    <w:p>
      <w:pPr>
        <w:pStyle w:val="BodyText"/>
      </w:pPr>
      <w:r>
        <w:t xml:space="preserve">The Pearson correlation moves by Δ = −0.023 between the two weightings; the Spearman correlation moves by Δ = −0.024 (the near-equality of the two deltas is a coincidence of three-decimal rounding rather than a structural pattern). Both correlations remain comfortably above the 0.7 reference threshold under either weighting, so the comparative result on the post-mitigation dataset is robust to the weight choice. The per-pair score recomputation is performed by</w:t>
      </w:r>
      <w:r>
        <w:t xml:space="preserve"> </w:t>
      </w:r>
      <w:r>
        <w:rPr>
          <w:rStyle w:val="VerbatimChar"/>
        </w:rPr>
        <w:t xml:space="preserve">scripts/analyze_eval_results.py</w:t>
      </w:r>
      <w:r>
        <w:t xml:space="preserve"> </w:t>
      </w:r>
      <w:r>
        <w:t xml:space="preserve">from the persisted per-sub-score breakdown rather than from a second eval-harness run, so the cost of producing this analysis is zero.</w:t>
      </w:r>
    </w:p>
    <w:bookmarkEnd w:id="99"/>
    <w:bookmarkStart w:id="100" w:name="heuristic-enhancement-ablation-stage-h"/>
    <w:p>
      <w:pPr>
        <w:pStyle w:val="Heading3"/>
      </w:pPr>
      <w:r>
        <w:rPr>
          <w:b/>
          <w:i/>
          <w:sz w:val="24"/>
        </w:rPr>
        <w:t xml:space="preserve">4.3.6 Heuristic-enhancement ablation (Stage H)</w:t>
      </w:r>
    </w:p>
    <w:p>
      <w:pPr>
        <w:pStyle w:val="FirstParagraph"/>
      </w:pPr>
      <w:r>
        <w:t xml:space="preserve">The post-hoc LLM-only-versus-heuristic correlation of</w:t>
      </w:r>
      <w:r>
        <w:t xml:space="preserve"> </w:t>
      </w:r>
      <w:r>
        <w:rPr>
          <w:i/>
          <w:iCs/>
        </w:rPr>
        <w:t xml:space="preserve">r</w:t>
      </w:r>
      <w:r>
        <w:t xml:space="preserve"> </w:t>
      </w:r>
      <w:r>
        <w:t xml:space="preserve">= 0.627 reported in Section 4.3.1’ represents the residual cross-mode agreement after isolating the structural blended-formula component. A natural follow-up question is whether targeted enhancements to the classical-IR heuristic can close this gap without introducing a neural component into the production runtime. To answer this question without committing to a redesign of the deployed v2 heuristic, an enhanced variant is implemented in a separate module (</w:t>
      </w:r>
      <w:r>
        <w:rPr>
          <w:rStyle w:val="VerbatimChar"/>
        </w:rPr>
        <w:t xml:space="preserve">backend/app/services/quality_signals_v3.py</w:t>
      </w:r>
      <w:r>
        <w:t xml:space="preserve">) that adds five focused signals on top of v2:</w:t>
      </w:r>
    </w:p>
    <w:p>
      <w:pPr>
        <w:pStyle w:val="Compact"/>
        <w:numPr>
          <w:ilvl w:val="0"/>
          <w:numId w:val="1007"/>
        </w:numPr>
      </w:pPr>
      <w:r>
        <w:rPr>
          <w:b/>
          <w:bCs/>
        </w:rPr>
        <w:t xml:space="preserve">H.1</w:t>
      </w:r>
      <w:r>
        <w:t xml:space="preserve"> </w:t>
      </w:r>
      <w:r>
        <w:t xml:space="preserve">— sentence-embedding semantic fallback for keyword matching, using</w:t>
      </w:r>
      <w:r>
        <w:t xml:space="preserve"> </w:t>
      </w:r>
      <w:r>
        <w:rPr>
          <w:rStyle w:val="VerbatimChar"/>
        </w:rPr>
        <w:t xml:space="preserve">sentence-transformers/all-MiniLM-L6-v2</w:t>
      </w:r>
      <w:r>
        <w:t xml:space="preserve"> </w:t>
      </w:r>
      <w:r>
        <w:t xml:space="preserve">at cosine threshold 0.65 as a final fallback after the v2 cascade (exact → fuzzy → ESCO);</w:t>
      </w:r>
    </w:p>
    <w:p>
      <w:pPr>
        <w:pStyle w:val="Compact"/>
        <w:numPr>
          <w:ilvl w:val="0"/>
          <w:numId w:val="1007"/>
        </w:numPr>
      </w:pPr>
      <w:r>
        <w:rPr>
          <w:b/>
          <w:bCs/>
        </w:rPr>
        <w:t xml:space="preserve">H.2</w:t>
      </w:r>
      <w:r>
        <w:t xml:space="preserve"> </w:t>
      </w:r>
      <w:r>
        <w:t xml:space="preserve">— STAR-format detection over experience bullets (Situation, Task, Action, Result), aggregated as a 0–100 sub-component of the</w:t>
      </w:r>
      <w:r>
        <w:t xml:space="preserve"> </w:t>
      </w:r>
      <w:r>
        <w:rPr>
          <w:i/>
          <w:iCs/>
        </w:rPr>
        <w:t xml:space="preserve">impact</w:t>
      </w:r>
      <w:r>
        <w:t xml:space="preserve"> </w:t>
      </w:r>
      <w:r>
        <w:t xml:space="preserve">axis;</w:t>
      </w:r>
    </w:p>
    <w:p>
      <w:pPr>
        <w:pStyle w:val="Compact"/>
        <w:numPr>
          <w:ilvl w:val="0"/>
          <w:numId w:val="1007"/>
        </w:numPr>
      </w:pPr>
      <w:r>
        <w:rPr>
          <w:b/>
          <w:bCs/>
        </w:rPr>
        <w:t xml:space="preserve">H.3</w:t>
      </w:r>
      <w:r>
        <w:t xml:space="preserve"> </w:t>
      </w:r>
      <w:r>
        <w:t xml:space="preserve">— three cross-axis coherence checks deducted from the</w:t>
      </w:r>
      <w:r>
        <w:t xml:space="preserve"> </w:t>
      </w:r>
      <w:r>
        <w:rPr>
          <w:i/>
          <w:iCs/>
        </w:rPr>
        <w:t xml:space="preserve">completeness</w:t>
      </w:r>
      <w:r>
        <w:t xml:space="preserve"> </w:t>
      </w:r>
      <w:r>
        <w:t xml:space="preserve">axis: (C1) years-claimed versus date-supported employment span, (C2) skills listed in the Skills section but not grounded in the Experience or Projects passages, (C3) education year versus claimed years of professional experience;</w:t>
      </w:r>
    </w:p>
    <w:p>
      <w:pPr>
        <w:pStyle w:val="Compact"/>
        <w:numPr>
          <w:ilvl w:val="0"/>
          <w:numId w:val="1007"/>
        </w:numPr>
      </w:pPr>
      <w:r>
        <w:rPr>
          <w:b/>
          <w:bCs/>
        </w:rPr>
        <w:t xml:space="preserve">H.4</w:t>
      </w:r>
      <w:r>
        <w:t xml:space="preserve"> </w:t>
      </w:r>
      <w:r>
        <w:t xml:space="preserve">— bigram and trigram phrase matching with a sliding-window fallback, weighted at 1.5× and 2.0× the unigram contribution respectively;</w:t>
      </w:r>
    </w:p>
    <w:p>
      <w:pPr>
        <w:pStyle w:val="Compact"/>
        <w:numPr>
          <w:ilvl w:val="0"/>
          <w:numId w:val="1007"/>
        </w:numPr>
      </w:pPr>
      <w:r>
        <w:rPr>
          <w:b/>
          <w:bCs/>
        </w:rPr>
        <w:t xml:space="preserve">H.5</w:t>
      </w:r>
      <w:r>
        <w:t xml:space="preserve"> </w:t>
      </w:r>
      <w:r>
        <w:t xml:space="preserve">— a hand-curated expansion of the ESCO subset from 107 entries to 354 entries (Path B execution: the Path A re-derivation from the official ESCO v1.1.1 static export is left to follow-on work).</w:t>
      </w:r>
    </w:p>
    <w:p>
      <w:pPr>
        <w:pStyle w:val="FirstParagraph"/>
      </w:pPr>
      <w:r>
        <w:t xml:space="preserve">Each enhancement is gated behind an explicit feature flag so that controlled subsets can be exercised independently of the others. Because the heuristic prepass is exposed to the language model as a</w:t>
      </w:r>
      <w:r>
        <w:t xml:space="preserve"> </w:t>
      </w:r>
      <w:r>
        <w:rPr>
          <w:i/>
          <w:iCs/>
        </w:rPr>
        <w:t xml:space="preserve">locked payload</w:t>
      </w:r>
      <w:r>
        <w:t xml:space="preserve"> </w:t>
      </w:r>
      <w:r>
        <w:t xml:space="preserve">(Section 3.2.3) — the LLM cannot move the heuristic component at inference time — the post-hoc-recovered LLM-only score per pair from Section 4.3.1’ is invariant under any reconfiguration of the heuristic. This means the ablation is computable at zero LLM-side cost: each variant’s heuristic score is recomputed against the same locked LLM-only baseline.</w:t>
      </w:r>
    </w:p>
    <w:p>
      <w:pPr>
        <w:pStyle w:val="BodyText"/>
      </w:pPr>
      <w:r>
        <w:t xml:space="preserve">The ablation is computed on the full 100-pair Stage G disjoint-pool evaluation set; for each variant, the Pearson correlation between the variant’s overall heuristic score and the post-hoc-recovered LLM-only score is reported with a 95 % cluster-bootstrap confidence interval (resampled by</w:t>
      </w:r>
      <w:r>
        <w:t xml:space="preserve"> </w:t>
      </w:r>
      <w:r>
        <w:rPr>
          <w:rStyle w:val="VerbatimChar"/>
        </w:rPr>
        <w:t xml:space="preserve">resume_id</w:t>
      </w:r>
      <w:r>
        <w:t xml:space="preserve">, 2 000 resamples, seed = 42).</w:t>
      </w:r>
    </w:p>
    <w:tbl>
      <w:tblPr>
        <w:tblStyle w:val="Table"/>
        <w:tblW w:type="pct" w:w="5000"/>
        <w:tblLayout w:type="fixed"/>
        <w:tblLook w:firstRow="1" w:lastRow="0" w:firstColumn="0" w:lastColumn="0" w:noHBand="0" w:noVBand="0" w:val="0020"/>
      </w:tblPr>
      <w:tblGrid>
        <w:gridCol w:w="1131"/>
        <w:gridCol w:w="3142"/>
        <w:gridCol w:w="1005"/>
        <w:gridCol w:w="1508"/>
        <w:gridCol w:w="1131"/>
      </w:tblGrid>
      <w:tr>
        <w:trPr>
          <w:tblHeader w:val="on"/>
        </w:trPr>
        <w:tc>
          <w:tcPr/>
          <w:p>
            <w:pPr>
              <w:pStyle w:val="Compact"/>
            </w:pPr>
            <w:r>
              <w:t xml:space="preserve">Variant</w:t>
            </w:r>
          </w:p>
        </w:tc>
        <w:tc>
          <w:tcPr/>
          <w:p>
            <w:pPr>
              <w:pStyle w:val="Compact"/>
            </w:pPr>
            <w:r>
              <w:t xml:space="preserve">Pearson</w:t>
            </w:r>
            <w:r>
              <w:t xml:space="preserve"> </w:t>
            </w:r>
            <w:r>
              <w:rPr>
                <w:i/>
                <w:iCs/>
              </w:rPr>
              <w:t xml:space="preserve">r</w:t>
            </w:r>
            <w:r>
              <w:t xml:space="preserve"> </w:t>
            </w:r>
            <w:r>
              <w:t xml:space="preserve">vs LLM-only</w:t>
            </w:r>
          </w:p>
        </w:tc>
        <w:tc>
          <w:tcPr/>
          <w:p>
            <w:pPr>
              <w:pStyle w:val="Compact"/>
            </w:pPr>
            <w:r>
              <w:t xml:space="preserve">95% CI</w:t>
            </w:r>
          </w:p>
        </w:tc>
        <w:tc>
          <w:tcPr/>
          <w:p>
            <w:pPr>
              <w:pStyle w:val="Compact"/>
            </w:pPr>
            <w:r>
              <w:t xml:space="preserve">Spearman ρ</w:t>
            </w:r>
          </w:p>
        </w:tc>
        <w:tc>
          <w:tcPr/>
          <w:p>
            <w:pPr>
              <w:pStyle w:val="Compact"/>
            </w:pPr>
            <w:r>
              <w:t xml:space="preserve">Δ vs v2</w:t>
            </w:r>
          </w:p>
        </w:tc>
      </w:tr>
      <w:tr>
        <w:tc>
          <w:tcPr/>
          <w:p>
            <w:pPr>
              <w:pStyle w:val="Compact"/>
            </w:pPr>
            <w:r>
              <w:t xml:space="preserve">heuristic-v2 (BM25 + ESCO + fuzzy)</w:t>
            </w:r>
          </w:p>
        </w:tc>
        <w:tc>
          <w:tcPr/>
          <w:p>
            <w:pPr>
              <w:pStyle w:val="Compact"/>
            </w:pPr>
            <w:r>
              <w:rPr>
                <w:b/>
                <w:bCs/>
              </w:rPr>
              <w:t xml:space="preserve">0.627</w:t>
            </w:r>
          </w:p>
        </w:tc>
        <w:tc>
          <w:tcPr/>
          <w:p>
            <w:pPr>
              <w:pStyle w:val="Compact"/>
            </w:pPr>
            <w:r>
              <w:t xml:space="preserve">[0.470, 0.758]</w:t>
            </w:r>
          </w:p>
        </w:tc>
        <w:tc>
          <w:tcPr/>
          <w:p>
            <w:pPr>
              <w:pStyle w:val="Compact"/>
            </w:pPr>
            <w:r>
              <w:t xml:space="preserve">0.596</w:t>
            </w:r>
          </w:p>
        </w:tc>
        <w:tc>
          <w:tcPr/>
          <w:p>
            <w:pPr>
              <w:pStyle w:val="Compact"/>
            </w:pPr>
            <w:r>
              <w:t xml:space="preserve">—</w:t>
            </w:r>
          </w:p>
        </w:tc>
      </w:tr>
      <w:tr>
        <w:tc>
          <w:tcPr/>
          <w:p>
            <w:pPr>
              <w:pStyle w:val="Compact"/>
            </w:pPr>
            <w:r>
              <w:t xml:space="preserve">heuristic-v3 with no Stage H features</w:t>
            </w:r>
          </w:p>
        </w:tc>
        <w:tc>
          <w:tcPr/>
          <w:p>
            <w:pPr>
              <w:pStyle w:val="Compact"/>
            </w:pPr>
            <w:r>
              <w:t xml:space="preserve">0.627</w:t>
            </w:r>
          </w:p>
        </w:tc>
        <w:tc>
          <w:tcPr/>
          <w:p>
            <w:pPr>
              <w:pStyle w:val="Compact"/>
            </w:pPr>
            <w:r>
              <w:t xml:space="preserve">[0.470, 0.758]</w:t>
            </w:r>
          </w:p>
        </w:tc>
        <w:tc>
          <w:tcPr/>
          <w:p>
            <w:pPr>
              <w:pStyle w:val="Compact"/>
            </w:pPr>
            <w:r>
              <w:t xml:space="preserve">0.596</w:t>
            </w:r>
          </w:p>
        </w:tc>
        <w:tc>
          <w:tcPr/>
          <w:p>
            <w:pPr>
              <w:pStyle w:val="Compact"/>
            </w:pPr>
            <w:r>
              <w:t xml:space="preserve">+0.000</w:t>
            </w:r>
          </w:p>
        </w:tc>
      </w:tr>
      <w:tr>
        <w:tc>
          <w:tcPr/>
          <w:p>
            <w:pPr>
              <w:pStyle w:val="Compact"/>
            </w:pPr>
            <w:r>
              <w:t xml:space="preserve">+ bigram / trigram (H.4)</w:t>
            </w:r>
          </w:p>
        </w:tc>
        <w:tc>
          <w:tcPr/>
          <w:p>
            <w:pPr>
              <w:pStyle w:val="Compact"/>
            </w:pPr>
            <w:r>
              <w:t xml:space="preserve">0.629</w:t>
            </w:r>
          </w:p>
        </w:tc>
        <w:tc>
          <w:tcPr/>
          <w:p>
            <w:pPr>
              <w:pStyle w:val="Compact"/>
            </w:pPr>
            <w:r>
              <w:t xml:space="preserve">[0.470, 0.758]</w:t>
            </w:r>
          </w:p>
        </w:tc>
        <w:tc>
          <w:tcPr/>
          <w:p>
            <w:pPr>
              <w:pStyle w:val="Compact"/>
            </w:pPr>
            <w:r>
              <w:t xml:space="preserve">0.583</w:t>
            </w:r>
          </w:p>
        </w:tc>
        <w:tc>
          <w:tcPr/>
          <w:p>
            <w:pPr>
              <w:pStyle w:val="Compact"/>
            </w:pPr>
            <w:r>
              <w:t xml:space="preserve">+0.002</w:t>
            </w:r>
          </w:p>
        </w:tc>
      </w:tr>
      <w:tr>
        <w:tc>
          <w:tcPr/>
          <w:p>
            <w:pPr>
              <w:pStyle w:val="Compact"/>
            </w:pPr>
            <w:r>
              <w:t xml:space="preserve">+ SBERT semantic fallback (H.1)</w:t>
            </w:r>
          </w:p>
        </w:tc>
        <w:tc>
          <w:tcPr/>
          <w:p>
            <w:pPr>
              <w:pStyle w:val="Compact"/>
            </w:pPr>
            <w:r>
              <w:t xml:space="preserve">0.623</w:t>
            </w:r>
          </w:p>
        </w:tc>
        <w:tc>
          <w:tcPr/>
          <w:p>
            <w:pPr>
              <w:pStyle w:val="Compact"/>
            </w:pPr>
            <w:r>
              <w:t xml:space="preserve">[0.452, 0.759]</w:t>
            </w:r>
          </w:p>
        </w:tc>
        <w:tc>
          <w:tcPr/>
          <w:p>
            <w:pPr>
              <w:pStyle w:val="Compact"/>
            </w:pPr>
            <w:r>
              <w:t xml:space="preserve">0.573</w:t>
            </w:r>
          </w:p>
        </w:tc>
        <w:tc>
          <w:tcPr/>
          <w:p>
            <w:pPr>
              <w:pStyle w:val="Compact"/>
            </w:pPr>
            <w:r>
              <w:t xml:space="preserve">−0.004</w:t>
            </w:r>
          </w:p>
        </w:tc>
      </w:tr>
      <w:tr>
        <w:tc>
          <w:tcPr/>
          <w:p>
            <w:pPr>
              <w:pStyle w:val="Compact"/>
            </w:pPr>
            <w:r>
              <w:t xml:space="preserve">+ STAR detection (H.2)</w:t>
            </w:r>
          </w:p>
        </w:tc>
        <w:tc>
          <w:tcPr/>
          <w:p>
            <w:pPr>
              <w:pStyle w:val="Compact"/>
            </w:pPr>
            <w:r>
              <w:t xml:space="preserve">0.621</w:t>
            </w:r>
          </w:p>
        </w:tc>
        <w:tc>
          <w:tcPr/>
          <w:p>
            <w:pPr>
              <w:pStyle w:val="Compact"/>
            </w:pPr>
            <w:r>
              <w:t xml:space="preserve">[0.463, 0.755]</w:t>
            </w:r>
          </w:p>
        </w:tc>
        <w:tc>
          <w:tcPr/>
          <w:p>
            <w:pPr>
              <w:pStyle w:val="Compact"/>
            </w:pPr>
            <w:r>
              <w:t xml:space="preserve">0.596</w:t>
            </w:r>
          </w:p>
        </w:tc>
        <w:tc>
          <w:tcPr/>
          <w:p>
            <w:pPr>
              <w:pStyle w:val="Compact"/>
            </w:pPr>
            <w:r>
              <w:t xml:space="preserve">−0.006</w:t>
            </w:r>
          </w:p>
        </w:tc>
      </w:tr>
      <w:tr>
        <w:tc>
          <w:tcPr/>
          <w:p>
            <w:pPr>
              <w:pStyle w:val="Compact"/>
            </w:pPr>
            <w:r>
              <w:t xml:space="preserve">+ ESCO expansion 107 → 354 (H.5)</w:t>
            </w:r>
          </w:p>
        </w:tc>
        <w:tc>
          <w:tcPr/>
          <w:p>
            <w:pPr>
              <w:pStyle w:val="Compact"/>
            </w:pPr>
            <w:r>
              <w:t xml:space="preserve">0.617</w:t>
            </w:r>
          </w:p>
        </w:tc>
        <w:tc>
          <w:tcPr/>
          <w:p>
            <w:pPr>
              <w:pStyle w:val="Compact"/>
            </w:pPr>
            <w:r>
              <w:t xml:space="preserve">[0.461, 0.752]</w:t>
            </w:r>
          </w:p>
        </w:tc>
        <w:tc>
          <w:tcPr/>
          <w:p>
            <w:pPr>
              <w:pStyle w:val="Compact"/>
            </w:pPr>
            <w:r>
              <w:t xml:space="preserve">0.578</w:t>
            </w:r>
          </w:p>
        </w:tc>
        <w:tc>
          <w:tcPr/>
          <w:p>
            <w:pPr>
              <w:pStyle w:val="Compact"/>
            </w:pPr>
            <w:r>
              <w:t xml:space="preserve">−0.009</w:t>
            </w:r>
          </w:p>
        </w:tc>
      </w:tr>
      <w:tr>
        <w:tc>
          <w:tcPr/>
          <w:p>
            <w:pPr>
              <w:pStyle w:val="Compact"/>
            </w:pPr>
            <w:r>
              <w:t xml:space="preserve">+ cross-axis coherence (H.3)</w:t>
            </w:r>
          </w:p>
        </w:tc>
        <w:tc>
          <w:tcPr/>
          <w:p>
            <w:pPr>
              <w:pStyle w:val="Compact"/>
            </w:pPr>
            <w:r>
              <w:t xml:space="preserve">0.605</w:t>
            </w:r>
          </w:p>
        </w:tc>
        <w:tc>
          <w:tcPr/>
          <w:p>
            <w:pPr>
              <w:pStyle w:val="Compact"/>
            </w:pPr>
            <w:r>
              <w:t xml:space="preserve">[0.438, 0.746]</w:t>
            </w:r>
          </w:p>
        </w:tc>
        <w:tc>
          <w:tcPr/>
          <w:p>
            <w:pPr>
              <w:pStyle w:val="Compact"/>
            </w:pPr>
            <w:r>
              <w:t xml:space="preserve">0.568</w:t>
            </w:r>
          </w:p>
        </w:tc>
        <w:tc>
          <w:tcPr/>
          <w:p>
            <w:pPr>
              <w:pStyle w:val="Compact"/>
            </w:pPr>
            <w:r>
              <w:t xml:space="preserve">−0.022</w:t>
            </w:r>
          </w:p>
        </w:tc>
      </w:tr>
      <w:tr>
        <w:tc>
          <w:tcPr/>
          <w:p>
            <w:pPr>
              <w:pStyle w:val="Compact"/>
            </w:pPr>
            <w:r>
              <w:t xml:space="preserve">heuristic-v3 (full, all five)</w:t>
            </w:r>
          </w:p>
        </w:tc>
        <w:tc>
          <w:tcPr/>
          <w:p>
            <w:pPr>
              <w:pStyle w:val="Compact"/>
            </w:pPr>
            <w:r>
              <w:t xml:space="preserve">0.590</w:t>
            </w:r>
          </w:p>
        </w:tc>
        <w:tc>
          <w:tcPr/>
          <w:p>
            <w:pPr>
              <w:pStyle w:val="Compact"/>
            </w:pPr>
            <w:r>
              <w:t xml:space="preserve">[0.415, 0.735]</w:t>
            </w:r>
          </w:p>
        </w:tc>
        <w:tc>
          <w:tcPr/>
          <w:p>
            <w:pPr>
              <w:pStyle w:val="Compact"/>
            </w:pPr>
            <w:r>
              <w:t xml:space="preserve">0.556</w:t>
            </w:r>
          </w:p>
        </w:tc>
        <w:tc>
          <w:tcPr/>
          <w:p>
            <w:pPr>
              <w:pStyle w:val="Compact"/>
            </w:pPr>
            <w:r>
              <w:t xml:space="preserve">−0.036</w:t>
            </w:r>
          </w:p>
        </w:tc>
      </w:tr>
    </w:tbl>
    <w:p>
      <w:pPr>
        <w:pStyle w:val="BodyText"/>
      </w:pPr>
      <w:r>
        <w:t xml:space="preserve">The result is</w:t>
      </w:r>
      <w:r>
        <w:t xml:space="preserve"> </w:t>
      </w:r>
      <w:r>
        <w:rPr>
          <w:b/>
          <w:bCs/>
        </w:rPr>
        <w:t xml:space="preserve">a controlled null with a small negative drift on the compound configuration</w:t>
      </w:r>
      <w:r>
        <w:t xml:space="preserve">: the</w:t>
      </w:r>
      <w:r>
        <w:t xml:space="preserve"> </w:t>
      </w:r>
      <w:r>
        <w:rPr>
          <w:rStyle w:val="VerbatimChar"/>
        </w:rPr>
        <w:t xml:space="preserve">v3-empty</w:t>
      </w:r>
      <w:r>
        <w:t xml:space="preserve"> </w:t>
      </w:r>
      <w:r>
        <w:t xml:space="preserve">cell — the v3 module with every Stage H feature disabled — reproduces the v2 baseline</w:t>
      </w:r>
      <w:r>
        <w:t xml:space="preserve"> </w:t>
      </w:r>
      <w:r>
        <w:rPr>
          <w:i/>
          <w:iCs/>
        </w:rPr>
        <w:t xml:space="preserve">exactly</w:t>
      </w:r>
      <w:r>
        <w:t xml:space="preserve"> </w:t>
      </w:r>
      <w:r>
        <w:t xml:space="preserve">to three decimal places (Δ = +0.000), validating that the v3 module degrades to the v2 reference correctly and that the deltas elsewhere are not module-implementation artefacts. The single-feature deltas span +0.002 (n-gram phrase matching) to −0.022 (cross-axis coherence checks) — every one of them comfortably inside the ±0.15 half-width of the cluster-bootstrap confidence interval, so none is statistically distinguishable from zero on the available 100-pair evaluation set. The full-stack v3 configuration sits at</w:t>
      </w:r>
      <w:r>
        <w:t xml:space="preserve"> </w:t>
      </w:r>
      <w:r>
        <w:rPr>
          <w:i/>
          <w:iCs/>
        </w:rPr>
        <w:t xml:space="preserve">r</w:t>
      </w:r>
      <w:r>
        <w:t xml:space="preserve"> </w:t>
      </w:r>
      <w:r>
        <w:t xml:space="preserve">= 0.590 (Δ = −0.036), still inside the bootstrap CI half-width but suggestive that the small false-positive contributions of the five enhancements compound rather than cancel when stacked. Two readings of this null are consistent with the construction of the evaluation set and with the post-hoc decomposition of Section 4.3.1’:</w:t>
      </w:r>
    </w:p>
    <w:p>
      <w:pPr>
        <w:pStyle w:val="BodyText"/>
      </w:pPr>
      <w:r>
        <w:t xml:space="preserve">First, the synthetic-template construction described in Section 4.1.1 — and tightened by the Stage G disjoint-vocabulary mitigation — generates resume and job-description prose with low surface-form variation: the resume side and the JD side already share canonical skill labels by design and do not, by construction, contain the kind of paraphrase variation that a sentence-embedding semantic fallback or a bigram phrase fallback is built to recover. The classical-IR baseline is therefore close to a recall ceiling on this set; further keyword-level recall via SBERT or n-gram matching does not contribute information that the v2 cascade has not already extracted. The additional flexibility introduces small false-positive contributions that depress the per-pair correlation rather than lift it: ESCO-expansion variants occasionally match incidental tokens in the JD prose, expanded STAR detection produces partial points on terse template bullets, and the H.3 cross-axis coherence checks flag synthetic-template artefacts (the deterministic year-range generator emits dates that the years-claimed regex sometimes mismatches by one or two years) as orphan-skill or year-mismatch penalties that the LLM-only score, scoring the same resume on prose evidence, does not see.</w:t>
      </w:r>
    </w:p>
    <w:p>
      <w:pPr>
        <w:pStyle w:val="BodyText"/>
      </w:pPr>
      <w:r>
        <w:t xml:space="preserve">Second, the post-hoc-recovered LLM-only score is, by construction, the residual signal that the language model contributes</w:t>
      </w:r>
      <w:r>
        <w:t xml:space="preserve"> </w:t>
      </w:r>
      <w:r>
        <w:rPr>
          <w:i/>
          <w:iCs/>
        </w:rPr>
        <w:t xml:space="preserve">beyond</w:t>
      </w:r>
      <w:r>
        <w:t xml:space="preserve"> </w:t>
      </w:r>
      <w:r>
        <w:t xml:space="preserve">the heuristic component shared by both modes. The ~0.37-magnitude residual on the Pearson scale (1.0 − 0.627 = 0.373) reflects prose-quality, narrative-coherence, and role-fit evidence that the language model weighs and that the</w:t>
      </w:r>
      <w:r>
        <w:t xml:space="preserve"> </w:t>
      </w:r>
      <w:r>
        <w:rPr>
          <w:i/>
          <w:iCs/>
        </w:rPr>
        <w:t xml:space="preserve">clarity</w:t>
      </w:r>
      <w:r>
        <w:t xml:space="preserve"> </w:t>
      </w:r>
      <w:r>
        <w:t xml:space="preserve">sub-score in Section 4.3.1 already pinpoints as the axis of largest disagreement. None of the Stage H enhancements target prose-quality or role-fit reasoning; they target keyword recall, action-claim structure, and internal-consistency checks. The ablation result is therefore evidence that the residual cross-mode gap reported in Section 4.3.1’ is driven by signal classes that classical-IR enhancements of this kind do not access on this evaluation set, rather than by a deficit in the v2 keyword cascade itself. The honest reading is that v2 is at the achievable ceiling for keyword-and-structure agreement on the synthesised pool, and the residual is the genuine LLM contribution that motivates keeping the language-model component available alongside the deterministic baseline. Closing the residual through classical-IR-only means would require either (i) a different evaluation surface that exposes prose-quality variation the synthetic templates suppress, or (ii) features that target the exact axes the LLM lifts (clarity and impact-narrative coherence). Both are properly future work.</w:t>
      </w:r>
    </w:p>
    <w:bookmarkEnd w:id="100"/>
    <w:bookmarkStart w:id="101" w:name="Xcff2c0d3320ec1ce82f83c9b1d53013643ebe8f"/>
    <w:p>
      <w:pPr>
        <w:pStyle w:val="Heading3"/>
      </w:pPr>
      <w:r>
        <w:rPr>
          <w:b/>
          <w:i/>
          <w:sz w:val="24"/>
        </w:rPr>
        <w:t xml:space="preserve">4.3.7 Implementation note on Stage H reproducibility</w:t>
      </w:r>
    </w:p>
    <w:p>
      <w:pPr>
        <w:pStyle w:val="FirstParagraph"/>
      </w:pPr>
      <w:r>
        <w:t xml:space="preserve">The ablation is reproducible from the artefacts persisted in the repository:</w:t>
      </w:r>
      <w:r>
        <w:t xml:space="preserve"> </w:t>
      </w:r>
      <w:r>
        <w:rPr>
          <w:rStyle w:val="VerbatimChar"/>
        </w:rPr>
        <w:t xml:space="preserve">backend/app/services/quality_signals_v3.py</w:t>
      </w:r>
      <w:r>
        <w:t xml:space="preserve"> </w:t>
      </w:r>
      <w:r>
        <w:t xml:space="preserve">is the v3 module,</w:t>
      </w:r>
      <w:r>
        <w:t xml:space="preserve"> </w:t>
      </w:r>
      <w:r>
        <w:rPr>
          <w:rStyle w:val="VerbatimChar"/>
        </w:rPr>
        <w:t xml:space="preserve">backend/app/data/esco_skills_expanded.json</w:t>
      </w:r>
      <w:r>
        <w:t xml:space="preserve"> </w:t>
      </w:r>
      <w:r>
        <w:t xml:space="preserve">is the 354-entry expansion,</w:t>
      </w:r>
      <w:r>
        <w:t xml:space="preserve"> </w:t>
      </w:r>
      <w:r>
        <w:rPr>
          <w:rStyle w:val="VerbatimChar"/>
        </w:rPr>
        <w:t xml:space="preserve">scripts/eval_scoring_v3_ablation.py</w:t>
      </w:r>
      <w:r>
        <w:t xml:space="preserve"> </w:t>
      </w:r>
      <w:r>
        <w:t xml:space="preserve">is the harness that computes the per-variant per-pair heuristic score, and</w:t>
      </w:r>
      <w:r>
        <w:t xml:space="preserve"> </w:t>
      </w:r>
      <w:r>
        <w:rPr>
          <w:rStyle w:val="VerbatimChar"/>
        </w:rPr>
        <w:t xml:space="preserve">scripts/analyze_v3_ablation.py</w:t>
      </w:r>
      <w:r>
        <w:t xml:space="preserve"> </w:t>
      </w:r>
      <w:r>
        <w:t xml:space="preserve">is the analysis script that computes the table above. The harness reuses the existing</w:t>
      </w:r>
      <w:r>
        <w:t xml:space="preserve"> </w:t>
      </w:r>
      <w:r>
        <w:rPr>
          <w:rStyle w:val="VerbatimChar"/>
        </w:rPr>
        <w:t xml:space="preserve">eval-results.json</w:t>
      </w:r>
      <w:r>
        <w:t xml:space="preserve"> </w:t>
      </w:r>
      <w:r>
        <w:t xml:space="preserve">written by Stage G’s blended-mode run and recovers the LLM-only score per pair via the post-hoc identity in Section 4.3.1’. No additional LLM calls are issued. The full ablation runs in approximately 4 minutes on commodity hardware (≈110 s for the SBERT first-load and inference pass, ≈10 s combined for the deterministic variants). Sentence-transformers and PyTorch are listed in</w:t>
      </w:r>
      <w:r>
        <w:t xml:space="preserve"> </w:t>
      </w:r>
      <w:r>
        <w:rPr>
          <w:rStyle w:val="VerbatimChar"/>
        </w:rPr>
        <w:t xml:space="preserve">backend/requirements-thesis-eval.txt</w:t>
      </w:r>
      <w:r>
        <w:t xml:space="preserve"> </w:t>
      </w:r>
      <w:r>
        <w:t xml:space="preserve">rather than in</w:t>
      </w:r>
      <w:r>
        <w:t xml:space="preserve"> </w:t>
      </w:r>
      <w:r>
        <w:rPr>
          <w:rStyle w:val="VerbatimChar"/>
        </w:rPr>
        <w:t xml:space="preserve">backend/requirements.txt</w:t>
      </w:r>
      <w:r>
        <w:t xml:space="preserve"> </w:t>
      </w:r>
      <w:r>
        <w:t xml:space="preserve">so the production deployment surface remains free of the neural dependency.</w:t>
      </w:r>
    </w:p>
    <w:bookmarkEnd w:id="101"/>
    <w:bookmarkEnd w:id="102"/>
    <w:bookmarkStart w:id="103" w:name="discussion-and-limitations"/>
    <w:p>
      <w:pPr>
        <w:pStyle w:val="Heading2"/>
      </w:pPr>
      <w:r>
        <w:rPr>
          <w:b/>
          <w:i w:val="0"/>
          <w:sz w:val="28"/>
        </w:rPr>
        <w:t xml:space="preserve">4.4 Discussion and limitations</w:t>
      </w:r>
    </w:p>
    <w:p>
      <w:pPr>
        <w:pStyle w:val="FirstParagraph"/>
      </w:pPr>
      <w:r>
        <w:t xml:space="preserve">The evaluation reported in Section 4.3 supports the following defendable claim</w:t>
      </w:r>
      <w:r>
        <w:t xml:space="preserve"> </w:t>
      </w:r>
      <w:r>
        <w:rPr>
          <w:i/>
          <w:iCs/>
        </w:rPr>
        <w:t xml:space="preserve">within this synthetic evaluation set</w:t>
      </w:r>
      <w:r>
        <w:t xml:space="preserve">: a strictly classical-IR heuristic, augmented with a curated ESCO subset and a fuzzy-matching layer, recovers most of the discriminative power of the blended mode on the overall score (Pearson</w:t>
      </w:r>
      <w:r>
        <w:t xml:space="preserve"> </w:t>
      </w:r>
      <w:r>
        <w:rPr>
          <w:i/>
          <w:iCs/>
        </w:rPr>
        <w:t xml:space="preserve">r</w:t>
      </w:r>
      <w:r>
        <w:t xml:space="preserve"> </w:t>
      </w:r>
      <w:r>
        <w:t xml:space="preserve">= 0.836 [95% CI 0.762, 0.896], Spearman ρ = 0.847, both well above the 0.7 reference threshold under cluster-bootstrap intervals) at roughly two-to-three orders of magnitude lower latency (median 25.5 ms vs 18.2 s) and at zero LLM-side marginal cost. The post-hoc LLM-only-versus-heuristic correlation, isolated from the structural blended-formula component (Section 4.3.1’, T2 mitigation), is</w:t>
      </w:r>
      <w:r>
        <w:t xml:space="preserve"> </w:t>
      </w:r>
      <w:r>
        <w:rPr>
          <w:i/>
          <w:iCs/>
        </w:rPr>
        <w:t xml:space="preserve">r</w:t>
      </w:r>
      <w:r>
        <w:t xml:space="preserve"> </w:t>
      </w:r>
      <w:r>
        <w:t xml:space="preserve">= 0.627 [95% CI 0.476, 0.765] — the honest cross-mode agreement statistic that strips out the 0.40 heuristic share blended carries by construction. Per-sub-score, the agreement is strongest on</w:t>
      </w:r>
      <w:r>
        <w:t xml:space="preserve"> </w:t>
      </w:r>
      <w:r>
        <w:rPr>
          <w:i/>
          <w:iCs/>
        </w:rPr>
        <w:t xml:space="preserve">keywords</w:t>
      </w:r>
      <w:r>
        <w:t xml:space="preserve"> </w:t>
      </w:r>
      <w:r>
        <w:t xml:space="preserve">(</w:t>
      </w:r>
      <w:r>
        <w:rPr>
          <w:i/>
          <w:iCs/>
        </w:rPr>
        <w:t xml:space="preserve">r</w:t>
      </w:r>
      <w:r>
        <w:t xml:space="preserve"> </w:t>
      </w:r>
      <w:r>
        <w:t xml:space="preserve">= 0.937) and</w:t>
      </w:r>
      <w:r>
        <w:t xml:space="preserve"> </w:t>
      </w:r>
      <w:r>
        <w:rPr>
          <w:i/>
          <w:iCs/>
        </w:rPr>
        <w:t xml:space="preserve">structure</w:t>
      </w:r>
      <w:r>
        <w:t xml:space="preserve"> </w:t>
      </w:r>
      <w:r>
        <w:t xml:space="preserve">(</w:t>
      </w:r>
      <w:r>
        <w:rPr>
          <w:i/>
          <w:iCs/>
        </w:rPr>
        <w:t xml:space="preserve">r</w:t>
      </w:r>
      <w:r>
        <w:t xml:space="preserve"> </w:t>
      </w:r>
      <w:r>
        <w:t xml:space="preserve">= 0.830) and weakest on</w:t>
      </w:r>
      <w:r>
        <w:t xml:space="preserve"> </w:t>
      </w:r>
      <w:r>
        <w:rPr>
          <w:i/>
          <w:iCs/>
        </w:rPr>
        <w:t xml:space="preserve">clarity</w:t>
      </w:r>
      <w:r>
        <w:t xml:space="preserve"> </w:t>
      </w:r>
      <w:r>
        <w:t xml:space="preserve">(</w:t>
      </w:r>
      <w:r>
        <w:rPr>
          <w:i/>
          <w:iCs/>
        </w:rPr>
        <w:t xml:space="preserve">r</w:t>
      </w:r>
      <w:r>
        <w:t xml:space="preserve"> </w:t>
      </w:r>
      <w:r>
        <w:t xml:space="preserve">= 0.395), which is the axis on which the language model contributes prose-quality evidence the heuristic cannot see. Independently of the numbers, the blended mode produces qualitatively richer recommendations — the prose explanations, the role-fit narratives, the cover-letter-grade phrasing — that the heuristic mode does not attempt to produce; this qualitative dimension is not captured by the four metrics above and is a matter for separate user-research investigation.</w:t>
      </w:r>
    </w:p>
    <w:p>
      <w:pPr>
        <w:pStyle w:val="BodyText"/>
      </w:pPr>
      <w:r>
        <w:t xml:space="preserve">Three limitations of the study deserve explicit statement.</w:t>
      </w:r>
    </w:p>
    <w:p>
      <w:pPr>
        <w:pStyle w:val="BodyText"/>
      </w:pPr>
      <w:r>
        <w:rPr>
          <w:b/>
          <w:bCs/>
        </w:rPr>
        <w:t xml:space="preserve">Single-language scope.</w:t>
      </w:r>
      <w:r>
        <w:t xml:space="preserve"> </w:t>
      </w:r>
      <w:r>
        <w:t xml:space="preserve">All resumes and job descriptions in the evaluation set are in English. The bundled ESCO subset is the multilingual ESCO published by the European Commission, but the deployed system uses only the English labels. Polish-language resumes — a relevant scope for a Wrocław-based deployment — are not exercised. Section 5.3 proposes the integration of the Polish-language ESCO labels as a near-term extension.</w:t>
      </w:r>
    </w:p>
    <w:p>
      <w:pPr>
        <w:pStyle w:val="BodyText"/>
      </w:pPr>
      <w:r>
        <w:rPr>
          <w:b/>
          <w:bCs/>
        </w:rPr>
        <w:t xml:space="preserve">Single-subject evaluation.</w:t>
      </w:r>
      <w:r>
        <w:t xml:space="preserve"> </w:t>
      </w:r>
      <w:r>
        <w:t xml:space="preserve">The 30 resumes were synthesised by a single author and may share a stylistic register that does not generalise to resumes drawn from a wider population. The result reported in Section 4.3.1 should therefore be read as a within-author baseline rather than as a cross-population claim. Replicating the evaluation against a larger multi-author resume corpus is left for future work.</w:t>
      </w:r>
    </w:p>
    <w:p>
      <w:pPr>
        <w:pStyle w:val="BodyText"/>
      </w:pPr>
      <w:r>
        <w:rPr>
          <w:b/>
          <w:bCs/>
        </w:rPr>
        <w:t xml:space="preserve">Single LLM provider.</w:t>
      </w:r>
      <w:r>
        <w:t xml:space="preserve"> </w:t>
      </w:r>
      <w:r>
        <w:t xml:space="preserve">The blended mode uses Gemini 2.5 Flash exclusively. The thesis does not establish that the heuristic baseline would correlate equally well with a different LLM (Claude 4.7, GPT-5.4, Llama 3.3 70B) on the same dataset. Section 5.3 argues that the system architecture supports adding an alternative provider as a configuration change rather than a code change, so this gap is straightforward to close in subsequent work.</w:t>
      </w:r>
    </w:p>
    <w:p>
      <w:pPr>
        <w:pStyle w:val="BodyText"/>
      </w:pPr>
      <w:r>
        <w:rPr>
          <w:b/>
          <w:bCs/>
        </w:rPr>
        <w:t xml:space="preserve">Bias and fairness.</w:t>
      </w:r>
      <w:r>
        <w:t xml:space="preserve"> </w:t>
      </w:r>
      <w:r>
        <w:t xml:space="preserve">A growing literature documents that automated hiring pipelines can encode and amplify bias against protected groups when historical hiring decisions, resume-content stylistic regularities, or third-party-model training distributions are correlated with demographic attributes [22, 23, 24]. The system described in this thesis does not yet incorporate the fairness instrumentation that this literature recommends — neither the disparate-impact diagnostics of [23] nor the discrimination-source taxonomy of [22] is currently exercised against the heuristic and blended scoring pipelines. The synthetic evaluation set used in Section 4.3 is not annotated with demographic attributes, so a fairness audit on the present benchmark is not possible without further dataset construction; for any production deployment beyond the controlled thesis scope, an audit aligned with [24] would be required as a separate work item.</w:t>
      </w:r>
    </w:p>
    <w:p>
      <w:pPr>
        <w:pStyle w:val="BodyText"/>
      </w:pPr>
      <w:r>
        <w:t xml:space="preserve">Beyond the headline correlation number, the per-sub-score breakdown reported in Table 4.1 carries diagnostic value in its own right. The two modes do not disagree uniformly across the five sub-scores, and identifying</w:t>
      </w:r>
      <w:r>
        <w:t xml:space="preserve"> </w:t>
      </w:r>
      <w:r>
        <w:rPr>
          <w:i/>
          <w:iCs/>
        </w:rPr>
        <w:t xml:space="preserve">which</w:t>
      </w:r>
      <w:r>
        <w:t xml:space="preserve"> </w:t>
      </w:r>
      <w:r>
        <w:t xml:space="preserve">sub-scores converge tells the operator where the deterministic baseline is already sufficient, while identifying</w:t>
      </w:r>
      <w:r>
        <w:t xml:space="preserve"> </w:t>
      </w:r>
      <w:r>
        <w:rPr>
          <w:i/>
          <w:iCs/>
        </w:rPr>
        <w:t xml:space="preserve">which</w:t>
      </w:r>
      <w:r>
        <w:t xml:space="preserve"> </w:t>
      </w:r>
      <w:r>
        <w:t xml:space="preserve">sub-scores diverge points to the dimensions on which the language-model component is contributing evidence the heuristic cannot see. This per-axis view is — independently of the specific numerical result — the cleanest empirical argument the chapter offers for keeping the blended mode available in production even where the heuristic baseline turns out to be competitive on the aggregate score.</w:t>
      </w:r>
    </w:p>
    <w:p>
      <w:pPr>
        <w:pStyle w:val="BodyText"/>
      </w:pPr>
      <w:r>
        <w:t xml:space="preserve">The next chapter summarises the contributions of the thesis and proposes three directions for future development.</w:t>
      </w:r>
    </w:p>
    <w:bookmarkEnd w:id="103"/>
    <w:bookmarkEnd w:id="104"/>
    <w:bookmarkStart w:id="108" w:name="chapter-5-conclusions"/>
    <w:p>
      <w:pPr>
        <w:pStyle w:val="Heading1"/>
        <w:pageBreakBefore/>
        <w:spacing w:before="0" w:after="240"/>
      </w:pPr>
      <w:r>
        <w:rPr>
          <w:b/>
          <w:i w:val="0"/>
          <w:sz w:val="36"/>
        </w:rPr>
        <w:t xml:space="preserve">Chapter 5 — Conclusions</w:t>
      </w:r>
    </w:p>
    <w:p>
      <w:pPr>
        <w:pStyle w:val="FirstParagraph"/>
      </w:pPr>
      <w:r>
        <w:t xml:space="preserve">This thesis presented the design, implementation, and empirical evaluation of a system for personalised career recommendation, scoped as a Bachelor-level engineering thesis at the Faculty of Electronics, Photonics and Microsystems of Wrocław University of Science and Technology.</w:t>
      </w:r>
    </w:p>
    <w:bookmarkStart w:id="105" w:name="results-1"/>
    <w:p>
      <w:pPr>
        <w:pStyle w:val="Heading2"/>
      </w:pPr>
      <w:r>
        <w:rPr>
          <w:b/>
          <w:i w:val="0"/>
          <w:sz w:val="28"/>
        </w:rPr>
        <w:t xml:space="preserve">5.1 Results</w:t>
      </w:r>
    </w:p>
    <w:p>
      <w:pPr>
        <w:pStyle w:val="FirstParagraph"/>
      </w:pPr>
      <w:r>
        <w:t xml:space="preserve">Three results were obtained.</w:t>
      </w:r>
    </w:p>
    <w:p>
      <w:pPr>
        <w:pStyle w:val="BodyText"/>
      </w:pPr>
      <w:r>
        <w:rPr>
          <w:b/>
          <w:bCs/>
        </w:rPr>
        <w:t xml:space="preserve">A deployed integrated system.</w:t>
      </w:r>
      <w:r>
        <w:t xml:space="preserve"> </w:t>
      </w:r>
      <w:r>
        <w:t xml:space="preserve">The system, deployed on Railway as a single application surface, integrates six analytical and generative tools — Resume Analyzer, Job Match, Career Path, Cover Letter, Interview Q&amp;A, and Portfolio Planner — around a single shared representation of the candidate’s resume. Chapter 2 documented the architecture, and Chapter 3 documented each of the six tools and the cross-cutting pipeline that they share. The system is operable from a laptop, demonstrable to an external reviewer without specialised tooling, and supports both authenticated user accounts and unauthenticated guest demonstrations.</w:t>
      </w:r>
    </w:p>
    <w:p>
      <w:pPr>
        <w:pStyle w:val="BodyText"/>
      </w:pPr>
      <w:r>
        <w:rPr>
          <w:b/>
          <w:bCs/>
        </w:rPr>
        <w:t xml:space="preserve">A defendable heuristic baseline.</w:t>
      </w:r>
      <w:r>
        <w:t xml:space="preserve"> </w:t>
      </w:r>
      <w:r>
        <w:t xml:space="preserve">Chapter 4 introduced the</w:t>
      </w:r>
      <w:r>
        <w:t xml:space="preserve"> </w:t>
      </w:r>
      <w:r>
        <w:rPr>
          <w:i/>
          <w:iCs/>
        </w:rPr>
        <w:t xml:space="preserve">strong heuristic v2</w:t>
      </w:r>
      <w:r>
        <w:t xml:space="preserve">, a scoring pipeline whose individual components draw on published information-retrieval methods — TF–IDF–weighted keyword evidence and BM25 ranking [5, 6], ESCO-aligned skill normalisation [8, 9, 12], Levenshtein-based fuzzy matching [7] — combined with author-designed scoring formulas (section-weighted feature extraction with recruiter-side scanning informing the weight ordering, quantification regex with logarithmic saturation, and an action-verb dictionary aggregated from established career-services resources at Harvard FAS, MIT, and Princeton). The score-combination weights are author-selected and validated through the sensitivity analysis reported in Chapter 4.3.5 rather than through external survey citation. By construction, the heuristic is strictly non-neural, so the line between</w:t>
      </w:r>
      <w:r>
        <w:t xml:space="preserve"> </w:t>
      </w:r>
      <w:r>
        <w:rPr>
          <w:i/>
          <w:iCs/>
        </w:rPr>
        <w:t xml:space="preserve">heuristic</w:t>
      </w:r>
      <w:r>
        <w:t xml:space="preserve"> </w:t>
      </w:r>
      <w:r>
        <w:t xml:space="preserve">and</w:t>
      </w:r>
      <w:r>
        <w:t xml:space="preserve"> </w:t>
      </w:r>
      <w:r>
        <w:rPr>
          <w:i/>
          <w:iCs/>
        </w:rPr>
        <w:t xml:space="preserve">language-model</w:t>
      </w:r>
      <w:r>
        <w:t xml:space="preserve"> </w:t>
      </w:r>
      <w:r>
        <w:t xml:space="preserve">in the comparative study remains clean.</w:t>
      </w:r>
    </w:p>
    <w:p>
      <w:pPr>
        <w:pStyle w:val="BodyText"/>
      </w:pPr>
      <w:r>
        <w:rPr>
          <w:b/>
          <w:bCs/>
        </w:rPr>
        <w:t xml:space="preserve">A characterisation of the heuristic-versus-blended trade-off.</w:t>
      </w:r>
      <w:r>
        <w:t xml:space="preserve"> </w:t>
      </w:r>
      <w:r>
        <w:t xml:space="preserve">Section 4.3 reported four metric families measured across 100 (resume, job-description) pairs. On the overall score the heuristic mode tracks the blended mode at Pearson</w:t>
      </w:r>
      <w:r>
        <w:t xml:space="preserve"> </w:t>
      </w:r>
      <w:r>
        <w:rPr>
          <w:i/>
          <w:iCs/>
        </w:rPr>
        <w:t xml:space="preserve">r</w:t>
      </w:r>
      <w:r>
        <w:t xml:space="preserve"> </w:t>
      </w:r>
      <w:r>
        <w:t xml:space="preserve">= 0.727 and Spearman ρ = 0.708, both above the 0.7 reference threshold, while running roughly two orders of magnitude faster (median 36.5 ms versus 17.3 s) at zero LLM-side marginal cost. The agreement is dominated by the</w:t>
      </w:r>
      <w:r>
        <w:t xml:space="preserve"> </w:t>
      </w:r>
      <w:r>
        <w:rPr>
          <w:i/>
          <w:iCs/>
        </w:rPr>
        <w:t xml:space="preserve">keywords</w:t>
      </w:r>
      <w:r>
        <w:t xml:space="preserve"> </w:t>
      </w:r>
      <w:r>
        <w:t xml:space="preserve">axis (</w:t>
      </w:r>
      <w:r>
        <w:rPr>
          <w:i/>
          <w:iCs/>
        </w:rPr>
        <w:t xml:space="preserve">r</w:t>
      </w:r>
      <w:r>
        <w:t xml:space="preserve"> </w:t>
      </w:r>
      <w:r>
        <w:t xml:space="preserve">= 0.941), where both modes consume the same evidence, and is weakest on the</w:t>
      </w:r>
      <w:r>
        <w:t xml:space="preserve"> </w:t>
      </w:r>
      <w:r>
        <w:rPr>
          <w:i/>
          <w:iCs/>
        </w:rPr>
        <w:t xml:space="preserve">clarity</w:t>
      </w:r>
      <w:r>
        <w:t xml:space="preserve"> </w:t>
      </w:r>
      <w:r>
        <w:t xml:space="preserve">axis (</w:t>
      </w:r>
      <w:r>
        <w:rPr>
          <w:i/>
          <w:iCs/>
        </w:rPr>
        <w:t xml:space="preserve">r</w:t>
      </w:r>
      <w:r>
        <w:t xml:space="preserve"> </w:t>
      </w:r>
      <w:r>
        <w:t xml:space="preserve">= 0.475), where the language model contributes prose-quality evidence the heuristic does not see. Independently of the aggregate numbers, the blended mode produces qualitatively richer prose recommendations that the heuristic does not attempt to produce; this qualitative dimension is reserved for separate user-research investigation.</w:t>
      </w:r>
    </w:p>
    <w:p>
      <w:pPr>
        <w:pStyle w:val="BodyText"/>
      </w:pPr>
      <w:r>
        <w:t xml:space="preserve">With the benefit of hindsight, the single decision the author would change is the order in which the tools were built. The first months of work went into the Resume Analyzer and the Job Match tool, each shipped as a self-contained pipeline with its own cache, its own persistence call, and its own observability boilerplate copy-pasted from the other. Only after the third tool joined the system did the duplication become painful enough to motivate the shared</w:t>
      </w:r>
      <w:r>
        <w:t xml:space="preserve"> </w:t>
      </w:r>
      <w:r>
        <w:rPr>
          <w:rStyle w:val="VerbatimChar"/>
        </w:rPr>
        <w:t xml:space="preserve">run_tool_pipeline</w:t>
      </w:r>
      <w:r>
        <w:t xml:space="preserve"> </w:t>
      </w:r>
      <w:r>
        <w:t xml:space="preserve">refactor. A more disciplined approach would have written the pipeline first and built the first tool against it, even at the cost of a slightly slower start; a meaningful fraction of the early bugs in this project turned out to be variations on the same forgotten cache-key argument across three nearly-identical service modules.</w:t>
      </w:r>
    </w:p>
    <w:bookmarkEnd w:id="105"/>
    <w:bookmarkStart w:id="106" w:name="limitations"/>
    <w:p>
      <w:pPr>
        <w:pStyle w:val="Heading2"/>
      </w:pPr>
      <w:r>
        <w:rPr>
          <w:b/>
          <w:i w:val="0"/>
          <w:sz w:val="28"/>
        </w:rPr>
        <w:t xml:space="preserve">5.2 Limitations</w:t>
      </w:r>
    </w:p>
    <w:p>
      <w:pPr>
        <w:pStyle w:val="FirstParagraph"/>
      </w:pPr>
      <w:r>
        <w:t xml:space="preserve">Three limitations of the work were stated in Chapter 4 and are repeated here for completeness.</w:t>
      </w:r>
    </w:p>
    <w:p>
      <w:pPr>
        <w:pStyle w:val="BodyText"/>
      </w:pPr>
      <w:r>
        <w:t xml:space="preserve">The evaluation set is</w:t>
      </w:r>
      <w:r>
        <w:t xml:space="preserve"> </w:t>
      </w:r>
      <w:r>
        <w:rPr>
          <w:b/>
          <w:bCs/>
        </w:rPr>
        <w:t xml:space="preserve">single-language</w:t>
      </w:r>
      <w:r>
        <w:t xml:space="preserve"> </w:t>
      </w:r>
      <w:r>
        <w:t xml:space="preserve">(English) and</w:t>
      </w:r>
      <w:r>
        <w:t xml:space="preserve"> </w:t>
      </w:r>
      <w:r>
        <w:rPr>
          <w:b/>
          <w:bCs/>
        </w:rPr>
        <w:t xml:space="preserve">single-author</w:t>
      </w:r>
      <w:r>
        <w:t xml:space="preserve"> </w:t>
      </w:r>
      <w:r>
        <w:t xml:space="preserve">(one author synthesised all 30 resumes), so the empirical claim of Section 4.3 should be read as a within-author baseline rather than a cross-population conclusion. The blended mode uses a</w:t>
      </w:r>
      <w:r>
        <w:t xml:space="preserve"> </w:t>
      </w:r>
      <w:r>
        <w:rPr>
          <w:b/>
          <w:bCs/>
        </w:rPr>
        <w:t xml:space="preserve">single LLM provider</w:t>
      </w:r>
      <w:r>
        <w:t xml:space="preserve"> </w:t>
      </w:r>
      <w:r>
        <w:t xml:space="preserve">(Google Vertex AI Gemini 2.5 Flash), so the comparative result does not generalise across LLM choices without further measurement.</w:t>
      </w:r>
    </w:p>
    <w:p>
      <w:pPr>
        <w:pStyle w:val="BodyText"/>
      </w:pPr>
      <w:r>
        <w:t xml:space="preserve">A fourth limitation is operational rather than methodological: the in-memory result cache (Chapter 3.1.5) is not shared between processes, which is acceptable at thesis-scope traffic but would not be at production scale. Migration to Redis is documented in Section 5.3 below.</w:t>
      </w:r>
    </w:p>
    <w:p>
      <w:pPr>
        <w:pStyle w:val="BodyText"/>
      </w:pPr>
      <w:r>
        <w:t xml:space="preserve">A fifth, methodologically distinct limitation is that the system is currently a</w:t>
      </w:r>
      <w:r>
        <w:t xml:space="preserve"> </w:t>
      </w:r>
      <w:r>
        <w:rPr>
          <w:i/>
          <w:iCs/>
        </w:rPr>
        <w:t xml:space="preserve">thesis demonstration mode</w:t>
      </w:r>
      <w:r>
        <w:t xml:space="preserve"> </w:t>
      </w:r>
      <w:r>
        <w:t xml:space="preserve">rather than a sustainable commercial product. All six tools are fully accessible without an advertisement gate or a premium subscription. The hybrid monetisation strategy outlined in the project’s specification document (</w:t>
      </w:r>
      <w:r>
        <w:rPr>
          <w:rStyle w:val="VerbatimChar"/>
        </w:rPr>
        <w:t xml:space="preserve">docs/spec.md</w:t>
      </w:r>
      <w:r>
        <w:t xml:space="preserve">) is intentionally deferred to a post-thesis V1.1 release; this thesis does not address economic-viability questions beyond the per-call cost numbers reported in Section 4.3.4.</w:t>
      </w:r>
    </w:p>
    <w:p>
      <w:pPr>
        <w:pStyle w:val="BodyText"/>
      </w:pPr>
      <w:r>
        <w:t xml:space="preserve">A sixth limitation is a deliberate scope reduction relative to the approved topic application. The application objective lists</w:t>
      </w:r>
      <w:r>
        <w:t xml:space="preserve"> </w:t>
      </w:r>
      <w:r>
        <w:t xml:space="preserve">“skills, experience and</w:t>
      </w:r>
      <w:r>
        <w:t xml:space="preserve"> </w:t>
      </w:r>
      <w:r>
        <w:rPr>
          <w:i/>
          <w:iCs/>
        </w:rPr>
        <w:t xml:space="preserve">current job-market trends</w:t>
      </w:r>
      <w:r>
        <w:t xml:space="preserve">”</w:t>
      </w:r>
      <w:r>
        <w:t xml:space="preserve"> </w:t>
      </w:r>
      <w:r>
        <w:t xml:space="preserve">as the three input dimensions of the recommendation problem; the system implemented in this thesis incorporates the first two but does not model temporal job-market trend signals (for example, posting-frequency shifts of skills or roles, or hiring-rate dynamics by region). The career-recommendation, job-matching, and portfolio-planning tools therefore reason over the static representation of the candidate against an instantaneous representation of each job description, without a market-trend overlay. Extending the system with a trend-aware ranking layer is recorded as future work in Section 5.3.</w:t>
      </w:r>
    </w:p>
    <w:bookmarkEnd w:id="106"/>
    <w:bookmarkStart w:id="107" w:name="future-development"/>
    <w:p>
      <w:pPr>
        <w:pStyle w:val="Heading2"/>
      </w:pPr>
      <w:r>
        <w:rPr>
          <w:b/>
          <w:i w:val="0"/>
          <w:sz w:val="28"/>
        </w:rPr>
        <w:t xml:space="preserve">5.3 Future development</w:t>
      </w:r>
    </w:p>
    <w:p>
      <w:pPr>
        <w:pStyle w:val="FirstParagraph"/>
      </w:pPr>
      <w:r>
        <w:t xml:space="preserve">Three directions for future work follow naturally from the limitations and from the architecture described in Chapter 2.</w:t>
      </w:r>
    </w:p>
    <w:p>
      <w:pPr>
        <w:pStyle w:val="BodyText"/>
      </w:pPr>
      <w:r>
        <w:rPr>
          <w:b/>
          <w:bCs/>
        </w:rPr>
        <w:t xml:space="preserve">Polish-language coverage.</w:t>
      </w:r>
      <w:r>
        <w:t xml:space="preserve"> </w:t>
      </w:r>
      <w:r>
        <w:t xml:space="preserve">The ESCO knowledge base used in the strong heuristic is published as a multilingual resource by the European Commission [17]. The current bundled subset uses only the English labels. Adding the Polish labels — and updating the resume parser, the keyword extractor, and the prompt builders to handle Polish text — would expand the system’s relevance to its primary geographic context. The architectural change required is contained: a new pre-processing step in</w:t>
      </w:r>
      <w:r>
        <w:t xml:space="preserve"> </w:t>
      </w:r>
      <w:r>
        <w:rPr>
          <w:rStyle w:val="VerbatimChar"/>
        </w:rPr>
        <w:t xml:space="preserve">app/services/quality_signals_v2.py</w:t>
      </w:r>
      <w:r>
        <w:t xml:space="preserve">, a new prompt-locale branch, and an additional language-detection stage in the input sanitiser.</w:t>
      </w:r>
    </w:p>
    <w:p>
      <w:pPr>
        <w:pStyle w:val="BodyText"/>
      </w:pPr>
      <w:r>
        <w:rPr>
          <w:b/>
          <w:bCs/>
        </w:rPr>
        <w:t xml:space="preserve">Sentence-transformer intermediate tier.</w:t>
      </w:r>
      <w:r>
        <w:t xml:space="preserve"> </w:t>
      </w:r>
      <w:r>
        <w:t xml:space="preserve">Between the strict classical-IR heuristic and the language-model blended mode, a third option exists: a sentence-transformer–based semantic-matching tier, using a lightweight model such as</w:t>
      </w:r>
      <w:r>
        <w:t xml:space="preserve"> </w:t>
      </w:r>
      <w:r>
        <w:rPr>
          <w:rStyle w:val="VerbatimChar"/>
        </w:rPr>
        <w:t xml:space="preserve">all-MiniLM-L6-v2</w:t>
      </w:r>
      <w:r>
        <w:t xml:space="preserve"> </w:t>
      </w:r>
      <w:r>
        <w:t xml:space="preserve">to compute resume–job cosine similarity directly. Recent research [20, 18, 21] has demonstrated that sentence-BERT–style embeddings outperform classical retrieval baselines on semantic-matching tasks while remaining one to two orders of magnitude faster than full-sized LLM inference and free of per-call third-party charges. The Stage H ablation reported in Section 4.3.6 of the present thesis probed exactly this question on the synthetic evaluation set: an SBERT semantic-fallback layer was implemented inside a</w:t>
      </w:r>
      <w:r>
        <w:t xml:space="preserve"> </w:t>
      </w:r>
      <w:r>
        <w:rPr>
          <w:rStyle w:val="VerbatimChar"/>
        </w:rPr>
        <w:t xml:space="preserve">quality_signals_v3</w:t>
      </w:r>
      <w:r>
        <w:t xml:space="preserve"> </w:t>
      </w:r>
      <w:r>
        <w:t xml:space="preserve">ablation module alongside four other classical-IR enhancements (STAR-format detection, cross-axis coherence, n-gram phrase matching, and a 107 → 354 ESCO taxonomy expansion), and the per-variant Pearson correlation against the post-hoc-recovered LLM-only baseline was measured for each. The result is a controlled null with a small drift across single-feature variants: deltas span +0.002 (n-gram phrase matching) to −0.022 (cross-axis coherence) — none of them statistically distinguishable from zero given the ±0.15 half-width of the cluster-bootstrap CI on the 100-pair set — and the SBERT-only variant in particular sits at</w:t>
      </w:r>
      <w:r>
        <w:t xml:space="preserve"> </w:t>
      </w:r>
      <w:r>
        <w:rPr>
          <w:i/>
          <w:iCs/>
        </w:rPr>
        <w:t xml:space="preserve">r</w:t>
      </w:r>
      <w:r>
        <w:t xml:space="preserve"> </w:t>
      </w:r>
      <w:r>
        <w:t xml:space="preserve">= 0.623 (Δ = −0.004 vs the</w:t>
      </w:r>
      <w:r>
        <w:t xml:space="preserve"> </w:t>
      </w:r>
      <w:r>
        <w:rPr>
          <w:i/>
          <w:iCs/>
        </w:rPr>
        <w:t xml:space="preserve">r</w:t>
      </w:r>
      <w:r>
        <w:t xml:space="preserve"> </w:t>
      </w:r>
      <w:r>
        <w:t xml:space="preserve">= 0.627 v2 baseline). The honest reading is that the residual cross-mode gap is not driven by deficiencies of the keyword-matching layer that an embedding model would close, but by prose-quality and role-fit reasoning that the language model accesses and that classical-IR enhancements of this class do not, on this evaluation set. Promoting the SBERT tier from an ablation cell to a deployed intermediate tier therefore remains future work, but the case for it is now contingent on a different evaluation surface — for example, real-world resume and job-description data with prose-quality variation that the synthetic-template construction suppresses — rather than on an open technical question about whether the technique works on the comparative-study benchmark reported here.</w:t>
      </w:r>
    </w:p>
    <w:p>
      <w:pPr>
        <w:pStyle w:val="BodyText"/>
      </w:pPr>
      <w:r>
        <w:rPr>
          <w:b/>
          <w:bCs/>
        </w:rPr>
        <w:t xml:space="preserve">Validity-threat closure that has already happened.</w:t>
      </w:r>
      <w:r>
        <w:t xml:space="preserve"> </w:t>
      </w:r>
      <w:r>
        <w:t xml:space="preserve">Three measurements that the original Stage F draft of this chapter listed as future work have since been completed in the Stage G+ APD-round revision and are now reported inline in Chapter 4. The</w:t>
      </w:r>
      <w:r>
        <w:t xml:space="preserve"> </w:t>
      </w:r>
      <w:r>
        <w:rPr>
          <w:i/>
          <w:iCs/>
        </w:rPr>
        <w:t xml:space="preserve">LLM-only baseline</w:t>
      </w:r>
      <w:r>
        <w:t xml:space="preserve"> </w:t>
      </w:r>
      <w:r>
        <w:t xml:space="preserve">per pair, recovered post-hoc from the locked-payload identity rather than from a second LLM rerun, is reported in Section 4.3.1’ and addresses threat T2 of Section 4.1.4 (</w:t>
      </w:r>
      <w:r>
        <w:rPr>
          <w:i/>
          <w:iCs/>
        </w:rPr>
        <w:t xml:space="preserve">r</w:t>
      </w:r>
      <w:r>
        <w:t xml:space="preserve"> </w:t>
      </w:r>
      <w:r>
        <w:t xml:space="preserve">(LLM-only, heuristic) = 0.627 [95% CI 0.476, 0.765]). The</w:t>
      </w:r>
      <w:r>
        <w:t xml:space="preserve"> </w:t>
      </w:r>
      <w:r>
        <w:rPr>
          <w:i/>
          <w:iCs/>
        </w:rPr>
        <w:t xml:space="preserve">vocabulary-disjoint regeneration of the synthetic benchmark</w:t>
      </w:r>
      <w:r>
        <w:t xml:space="preserve"> </w:t>
      </w:r>
      <w:r>
        <w:t xml:space="preserve">— under which the resume side and the job-description side draw from non-overlapping phrase pools by construction, with the per-pair content-token overlap audited at zero pairs above the &gt;3-token threshold — is the dataset on which every number in Section 4.3 is computed and addresses T1. The</w:t>
      </w:r>
      <w:r>
        <w:t xml:space="preserve"> </w:t>
      </w:r>
      <w:r>
        <w:rPr>
          <w:i/>
          <w:iCs/>
        </w:rPr>
        <w:t xml:space="preserve">by-resume cluster-bootstrap confidence intervals</w:t>
      </w:r>
      <w:r>
        <w:t xml:space="preserve"> </w:t>
      </w:r>
      <w:r>
        <w:t xml:space="preserve">for all headline correlations, computed by resampling resume identifiers with replacement (</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2 000 resamples, seed = 42), are reported alongside the point estimates in Sections 4.3.1 and 4.3.1’ and address T3. The three closures together support the</w:t>
      </w:r>
      <w:r>
        <w:t xml:space="preserve"> </w:t>
      </w:r>
      <w:r>
        <w:rPr>
          <w:i/>
          <w:iCs/>
        </w:rPr>
        <w:t xml:space="preserve">strong agreement</w:t>
      </w:r>
      <w:r>
        <w:t xml:space="preserve"> </w:t>
      </w:r>
      <w:r>
        <w:t xml:space="preserve">characterisation in Section 4.4 in place of the weaker</w:t>
      </w:r>
      <w:r>
        <w:t xml:space="preserve"> </w:t>
      </w:r>
      <w:r>
        <w:rPr>
          <w:i/>
          <w:iCs/>
        </w:rPr>
        <w:t xml:space="preserve">moderate-to-useful</w:t>
      </w:r>
      <w:r>
        <w:t xml:space="preserve"> </w:t>
      </w:r>
      <w:r>
        <w:t xml:space="preserve">phrasing the leakage-version draft supported.</w:t>
      </w:r>
    </w:p>
    <w:p>
      <w:pPr>
        <w:pStyle w:val="BodyText"/>
      </w:pPr>
      <w:r>
        <w:rPr>
          <w:b/>
          <w:bCs/>
        </w:rPr>
        <w:t xml:space="preserve">Retrieval-augmented variant of the blended mode.</w:t>
      </w:r>
      <w:r>
        <w:t xml:space="preserve"> </w:t>
      </w:r>
      <w:r>
        <w:t xml:space="preserve">The blended mode currently passes the resume and the job description directly into the language-model prompt. A retrieval-augmented variant [25] would, before each call, retrieve a small set of curated, source-attributed labour-market documents — recent salary surveys, role-progression standards, ESCO occupation descriptions — and inject them into the prompt as authoritative grounding. This would address one of the recurring criticisms of LLM-based career advice: that the model’s output is opinionated but not source-attributed. The architecture supports this extension as an additional pre-LLM stage in the existing pipeline, without changes to the persistence model or the response contracts.</w:t>
      </w:r>
    </w:p>
    <w:p>
      <w:pPr>
        <w:pStyle w:val="BodyText"/>
      </w:pPr>
      <w:r>
        <w:t xml:space="preserve">A fourth, smaller direction is the migration of the in-memory result cache to Redis, which is well-understood operationally and would unlock cross-process cache sharing once the deployment grows beyond a single backend instance. This is documented in</w:t>
      </w:r>
      <w:r>
        <w:t xml:space="preserve"> </w:t>
      </w:r>
      <w:r>
        <w:rPr>
          <w:rStyle w:val="VerbatimChar"/>
        </w:rPr>
        <w:t xml:space="preserve">docs/spec.md</w:t>
      </w:r>
      <w:r>
        <w:t xml:space="preserve"> </w:t>
      </w:r>
      <w:r>
        <w:t xml:space="preserve">as a V1.1 item.</w:t>
      </w:r>
    </w:p>
    <w:p>
      <w:pPr>
        <w:pStyle w:val="BodyText"/>
      </w:pPr>
      <w:r>
        <w:t xml:space="preserve">Among the three future-work directions, no single ranking holds across all the criteria that would matter. The sentence-transformer intermediate tier is the most technically</w:t>
      </w:r>
      <w:r>
        <w:t xml:space="preserve"> </w:t>
      </w:r>
      <w:r>
        <w:rPr>
          <w:i/>
          <w:iCs/>
        </w:rPr>
        <w:t xml:space="preserve">probed</w:t>
      </w:r>
      <w:r>
        <w:t xml:space="preserve"> </w:t>
      </w:r>
      <w:r>
        <w:t xml:space="preserve">of the three — Stage H of this thesis (Section 4.3.6) implemented an SBERT semantic-fallback layer alongside four other classical-IR enhancements and reported a controlled null on the synthetic evaluation set, with the SBERT-only variant at</w:t>
      </w:r>
      <w:r>
        <w:t xml:space="preserve"> </w:t>
      </w:r>
      <w:r>
        <w:rPr>
          <w:i/>
          <w:iCs/>
        </w:rPr>
        <w:t xml:space="preserve">r</w:t>
      </w:r>
      <w:r>
        <w:t xml:space="preserve"> </w:t>
      </w:r>
      <w:r>
        <w:t xml:space="preserve">= 0.623 (Δ = −0.004) and the full-stack v3 configuration at</w:t>
      </w:r>
      <w:r>
        <w:t xml:space="preserve"> </w:t>
      </w:r>
      <w:r>
        <w:rPr>
          <w:i/>
          <w:iCs/>
        </w:rPr>
        <w:t xml:space="preserve">r</w:t>
      </w:r>
      <w:r>
        <w:t xml:space="preserve"> </w:t>
      </w:r>
      <w:r>
        <w:t xml:space="preserve">= 0.590 (Δ = −0.036), all comfortably inside the ±0.15 half-width of the cluster-bootstrap noise band on the 100-pair set. The case for promoting the SBERT tier from an ablation cell to a deployed component therefore rests on a different evaluation surface than the comparative-study benchmark of Chapter 4 — likely a real-world resume and job-description corpus with prose-quality variation that the synthetic templates suppress. The retrieval-augmented blended mode is the most product-relevant of the three because the most consistent informal feedback on the deployed system has been a request for source attribution behind the recommendations. The Polish-language extension is the most regionally concrete one and would benefit from a native-Polish collaborator rather than from a single-author execution. Which of the three becomes the next deliverable depends on whether the project continues as a personal study, transitions into a paid product, or feeds into a future Master’s-level extension.</w:t>
      </w:r>
    </w:p>
    <w:p>
      <w:pPr>
        <w:pStyle w:val="BodyText"/>
      </w:pPr>
      <w:r>
        <w:t xml:space="preserve">The contributions of the thesis are an integrated, deployed system that brings six career tools together around a single resume representation, a defendable strictly-non-neural heuristic baseline, and an empirical characterisation of how that baseline compares to a language-model-augmented mode on score agreement, latency, and cost — within the synthetic evaluation set described in Chapter 4. The deployment is live at the time of submission and the administrative scoring-mode endpoint introduced in Chapter 4.2.9 is operable for live demonstration during the diploma defence.</w:t>
      </w:r>
    </w:p>
    <w:bookmarkEnd w:id="107"/>
    <w:bookmarkEnd w:id="108"/>
    <w:bookmarkStart w:id="119" w:name="bibliography"/>
    <w:p>
      <w:pPr>
        <w:pStyle w:val="Heading1"/>
        <w:pageBreakBefore/>
        <w:spacing w:before="0" w:after="240"/>
      </w:pPr>
      <w:r>
        <w:rPr>
          <w:b/>
          <w:i w:val="0"/>
          <w:sz w:val="36"/>
        </w:rPr>
        <w:t xml:space="preserve">Bibliography</w:t>
      </w:r>
    </w:p>
    <w:bookmarkStart w:id="109" w:name="Xe524d447c5cf25a4d8e2fc35a266a2d3c4bfbe5"/>
    <w:p>
      <w:pPr>
        <w:pStyle w:val="Heading2"/>
        <w:ind w:left="720" w:hanging="720"/>
      </w:pPr>
      <w:r>
        <w:rPr>
          <w:b/>
          <w:i w:val="0"/>
          <w:sz w:val="28"/>
        </w:rPr>
        <w:t xml:space="preserve">1. Foundational AI for organisational decision-making</w:t>
      </w:r>
    </w:p>
    <w:p>
      <w:pPr>
        <w:pStyle w:val="FirstParagraph"/>
        <w:ind w:left="720" w:hanging="720"/>
      </w:pPr>
      <w:r>
        <w:t xml:space="preserve">[1] M. Stone, E. Aravopoulou, Y. Ekinci, G. Evans, M. Hobbs, A. Labib, P. Laughlin, J. Machtynger, and L. Machtynger,</w:t>
      </w:r>
      <w:r>
        <w:t xml:space="preserve"> </w:t>
      </w:r>
      <w:r>
        <w:t xml:space="preserve">“Artificial intelligence (AI) in strategic marketing decision-making: a research agenda,”</w:t>
      </w:r>
      <w:r>
        <w:t xml:space="preserve"> </w:t>
      </w:r>
      <w:r>
        <w:rPr>
          <w:i/>
          <w:iCs/>
        </w:rPr>
        <w:t xml:space="preserve">The Bottom Line</w:t>
      </w:r>
      <w:r>
        <w:t xml:space="preserve">, vol. 33, no. 2, pp. 183–200, 2020. https://doi.org/10.1108/BL-03-2020-0022</w:t>
      </w:r>
    </w:p>
    <w:p>
      <w:pPr>
        <w:pStyle w:val="BodyText"/>
        <w:ind w:left="720" w:hanging="720"/>
      </w:pPr>
      <w:r>
        <w:t xml:space="preserve">[2] S. Gupta, S. Modgil, S. Bhattacharyya,</w:t>
      </w:r>
      <w:r>
        <w:t xml:space="preserve"> </w:t>
      </w:r>
      <w:r>
        <w:rPr>
          <w:i/>
          <w:iCs/>
        </w:rPr>
        <w:t xml:space="preserve">et al.</w:t>
      </w:r>
      <w:r>
        <w:t xml:space="preserve">,</w:t>
      </w:r>
      <w:r>
        <w:t xml:space="preserve"> </w:t>
      </w:r>
      <w:r>
        <w:t xml:space="preserve">“Artificial intelligence for decision support systems in the field of operations research: review and future scope of research,”</w:t>
      </w:r>
      <w:r>
        <w:t xml:space="preserve"> </w:t>
      </w:r>
      <w:r>
        <w:rPr>
          <w:i/>
          <w:iCs/>
        </w:rPr>
        <w:t xml:space="preserve">Annals of Operations Research</w:t>
      </w:r>
      <w:r>
        <w:t xml:space="preserve">, vol. 308, pp. 215–274, 2022. https://doi.org/10.1007/s10479-020-03856-6</w:t>
      </w:r>
    </w:p>
    <w:p>
      <w:pPr>
        <w:pStyle w:val="BodyText"/>
        <w:ind w:left="720" w:hanging="720"/>
      </w:pPr>
      <w:r>
        <w:t xml:space="preserve">[3] A. M. Rahmani, B. Rezazadeh, M. Haghparast, W.-C. Chang, and S. G. Ting,</w:t>
      </w:r>
      <w:r>
        <w:t xml:space="preserve"> </w:t>
      </w:r>
      <w:r>
        <w:t xml:space="preserve">“Applications of artificial intelligence in the economy, including applications in stock trading, market analysis, and risk management,”</w:t>
      </w:r>
      <w:r>
        <w:t xml:space="preserve"> </w:t>
      </w:r>
      <w:r>
        <w:rPr>
          <w:i/>
          <w:iCs/>
        </w:rPr>
        <w:t xml:space="preserve">IEEE Access</w:t>
      </w:r>
      <w:r>
        <w:t xml:space="preserve">, vol. 11, pp. 80769–80793, 2023. https://doi.org/10.1109/ACCESS.2023.3300036</w:t>
      </w:r>
    </w:p>
    <w:p>
      <w:pPr>
        <w:pStyle w:val="BodyText"/>
        <w:ind w:left="720" w:hanging="720"/>
      </w:pPr>
      <w:r>
        <w:t xml:space="preserve">[4] Y. Kang, Z. Cai, C. W. Tan, Q. Huang, and H. Liu,</w:t>
      </w:r>
      <w:r>
        <w:t xml:space="preserve"> </w:t>
      </w:r>
      <w:r>
        <w:t xml:space="preserve">“Natural language processing (NLP) in management research: A literature review,”</w:t>
      </w:r>
      <w:r>
        <w:t xml:space="preserve"> </w:t>
      </w:r>
      <w:r>
        <w:rPr>
          <w:i/>
          <w:iCs/>
        </w:rPr>
        <w:t xml:space="preserve">Journal of Management Analytics</w:t>
      </w:r>
      <w:r>
        <w:t xml:space="preserve">, vol. 7, no. 2, pp. 139–172, 2020. https://doi.org/10.1080/23270012.2020.1756939</w:t>
      </w:r>
    </w:p>
    <w:bookmarkEnd w:id="109"/>
    <w:bookmarkStart w:id="110" w:name="foundational-information-retrieval"/>
    <w:p>
      <w:pPr>
        <w:pStyle w:val="Heading2"/>
        <w:ind w:left="720" w:hanging="720"/>
      </w:pPr>
      <w:r>
        <w:rPr>
          <w:b/>
          <w:i w:val="0"/>
          <w:sz w:val="28"/>
        </w:rPr>
        <w:t xml:space="preserve">2. Foundational information retrieval</w:t>
      </w:r>
    </w:p>
    <w:p>
      <w:pPr>
        <w:pStyle w:val="FirstParagraph"/>
        <w:ind w:left="720" w:hanging="720"/>
      </w:pPr>
      <w:r>
        <w:t xml:space="preserve">[5] G. Salton and M. J. McGill,</w:t>
      </w:r>
      <w:r>
        <w:t xml:space="preserve"> </w:t>
      </w:r>
      <w:r>
        <w:rPr>
          <w:i/>
          <w:iCs/>
        </w:rPr>
        <w:t xml:space="preserve">Introduction to modern information retrieval</w:t>
      </w:r>
      <w:r>
        <w:t xml:space="preserve">. New York: McGraw-Hill, 1983.</w:t>
      </w:r>
    </w:p>
    <w:p>
      <w:pPr>
        <w:pStyle w:val="BodyText"/>
        <w:ind w:left="720" w:hanging="720"/>
      </w:pPr>
      <w:r>
        <w:t xml:space="preserve">[6] S. Robertson and H. Zaragoza,</w:t>
      </w:r>
      <w:r>
        <w:t xml:space="preserve"> </w:t>
      </w:r>
      <w:r>
        <w:t xml:space="preserve">“The probabilistic relevance framework: BM25 and beyond,”</w:t>
      </w:r>
      <w:r>
        <w:t xml:space="preserve"> </w:t>
      </w:r>
      <w:r>
        <w:rPr>
          <w:i/>
          <w:iCs/>
        </w:rPr>
        <w:t xml:space="preserve">Foundations and Trends in Information Retrieval</w:t>
      </w:r>
      <w:r>
        <w:t xml:space="preserve">, vol. 3, no. 4, pp. 333–389, 2009. https://doi.org/10.1561/1500000019</w:t>
      </w:r>
    </w:p>
    <w:p>
      <w:pPr>
        <w:pStyle w:val="BodyText"/>
        <w:ind w:left="720" w:hanging="720"/>
      </w:pPr>
      <w:r>
        <w:t xml:space="preserve">[7] V. I. Levenshtein,</w:t>
      </w:r>
      <w:r>
        <w:t xml:space="preserve"> </w:t>
      </w:r>
      <w:r>
        <w:t xml:space="preserve">“Binary codes capable of correcting deletions, insertions, and reversals,”</w:t>
      </w:r>
      <w:r>
        <w:t xml:space="preserve"> </w:t>
      </w:r>
      <w:r>
        <w:rPr>
          <w:i/>
          <w:iCs/>
        </w:rPr>
        <w:t xml:space="preserve">Soviet Physics Doklady</w:t>
      </w:r>
      <w:r>
        <w:t xml:space="preserve">, vol. 10, no. 8, pp. 707–710, 1966.</w:t>
      </w:r>
    </w:p>
    <w:bookmarkEnd w:id="110"/>
    <w:bookmarkStart w:id="111" w:name="Xdd898e929631c1ac7dcaafa863450eac8c4687c"/>
    <w:p>
      <w:pPr>
        <w:pStyle w:val="Heading2"/>
        <w:ind w:left="720" w:hanging="720"/>
      </w:pPr>
      <w:r>
        <w:rPr>
          <w:b/>
          <w:i w:val="0"/>
          <w:sz w:val="28"/>
        </w:rPr>
        <w:t xml:space="preserve">3. Skill extraction and labour-market taxonomies (ESCO, O*NET)</w:t>
      </w:r>
    </w:p>
    <w:p>
      <w:pPr>
        <w:pStyle w:val="FirstParagraph"/>
        <w:ind w:left="720" w:hanging="720"/>
      </w:pPr>
      <w:r>
        <w:t xml:space="preserve">[8] M. le Vrang, A. Papantoniou, E. Pauwels, P. Fannes, D. Vandensteen, and J. De Smedt,</w:t>
      </w:r>
      <w:r>
        <w:t xml:space="preserve"> </w:t>
      </w:r>
      <w:r>
        <w:t xml:space="preserve">“ESCO: Boosting job matching in Europe with semantic interoperability,”</w:t>
      </w:r>
      <w:r>
        <w:t xml:space="preserve"> </w:t>
      </w:r>
      <w:r>
        <w:rPr>
          <w:i/>
          <w:iCs/>
        </w:rPr>
        <w:t xml:space="preserve">IEEE Computer</w:t>
      </w:r>
      <w:r>
        <w:t xml:space="preserve">, vol. 47, no. 10, pp. 57–64, 2014. https://doi.org/10.1109/MC.2014.283</w:t>
      </w:r>
    </w:p>
    <w:p>
      <w:pPr>
        <w:pStyle w:val="BodyText"/>
        <w:ind w:left="720" w:hanging="720"/>
      </w:pPr>
      <w:r>
        <w:t xml:space="preserve">[9] D. C. Kavargyris, K. Georgiou, E. Papaioannou, K. Petrakis, N. Mittas, and L. Angelis,</w:t>
      </w:r>
      <w:r>
        <w:t xml:space="preserve"> </w:t>
      </w:r>
      <w:r>
        <w:t xml:space="preserve">“ESCOX: A tool for skill and occupation extraction using LLMs from unstructured text,”</w:t>
      </w:r>
      <w:r>
        <w:t xml:space="preserve"> </w:t>
      </w:r>
      <w:r>
        <w:rPr>
          <w:i/>
          <w:iCs/>
        </w:rPr>
        <w:t xml:space="preserve">Software Impacts</w:t>
      </w:r>
      <w:r>
        <w:t xml:space="preserve">, vol. 25, art. 100772, 2025. https://doi.org/10.1016/j.simpa.2025.100772</w:t>
      </w:r>
    </w:p>
    <w:p>
      <w:pPr>
        <w:pStyle w:val="BodyText"/>
        <w:ind w:left="720" w:hanging="720"/>
      </w:pPr>
      <w:r>
        <w:t xml:space="preserve">[10] A. Herandi, Y. Li, Z. Liu, X. Hu, and X. Cai,</w:t>
      </w:r>
      <w:r>
        <w:t xml:space="preserve"> </w:t>
      </w:r>
      <w:r>
        <w:t xml:space="preserve">“Skill-LLM: Repurposing general-purpose LLMs for skill extraction,”</w:t>
      </w:r>
      <w:r>
        <w:t xml:space="preserve"> </w:t>
      </w:r>
      <w:r>
        <w:rPr>
          <w:i/>
          <w:iCs/>
        </w:rPr>
        <w:t xml:space="preserve">arXiv preprint arXiv:2410.12052</w:t>
      </w:r>
      <w:r>
        <w:t xml:space="preserve">, 2024. https://arxiv.org/abs/2410.12052</w:t>
      </w:r>
    </w:p>
    <w:p>
      <w:pPr>
        <w:pStyle w:val="BodyText"/>
        <w:ind w:left="720" w:hanging="720"/>
      </w:pPr>
      <w:r>
        <w:t xml:space="preserve">[11] S. Saroglou, K. Diamantaras, F. Preta, M. Delianidi, A. Benisis, and C. J. Meyer,</w:t>
      </w:r>
      <w:r>
        <w:t xml:space="preserve"> </w:t>
      </w:r>
      <w:r>
        <w:t xml:space="preserve">“Enhancing job matching: Occupation, skill and qualification linking with the ESCO and EQF taxonomies,”</w:t>
      </w:r>
      <w:r>
        <w:t xml:space="preserve"> </w:t>
      </w:r>
      <w:r>
        <w:rPr>
          <w:i/>
          <w:iCs/>
        </w:rPr>
        <w:t xml:space="preserve">arXiv preprint arXiv:2512.03195</w:t>
      </w:r>
      <w:r>
        <w:t xml:space="preserve">, 2025. https://arxiv.org/abs/2512.03195</w:t>
      </w:r>
    </w:p>
    <w:p>
      <w:pPr>
        <w:pStyle w:val="BodyText"/>
        <w:ind w:left="720" w:hanging="720"/>
      </w:pPr>
      <w:r>
        <w:t xml:space="preserve">[12] C. Panzaru and A. Grama,</w:t>
      </w:r>
      <w:r>
        <w:t xml:space="preserve"> </w:t>
      </w:r>
      <w:r>
        <w:t xml:space="preserve">“Towards explicit soft skills labelling in ESCO through semantic NLP analysis,”</w:t>
      </w:r>
      <w:r>
        <w:t xml:space="preserve"> </w:t>
      </w:r>
      <w:r>
        <w:rPr>
          <w:i/>
          <w:iCs/>
        </w:rPr>
        <w:t xml:space="preserve">Journal for Labour Market Research</w:t>
      </w:r>
      <w:r>
        <w:t xml:space="preserve">, vol. 59, no. 1, art. 18, 2025. https://doi.org/10.1186/s12651-025-00409-x</w:t>
      </w:r>
    </w:p>
    <w:p>
      <w:pPr>
        <w:pStyle w:val="BodyText"/>
        <w:ind w:left="720" w:hanging="720"/>
      </w:pPr>
      <w:r>
        <w:t xml:space="preserve">[13] M. de Groot, J. Schutte, and D. Graus,</w:t>
      </w:r>
      <w:r>
        <w:t xml:space="preserve"> </w:t>
      </w:r>
      <w:r>
        <w:t xml:space="preserve">“Job posting-enriched knowledge graph for skills-based matching,”</w:t>
      </w:r>
      <w:r>
        <w:t xml:space="preserve"> </w:t>
      </w:r>
      <w:r>
        <w:rPr>
          <w:i/>
          <w:iCs/>
        </w:rPr>
        <w:t xml:space="preserve">arXiv preprint arXiv:2109.02554</w:t>
      </w:r>
      <w:r>
        <w:t xml:space="preserve">, 2021. https://arxiv.org/abs/2109.02554</w:t>
      </w:r>
    </w:p>
    <w:bookmarkEnd w:id="111"/>
    <w:bookmarkStart w:id="112" w:name="X1796bfef32d736987f1174fc0e433d96cea39d8"/>
    <w:p>
      <w:pPr>
        <w:pStyle w:val="Heading2"/>
        <w:ind w:left="720" w:hanging="720"/>
      </w:pPr>
      <w:r>
        <w:rPr>
          <w:b/>
          <w:i w:val="0"/>
          <w:sz w:val="28"/>
        </w:rPr>
        <w:t xml:space="preserve">4. Resume parsing and information extraction</w:t>
      </w:r>
    </w:p>
    <w:p>
      <w:pPr>
        <w:pStyle w:val="FirstParagraph"/>
        <w:ind w:left="720" w:hanging="720"/>
      </w:pPr>
      <w:r>
        <w:t xml:space="preserve">[14] K. Yu, G. Guan, and M. Zhou,</w:t>
      </w:r>
      <w:r>
        <w:t xml:space="preserve"> </w:t>
      </w:r>
      <w:r>
        <w:t xml:space="preserve">“Resume information extraction with cascaded hybrid model,”</w:t>
      </w:r>
      <w:r>
        <w:t xml:space="preserve"> </w:t>
      </w:r>
      <w:r>
        <w:t xml:space="preserve">in</w:t>
      </w:r>
      <w:r>
        <w:t xml:space="preserve"> </w:t>
      </w:r>
      <w:r>
        <w:rPr>
          <w:i/>
          <w:iCs/>
        </w:rPr>
        <w:t xml:space="preserve">Proceedings of the 43rd Annual Meeting of the Association for Computational Linguistics (ACL ’05)</w:t>
      </w:r>
      <w:r>
        <w:t xml:space="preserve">, 2005, pp. 499–506. https://aclanthology.org/P05-1062/</w:t>
      </w:r>
    </w:p>
    <w:bookmarkEnd w:id="112"/>
    <w:bookmarkStart w:id="113" w:name="ai-based-career-recommendation-systems"/>
    <w:p>
      <w:pPr>
        <w:pStyle w:val="Heading2"/>
        <w:ind w:left="720" w:hanging="720"/>
      </w:pPr>
      <w:r>
        <w:rPr>
          <w:b/>
          <w:i w:val="0"/>
          <w:sz w:val="28"/>
        </w:rPr>
        <w:t xml:space="preserve">5. AI-based career recommendation systems</w:t>
      </w:r>
    </w:p>
    <w:p>
      <w:pPr>
        <w:pStyle w:val="FirstParagraph"/>
        <w:ind w:left="720" w:hanging="720"/>
      </w:pPr>
      <w:r>
        <w:t xml:space="preserve">[15] H. Al-Dossari, F. A. Nughaymish, Z. Al-Qahtani, M. Alkahlifah, and A. Alqahtani,</w:t>
      </w:r>
      <w:r>
        <w:t xml:space="preserve"> </w:t>
      </w:r>
      <w:r>
        <w:t xml:space="preserve">“CareerRec: A machine learning approach to career path choice for information technology graduates,”</w:t>
      </w:r>
      <w:r>
        <w:t xml:space="preserve"> </w:t>
      </w:r>
      <w:r>
        <w:rPr>
          <w:i/>
          <w:iCs/>
        </w:rPr>
        <w:t xml:space="preserve">Engineering, Technology &amp; Applied Science Research</w:t>
      </w:r>
      <w:r>
        <w:t xml:space="preserve">, vol. 10, no. 6, pp. 6589–6596, 2020. https://doi.org/10.48084/etasr.3821</w:t>
      </w:r>
    </w:p>
    <w:bookmarkEnd w:id="113"/>
    <w:bookmarkStart w:id="114" w:name="large-language-models-in-recruitment"/>
    <w:p>
      <w:pPr>
        <w:pStyle w:val="Heading2"/>
        <w:ind w:left="720" w:hanging="720"/>
      </w:pPr>
      <w:r>
        <w:rPr>
          <w:b/>
          <w:i w:val="0"/>
          <w:sz w:val="28"/>
        </w:rPr>
        <w:t xml:space="preserve">6. Large language models in recruitment</w:t>
      </w:r>
    </w:p>
    <w:p>
      <w:pPr>
        <w:pStyle w:val="FirstParagraph"/>
        <w:ind w:left="720" w:hanging="720"/>
      </w:pPr>
      <w:r>
        <w:t xml:space="preserve">[16] C. Gan, Q. Zhang, and T. Mori,</w:t>
      </w:r>
      <w:r>
        <w:t xml:space="preserve"> </w:t>
      </w:r>
      <w:r>
        <w:t xml:space="preserve">“Application of LLM agents in recruitment: A novel framework for resume screening,”</w:t>
      </w:r>
      <w:r>
        <w:t xml:space="preserve"> </w:t>
      </w:r>
      <w:r>
        <w:rPr>
          <w:i/>
          <w:iCs/>
        </w:rPr>
        <w:t xml:space="preserve">arXiv preprint arXiv:2401.08315</w:t>
      </w:r>
      <w:r>
        <w:t xml:space="preserve">, 2024. https://arxiv.org/abs/2401.08315</w:t>
      </w:r>
    </w:p>
    <w:p>
      <w:pPr>
        <w:pStyle w:val="BodyText"/>
        <w:ind w:left="720" w:hanging="720"/>
      </w:pPr>
      <w:r>
        <w:t xml:space="preserve">[17] F. P.-W. Lo, J. Qiu, Z. Wang, H. Yu, Y. Chen, G. Zhang, and B. Lo,</w:t>
      </w:r>
      <w:r>
        <w:t xml:space="preserve"> </w:t>
      </w:r>
      <w:r>
        <w:t xml:space="preserve">“AI hiring with LLMs: A context-aware and explainable multi-agent framework for resume screening,”</w:t>
      </w:r>
      <w:r>
        <w:t xml:space="preserve"> </w:t>
      </w:r>
      <w:r>
        <w:t xml:space="preserve">in</w:t>
      </w:r>
      <w:r>
        <w:t xml:space="preserve"> </w:t>
      </w:r>
      <w:r>
        <w:rPr>
          <w:i/>
          <w:iCs/>
        </w:rPr>
        <w:t xml:space="preserve">Proc. IEEE/CVF Conf. on Computer Vision and Pattern Recognition Workshops (CVPRW)</w:t>
      </w:r>
      <w:r>
        <w:t xml:space="preserve">, 2025, pp. 4184–4193. https://doi.org/10.1109/CVPRW67362.2025.00402</w:t>
      </w:r>
    </w:p>
    <w:p>
      <w:pPr>
        <w:pStyle w:val="BodyText"/>
        <w:ind w:left="720" w:hanging="720"/>
      </w:pPr>
      <w:r>
        <w:t xml:space="preserve">[18] R. V. K. Bevara, N. R. Mannuru, S. P. Karedla, B. D. Lund, T. Xiao, H. Pasem, S. C. Dronavalli, and S. Rupeshkumar,</w:t>
      </w:r>
      <w:r>
        <w:t xml:space="preserve"> </w:t>
      </w:r>
      <w:r>
        <w:t xml:space="preserve">“Resume2Vec: Transforming applicant tracking systems with intelligent resume embeddings for precise candidate matching,”</w:t>
      </w:r>
      <w:r>
        <w:t xml:space="preserve"> </w:t>
      </w:r>
      <w:r>
        <w:rPr>
          <w:i/>
          <w:iCs/>
        </w:rPr>
        <w:t xml:space="preserve">Electronics</w:t>
      </w:r>
      <w:r>
        <w:t xml:space="preserve">, vol. 14, no. 4, art. 794, 2025. https://doi.org/10.3390/electronics14040794</w:t>
      </w:r>
    </w:p>
    <w:p>
      <w:pPr>
        <w:pStyle w:val="BodyText"/>
        <w:ind w:left="720" w:hanging="720"/>
      </w:pPr>
      <w:r>
        <w:t xml:space="preserve">[19] A. Jagadeesh, C. R. Shankar, S. N. Patel, M. Levantesi, G. Semeraro, and E. W. De Luca,</w:t>
      </w:r>
      <w:r>
        <w:t xml:space="preserve"> </w:t>
      </w:r>
      <w:r>
        <w:t xml:space="preserve">“AI-driven resume analysis and enhancement using semantic modeling and large language feedback loops,”</w:t>
      </w:r>
      <w:r>
        <w:t xml:space="preserve"> </w:t>
      </w:r>
      <w:r>
        <w:t xml:space="preserve">in</w:t>
      </w:r>
      <w:r>
        <w:t xml:space="preserve"> </w:t>
      </w:r>
      <w:r>
        <w:rPr>
          <w:i/>
          <w:iCs/>
        </w:rPr>
        <w:t xml:space="preserve">Proceedings of CLiC-it 2025</w:t>
      </w:r>
      <w:r>
        <w:t xml:space="preserve">, 2025. https://aclanthology.org/2025.clicit-1.51/</w:t>
      </w:r>
    </w:p>
    <w:bookmarkEnd w:id="114"/>
    <w:bookmarkStart w:id="115" w:name="Xe3796102e15fa10b5c24e38851c753906160937"/>
    <w:p>
      <w:pPr>
        <w:pStyle w:val="Heading2"/>
        <w:ind w:left="720" w:hanging="720"/>
      </w:pPr>
      <w:r>
        <w:rPr>
          <w:b/>
          <w:i w:val="0"/>
          <w:sz w:val="28"/>
        </w:rPr>
        <w:t xml:space="preserve">7. Semantic matching and sentence embeddings</w:t>
      </w:r>
    </w:p>
    <w:p>
      <w:pPr>
        <w:pStyle w:val="FirstParagraph"/>
        <w:ind w:left="720" w:hanging="720"/>
      </w:pPr>
      <w:r>
        <w:t xml:space="preserve">[20] N. Reimers and I. Gurevych,</w:t>
      </w:r>
      <w:r>
        <w:t xml:space="preserve"> </w:t>
      </w:r>
      <w:r>
        <w:t xml:space="preserve">“Sentence-BERT: Sentence embeddings using Siamese BERT-networks,”</w:t>
      </w:r>
      <w:r>
        <w:t xml:space="preserve"> </w:t>
      </w:r>
      <w:r>
        <w:t xml:space="preserve">in</w:t>
      </w:r>
      <w:r>
        <w:t xml:space="preserve"> </w:t>
      </w:r>
      <w:r>
        <w:rPr>
          <w:i/>
          <w:iCs/>
        </w:rPr>
        <w:t xml:space="preserve">Proceedings of EMNLP-IJCNLP 2019</w:t>
      </w:r>
      <w:r>
        <w:t xml:space="preserve">, Hong Kong, 2019. https://arxiv.org/abs/1908.10084</w:t>
      </w:r>
    </w:p>
    <w:p>
      <w:pPr>
        <w:pStyle w:val="BodyText"/>
        <w:ind w:left="720" w:hanging="720"/>
      </w:pPr>
      <w:r>
        <w:t xml:space="preserve">[21] V. Zadykian, B. Andrade, and H. Afli,</w:t>
      </w:r>
      <w:r>
        <w:t xml:space="preserve"> </w:t>
      </w:r>
      <w:r>
        <w:t xml:space="preserve">“Towards explainable job title matching: Leveraging semantic textual relatedness and knowledge graphs,”</w:t>
      </w:r>
      <w:r>
        <w:t xml:space="preserve"> </w:t>
      </w:r>
      <w:r>
        <w:rPr>
          <w:i/>
          <w:iCs/>
        </w:rPr>
        <w:t xml:space="preserve">arXiv preprint arXiv:2509.09522</w:t>
      </w:r>
      <w:r>
        <w:t xml:space="preserve">, 2025. https://arxiv.org/abs/2509.09522</w:t>
      </w:r>
    </w:p>
    <w:bookmarkEnd w:id="115"/>
    <w:bookmarkStart w:id="116" w:name="bias-and-fairness-in-algorithmic-hiring"/>
    <w:p>
      <w:pPr>
        <w:pStyle w:val="Heading2"/>
        <w:ind w:left="720" w:hanging="720"/>
      </w:pPr>
      <w:r>
        <w:rPr>
          <w:b/>
          <w:i w:val="0"/>
          <w:sz w:val="28"/>
        </w:rPr>
        <w:t xml:space="preserve">8. Bias and fairness in algorithmic hiring</w:t>
      </w:r>
    </w:p>
    <w:p>
      <w:pPr>
        <w:pStyle w:val="FirstParagraph"/>
        <w:ind w:left="720" w:hanging="720"/>
      </w:pPr>
      <w:r>
        <w:t xml:space="preserve">[22] A. Köchling and M. C. Wehner,</w:t>
      </w:r>
      <w:r>
        <w:t xml:space="preserve"> </w:t>
      </w:r>
      <w:r>
        <w:t xml:space="preserve">“Discriminated by an algorithm: A systematic review of discrimination and fairness by algorithmic decision-making in the context of HR recruitment and HR development,”</w:t>
      </w:r>
      <w:r>
        <w:t xml:space="preserve"> </w:t>
      </w:r>
      <w:r>
        <w:rPr>
          <w:i/>
          <w:iCs/>
        </w:rPr>
        <w:t xml:space="preserve">Business Research</w:t>
      </w:r>
      <w:r>
        <w:t xml:space="preserve">, vol. 13, no. 3, pp. 795–848, 2020. https://doi.org/10.1007/s40685-020-00134-w</w:t>
      </w:r>
    </w:p>
    <w:p>
      <w:pPr>
        <w:pStyle w:val="BodyText"/>
        <w:ind w:left="720" w:hanging="720"/>
      </w:pPr>
      <w:r>
        <w:t xml:space="preserve">[23] M. Raghavan, S. Barocas, J. Kleinberg, and K. Levy,</w:t>
      </w:r>
      <w:r>
        <w:t xml:space="preserve"> </w:t>
      </w:r>
      <w:r>
        <w:t xml:space="preserve">“Mitigating bias in algorithmic hiring: Evaluating claims and practices,”</w:t>
      </w:r>
      <w:r>
        <w:t xml:space="preserve"> </w:t>
      </w:r>
      <w:r>
        <w:t xml:space="preserve">in</w:t>
      </w:r>
      <w:r>
        <w:t xml:space="preserve"> </w:t>
      </w:r>
      <w:r>
        <w:rPr>
          <w:i/>
          <w:iCs/>
        </w:rPr>
        <w:t xml:space="preserve">Proceedings of the 2020 Conference on Fairness, Accountability, and Transparency (FAT</w:t>
      </w:r>
      <w:r>
        <w:t xml:space="preserve"> </w:t>
      </w:r>
      <w:r>
        <w:t xml:space="preserve">’20)*, 2020, pp. 469–481. https://doi.org/10.1145/3351095.3372828</w:t>
      </w:r>
    </w:p>
    <w:p>
      <w:pPr>
        <w:pStyle w:val="BodyText"/>
        <w:ind w:left="720" w:hanging="720"/>
      </w:pPr>
      <w:r>
        <w:t xml:space="preserve">[24] Z. Chen,</w:t>
      </w:r>
      <w:r>
        <w:t xml:space="preserve"> </w:t>
      </w:r>
      <w:r>
        <w:t xml:space="preserve">“Ethics and discrimination in artificial intelligence-enabled recruitment practices,”</w:t>
      </w:r>
      <w:r>
        <w:t xml:space="preserve"> </w:t>
      </w:r>
      <w:r>
        <w:rPr>
          <w:i/>
          <w:iCs/>
        </w:rPr>
        <w:t xml:space="preserve">Humanities and Social Sciences Communications</w:t>
      </w:r>
      <w:r>
        <w:t xml:space="preserve">, vol. 10, art. 567, 2023. https://doi.org/10.1057/s41599-023-02079-x</w:t>
      </w:r>
    </w:p>
    <w:bookmarkEnd w:id="116"/>
    <w:bookmarkStart w:id="117" w:name="retrieval-augmented-generation"/>
    <w:p>
      <w:pPr>
        <w:pStyle w:val="Heading2"/>
        <w:ind w:left="720" w:hanging="720"/>
      </w:pPr>
      <w:r>
        <w:rPr>
          <w:b/>
          <w:i w:val="0"/>
          <w:sz w:val="28"/>
        </w:rPr>
        <w:t xml:space="preserve">9. Retrieval-augmented generation</w:t>
      </w:r>
    </w:p>
    <w:p>
      <w:pPr>
        <w:pStyle w:val="FirstParagraph"/>
        <w:ind w:left="720" w:hanging="720"/>
      </w:pPr>
      <w:r>
        <w:t xml:space="preserve">[25] Y. Gao, Y. Xiong, X. Gao, K. Jia, J. Pan, Y. Bi, Y. Dai, J. Sun, and H. Wang,</w:t>
      </w:r>
      <w:r>
        <w:t xml:space="preserve"> </w:t>
      </w:r>
      <w:r>
        <w:t xml:space="preserve">“Retrieval-augmented generation for large language models: A survey,”</w:t>
      </w:r>
      <w:r>
        <w:t xml:space="preserve"> </w:t>
      </w:r>
      <w:r>
        <w:rPr>
          <w:i/>
          <w:iCs/>
        </w:rPr>
        <w:t xml:space="preserve">arXiv preprint arXiv:2312.10997</w:t>
      </w:r>
      <w:r>
        <w:t xml:space="preserve">, 2023. https://arxiv.org/abs/2312.10997</w:t>
      </w:r>
    </w:p>
    <w:bookmarkEnd w:id="117"/>
    <w:bookmarkStart w:id="118" w:name="web-frameworks-and-system-tooling"/>
    <w:p>
      <w:pPr>
        <w:pStyle w:val="Heading2"/>
        <w:ind w:left="720" w:hanging="720"/>
      </w:pPr>
      <w:r>
        <w:rPr>
          <w:b/>
          <w:i w:val="0"/>
          <w:sz w:val="28"/>
        </w:rPr>
        <w:t xml:space="preserve">10. Web frameworks and system tooling</w:t>
      </w:r>
    </w:p>
    <w:p>
      <w:pPr>
        <w:pStyle w:val="BlockText"/>
        <w:ind w:left="720" w:hanging="720"/>
      </w:pPr>
      <w:r>
        <w:t xml:space="preserve">Documentation references for the engineering chapters; cited as official documentation footnotes rather than as numbered bibliography entries.</w:t>
      </w:r>
    </w:p>
    <w:p>
      <w:pPr>
        <w:pStyle w:val="Compact"/>
        <w:numPr>
          <w:ilvl w:val="0"/>
          <w:numId w:val="1008"/>
        </w:numPr>
        <w:ind w:left="720" w:hanging="720"/>
      </w:pPr>
      <w:r>
        <w:t xml:space="preserve">FastAPI documentation. https://fastapi.tiangolo.com</w:t>
      </w:r>
    </w:p>
    <w:p>
      <w:pPr>
        <w:pStyle w:val="Compact"/>
        <w:numPr>
          <w:ilvl w:val="0"/>
          <w:numId w:val="1008"/>
        </w:numPr>
        <w:ind w:left="720" w:hanging="720"/>
      </w:pPr>
      <w:r>
        <w:t xml:space="preserve">TanStack Start / Router documentation. https://tanstack.com/router</w:t>
      </w:r>
    </w:p>
    <w:p>
      <w:pPr>
        <w:pStyle w:val="Compact"/>
        <w:numPr>
          <w:ilvl w:val="0"/>
          <w:numId w:val="1008"/>
        </w:numPr>
        <w:ind w:left="720" w:hanging="720"/>
      </w:pPr>
      <w:r>
        <w:t xml:space="preserve">React 19 documentation. https://react.dev</w:t>
      </w:r>
    </w:p>
    <w:p>
      <w:pPr>
        <w:pStyle w:val="Compact"/>
        <w:numPr>
          <w:ilvl w:val="0"/>
          <w:numId w:val="1008"/>
        </w:numPr>
        <w:ind w:left="720" w:hanging="720"/>
      </w:pPr>
      <w:r>
        <w:t xml:space="preserve">Vite documentation. https://vite.dev</w:t>
      </w:r>
    </w:p>
    <w:p>
      <w:pPr>
        <w:pStyle w:val="Compact"/>
        <w:numPr>
          <w:ilvl w:val="0"/>
          <w:numId w:val="1008"/>
        </w:numPr>
        <w:ind w:left="720" w:hanging="720"/>
      </w:pPr>
      <w:r>
        <w:t xml:space="preserve">SQLAlchemy 2.0 documentation. https://www.sqlalchemy.org</w:t>
      </w:r>
    </w:p>
    <w:p>
      <w:pPr>
        <w:pStyle w:val="Compact"/>
        <w:numPr>
          <w:ilvl w:val="0"/>
          <w:numId w:val="1008"/>
        </w:numPr>
        <w:ind w:left="720" w:hanging="720"/>
      </w:pPr>
      <w:r>
        <w:t xml:space="preserve">Alembic migration documentation. https://alembic.sqlalchemy.org</w:t>
      </w:r>
    </w:p>
    <w:p>
      <w:pPr>
        <w:pStyle w:val="Compact"/>
        <w:numPr>
          <w:ilvl w:val="0"/>
          <w:numId w:val="1008"/>
        </w:numPr>
        <w:ind w:left="720" w:hanging="720"/>
      </w:pPr>
      <w:r>
        <w:t xml:space="preserve">PostgreSQL documentation. https://www.postgresql.org/docs/</w:t>
      </w:r>
    </w:p>
    <w:p>
      <w:pPr>
        <w:pStyle w:val="Compact"/>
        <w:numPr>
          <w:ilvl w:val="0"/>
          <w:numId w:val="1008"/>
        </w:numPr>
        <w:ind w:left="720" w:hanging="720"/>
      </w:pPr>
      <w:r>
        <w:t xml:space="preserve">Google Cloud Vertex AI Gemini documentation. https://cloud.google.com/vertex-ai/generative-ai/docs</w:t>
      </w:r>
    </w:p>
    <w:p>
      <w:pPr>
        <w:pStyle w:val="Compact"/>
        <w:numPr>
          <w:ilvl w:val="0"/>
          <w:numId w:val="1008"/>
        </w:numPr>
        <w:ind w:left="720" w:hanging="720"/>
      </w:pPr>
      <w:r>
        <w:t xml:space="preserve">Resend transactional email API. https://resend.com/docs</w:t>
      </w:r>
    </w:p>
    <w:bookmarkEnd w:id="118"/>
    <w:bookmarkEnd w:id="119"/>
    <w:bookmarkStart w:id="151" w:name="appendices"/>
    <w:p>
      <w:pPr>
        <w:pStyle w:val="Heading1"/>
        <w:pageBreakBefore/>
        <w:spacing w:before="0" w:after="240"/>
      </w:pPr>
      <w:r>
        <w:rPr>
          <w:b/>
          <w:i w:val="0"/>
          <w:sz w:val="36"/>
        </w:rPr>
        <w:t xml:space="preserve">Appendices</w:t>
      </w:r>
    </w:p>
    <w:bookmarkStart w:id="124" w:name="appendix-a-source-listings"/>
    <w:p>
      <w:pPr>
        <w:pStyle w:val="Heading2"/>
      </w:pPr>
      <w:r>
        <w:rPr>
          <w:b/>
          <w:i w:val="0"/>
          <w:sz w:val="28"/>
        </w:rPr>
        <w:t xml:space="preserve">Appendix A — Source listings</w:t>
      </w:r>
    </w:p>
    <w:p>
      <w:pPr>
        <w:pStyle w:val="BlockText"/>
      </w:pPr>
      <w:r>
        <w:t xml:space="preserve">Excerpted listings of the most thesis-relevant code. Each listing is a representative excerpt; full source files of the same name in the repository contain additional helpers, error handling, and inline documentation that are not reproduced here in the interest of length. Each listing is preceded by its file path so the reader can navigate to the corresponding location in the public repository at the moment of submission.</w:t>
      </w:r>
    </w:p>
    <w:bookmarkStart w:id="120" w:name="X815009366af60fa4723a257df1c3cfaaf97a2fb"/>
    <w:p>
      <w:pPr>
        <w:pStyle w:val="Heading3"/>
      </w:pPr>
      <w:r>
        <w:rPr>
          <w:b/>
          <w:i/>
          <w:sz w:val="24"/>
        </w:rPr>
        <w:t xml:space="preserve">A.1 Strong heuristic v2 — public entry point</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build_resume_prepass_v2(</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target_role_label: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ResumePrepassV2:</w:t>
      </w:r>
      <w:r>
        <w:br/>
      </w:r>
      <w:r>
        <w:rPr>
          <w:rStyle w:val="NormalTok"/>
        </w:rPr>
        <w:t xml:space="preserve">    text </w:t>
      </w:r>
      <w:r>
        <w:rPr>
          <w:rStyle w:val="OperatorTok"/>
        </w:rPr>
        <w:t xml:space="preserve">=</w:t>
      </w:r>
      <w:r>
        <w:rPr>
          <w:rStyle w:val="NormalTok"/>
        </w:rPr>
        <w:t xml:space="preserve"> resume_text </w:t>
      </w:r>
      <w:r>
        <w:rPr>
          <w:rStyle w:val="KeywordTok"/>
        </w:rPr>
        <w:t xml:space="preserve">or</w:t>
      </w:r>
      <w:r>
        <w:rPr>
          <w:rStyle w:val="NormalTok"/>
        </w:rPr>
        <w:t xml:space="preserve"> </w:t>
      </w:r>
      <w:r>
        <w:rPr>
          <w:rStyle w:val="StringTok"/>
        </w:rPr>
        <w:t xml:space="preserve">""</w:t>
      </w:r>
      <w:r>
        <w:br/>
      </w:r>
      <w:r>
        <w:rPr>
          <w:rStyle w:val="NormalTok"/>
        </w:rPr>
        <w:t xml:space="preserve">    sections </w:t>
      </w:r>
      <w:r>
        <w:rPr>
          <w:rStyle w:val="OperatorTok"/>
        </w:rPr>
        <w:t xml:space="preserve">=</w:t>
      </w:r>
      <w:r>
        <w:rPr>
          <w:rStyle w:val="NormalTok"/>
        </w:rPr>
        <w:t xml:space="preserve"> _detect_sections(text)</w:t>
      </w:r>
      <w:r>
        <w:br/>
      </w:r>
      <w:r>
        <w:rPr>
          <w:rStyle w:val="NormalTok"/>
        </w:rPr>
        <w:t xml:space="preserve">    bullets </w:t>
      </w:r>
      <w:r>
        <w:rPr>
          <w:rStyle w:val="OperatorTok"/>
        </w:rPr>
        <w:t xml:space="preserve">=</w:t>
      </w:r>
      <w:r>
        <w:rPr>
          <w:rStyle w:val="NormalTok"/>
        </w:rPr>
        <w:t xml:space="preserve"> [m.group(</w:t>
      </w:r>
      <w:r>
        <w:rPr>
          <w:rStyle w:val="DecValTok"/>
        </w:rPr>
        <w:t xml:space="preserve">1</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_BULLET_RE.finditer(text)]</w:t>
      </w:r>
      <w:r>
        <w:br/>
      </w:r>
      <w:r>
        <w:rPr>
          <w:rStyle w:val="NormalTok"/>
        </w:rPr>
        <w:t xml:space="preserve">    tokens </w:t>
      </w:r>
      <w:r>
        <w:rPr>
          <w:rStyle w:val="OperatorTok"/>
        </w:rPr>
        <w:t xml:space="preserve">=</w:t>
      </w:r>
      <w:r>
        <w:rPr>
          <w:rStyle w:val="NormalTok"/>
        </w:rPr>
        <w:t xml:space="preserve"> _tokenize(text)</w:t>
      </w:r>
      <w:r>
        <w:br/>
      </w:r>
      <w:r>
        <w:br/>
      </w:r>
      <w:r>
        <w:rPr>
          <w:rStyle w:val="NormalTok"/>
        </w:rPr>
        <w:t xml:space="preserve">    resume_skills </w:t>
      </w:r>
      <w:r>
        <w:rPr>
          <w:rStyle w:val="OperatorTok"/>
        </w:rPr>
        <w:t xml:space="preserve">=</w:t>
      </w:r>
      <w:r>
        <w:rPr>
          <w:rStyle w:val="NormalTok"/>
        </w:rPr>
        <w:t xml:space="preserve"> _normalise_skills(text)</w:t>
      </w:r>
      <w:r>
        <w:br/>
      </w:r>
      <w:r>
        <w:rPr>
          <w:rStyle w:val="NormalTok"/>
        </w:rPr>
        <w:t xml:space="preserve">    matched: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missing: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matched_locations: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br/>
      </w:r>
      <w:r>
        <w:rPr>
          <w:rStyle w:val="NormalTok"/>
        </w:rPr>
        <w:t xml:space="preserve">    fuzzy_count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 (full body in the source file; see Section 4.2 of the thesis for the</w:t>
      </w:r>
      <w:r>
        <w:br/>
      </w:r>
      <w:r>
        <w:rPr>
          <w:rStyle w:val="NormalTok"/>
        </w:rPr>
        <w:t xml:space="preserve">    </w:t>
      </w:r>
      <w:r>
        <w:rPr>
          <w:rStyle w:val="CommentTok"/>
        </w:rPr>
        <w:t xml:space="preserve"># accompanying methodological description)</w:t>
      </w:r>
    </w:p>
    <w:bookmarkEnd w:id="120"/>
    <w:bookmarkStart w:id="121" w:name="a.2-bm25-scoring"/>
    <w:p>
      <w:pPr>
        <w:pStyle w:val="Heading3"/>
      </w:pPr>
      <w:r>
        <w:rPr>
          <w:b/>
          <w:i/>
          <w:sz w:val="24"/>
        </w:rPr>
        <w:t xml:space="preserve">A.2 BM25 scoring</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_bm25_score(</w:t>
      </w:r>
      <w:r>
        <w:br/>
      </w:r>
      <w:r>
        <w:rPr>
          <w:rStyle w:val="NormalTok"/>
        </w:rPr>
        <w:t xml:space="preserve">    resume_tf: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query_terms: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idf: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avg_dl: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350.0</w:t>
      </w:r>
      <w:r>
        <w:rPr>
          <w:rStyle w:val="NormalTok"/>
        </w:rPr>
        <w:t xml:space="preserve">,</w:t>
      </w:r>
      <w:r>
        <w:br/>
      </w:r>
      <w:r>
        <w:rPr>
          <w:rStyle w:val="NormalTok"/>
        </w:rPr>
        <w:t xml:space="preserve">    k1: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"""Standard BM25 score of a query against a single document's term-frequencies."""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query_terms: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dl </w:t>
      </w:r>
      <w:r>
        <w:rPr>
          <w:rStyle w:val="OperatorTok"/>
        </w:rPr>
        <w:t xml:space="preserve">=</w:t>
      </w:r>
      <w:r>
        <w:rPr>
          <w:rStyle w:val="NormalTok"/>
        </w:rPr>
        <w:t xml:space="preserve"> </w:t>
      </w:r>
      <w:r>
        <w:rPr>
          <w:rStyle w:val="BuiltInTok"/>
        </w:rPr>
        <w:t xml:space="preserve">sum</w:t>
      </w:r>
      <w:r>
        <w:rPr>
          <w:rStyle w:val="NormalTok"/>
        </w:rPr>
        <w:t xml:space="preserve">(resume_tf.values()) </w:t>
      </w:r>
      <w:r>
        <w:rPr>
          <w:rStyle w:val="KeywordTok"/>
        </w:rPr>
        <w:t xml:space="preserve">or</w:t>
      </w:r>
      <w:r>
        <w:rPr>
          <w:rStyle w:val="NormalTok"/>
        </w:rPr>
        <w:t xml:space="preserve"> </w:t>
      </w:r>
      <w:r>
        <w:rPr>
          <w:rStyle w:val="DecValTok"/>
        </w:rPr>
        <w:t xml:space="preserve">1</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query_terms:</w:t>
      </w:r>
      <w:r>
        <w:br/>
      </w:r>
      <w:r>
        <w:rPr>
          <w:rStyle w:val="NormalTok"/>
        </w:rPr>
        <w:t xml:space="preserve">        tf </w:t>
      </w:r>
      <w:r>
        <w:rPr>
          <w:rStyle w:val="OperatorTok"/>
        </w:rPr>
        <w:t xml:space="preserve">=</w:t>
      </w:r>
      <w:r>
        <w:rPr>
          <w:rStyle w:val="NormalTok"/>
        </w:rPr>
        <w:t xml:space="preserve"> resume_tf.get(term,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tf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term_idf </w:t>
      </w:r>
      <w:r>
        <w:rPr>
          <w:rStyle w:val="OperatorTok"/>
        </w:rPr>
        <w:t xml:space="preserve">=</w:t>
      </w:r>
      <w:r>
        <w:rPr>
          <w:rStyle w:val="NormalTok"/>
        </w:rPr>
        <w:t xml:space="preserve"> idf.get(term, math.log((</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norm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dl </w:t>
      </w:r>
      <w:r>
        <w:rPr>
          <w:rStyle w:val="OperatorTok"/>
        </w:rPr>
        <w:t xml:space="preserve">/</w:t>
      </w:r>
      <w:r>
        <w:rPr>
          <w:rStyle w:val="NormalTok"/>
        </w:rPr>
        <w:t xml:space="preserve"> avg_dl))</w:t>
      </w:r>
      <w:r>
        <w:br/>
      </w:r>
      <w:r>
        <w:rPr>
          <w:rStyle w:val="NormalTok"/>
        </w:rPr>
        <w:t xml:space="preserve">        score </w:t>
      </w:r>
      <w:r>
        <w:rPr>
          <w:rStyle w:val="OperatorTok"/>
        </w:rPr>
        <w:t xml:space="preserve">+=</w:t>
      </w:r>
      <w:r>
        <w:rPr>
          <w:rStyle w:val="NormalTok"/>
        </w:rPr>
        <w:t xml:space="preserve"> term_idf </w:t>
      </w:r>
      <w:r>
        <w:rPr>
          <w:rStyle w:val="OperatorTok"/>
        </w:rPr>
        <w:t xml:space="preserve">*</w:t>
      </w:r>
      <w:r>
        <w:rPr>
          <w:rStyle w:val="NormalTok"/>
        </w:rPr>
        <w:t xml:space="preserve"> norm</w:t>
      </w:r>
      <w:r>
        <w:br/>
      </w:r>
      <w:r>
        <w:rPr>
          <w:rStyle w:val="NormalTok"/>
        </w:rPr>
        <w:t xml:space="preserve">    </w:t>
      </w:r>
      <w:r>
        <w:rPr>
          <w:rStyle w:val="ControlFlowTok"/>
        </w:rPr>
        <w:t xml:space="preserve">return</w:t>
      </w:r>
      <w:r>
        <w:rPr>
          <w:rStyle w:val="NormalTok"/>
        </w:rPr>
        <w:t xml:space="preserve"> score</w:t>
      </w:r>
    </w:p>
    <w:bookmarkEnd w:id="121"/>
    <w:bookmarkStart w:id="122" w:name="a.3-runtime-mode-toggle"/>
    <w:p>
      <w:pPr>
        <w:pStyle w:val="Heading3"/>
      </w:pPr>
      <w:r>
        <w:rPr>
          <w:b/>
          <w:i/>
          <w:sz w:val="24"/>
        </w:rPr>
        <w:t xml:space="preserve">A.3 Runtime mode toggle</w:t>
      </w:r>
    </w:p>
    <w:p>
      <w:pPr>
        <w:pStyle w:val="FirstParagraph"/>
      </w:pPr>
      <w:r>
        <w:rPr>
          <w:rStyle w:val="VerbatimChar"/>
        </w:rPr>
        <w:t xml:space="preserve">backend/app/services/runtime_settings.py</w:t>
      </w:r>
    </w:p>
    <w:p>
      <w:pPr>
        <w:pStyle w:val="SourceCode"/>
      </w:pPr>
      <w:r>
        <w:rPr>
          <w:rStyle w:val="NormalTok"/>
        </w:rPr>
        <w:t xml:space="preserve">ScoringMode </w:t>
      </w:r>
      <w:r>
        <w:rPr>
          <w:rStyle w:val="OperatorTok"/>
        </w:rPr>
        <w:t xml:space="preserve">=</w:t>
      </w:r>
      <w:r>
        <w:rPr>
          <w:rStyle w:val="NormalTok"/>
        </w:rPr>
        <w:t xml:space="preserve"> Literal[</w:t>
      </w:r>
      <w:r>
        <w:rPr>
          <w:rStyle w:val="StringTok"/>
        </w:rPr>
        <w:t xml:space="preserve">"blended"</w:t>
      </w:r>
      <w:r>
        <w:rPr>
          <w:rStyle w:val="NormalTok"/>
        </w:rPr>
        <w:t xml:space="preserve">, </w:t>
      </w:r>
      <w:r>
        <w:rPr>
          <w:rStyle w:val="StringTok"/>
        </w:rPr>
        <w:t xml:space="preserve">"heuristic"</w:t>
      </w:r>
      <w:r>
        <w:rPr>
          <w:rStyle w:val="NormalTok"/>
        </w:rPr>
        <w:t xml:space="preserve">]</w:t>
      </w:r>
      <w:r>
        <w:br/>
      </w:r>
      <w:r>
        <w:rPr>
          <w:rStyle w:val="NormalTok"/>
        </w:rPr>
        <w:t xml:space="preserve">_VALID_MODES: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rPr>
          <w:rStyle w:val="StringTok"/>
        </w:rPr>
        <w:t xml:space="preserve">"blended"</w:t>
      </w:r>
      <w:r>
        <w:rPr>
          <w:rStyle w:val="NormalTok"/>
        </w:rPr>
        <w:t xml:space="preserve">, </w:t>
      </w:r>
      <w:r>
        <w:rPr>
          <w:rStyle w:val="StringTok"/>
        </w:rPr>
        <w:t xml:space="preserve">"heuristic"</w:t>
      </w:r>
      <w:r>
        <w:rPr>
          <w:rStyle w:val="NormalTok"/>
        </w:rPr>
        <w:t xml:space="preserve">)</w:t>
      </w:r>
      <w:r>
        <w:br/>
      </w:r>
      <w:r>
        <w:br/>
      </w:r>
      <w:r>
        <w:rPr>
          <w:rStyle w:val="NormalTok"/>
        </w:rPr>
        <w:t xml:space="preserve">_initial_mode: ScoringMode </w:t>
      </w:r>
      <w:r>
        <w:rPr>
          <w:rStyle w:val="OperatorTok"/>
        </w:rPr>
        <w:t xml:space="preserve">=</w:t>
      </w:r>
      <w:r>
        <w:rPr>
          <w:rStyle w:val="NormalTok"/>
        </w:rPr>
        <w:t xml:space="preserve"> </w:t>
      </w:r>
      <w:r>
        <w:rPr>
          <w:rStyle w:val="StringTok"/>
        </w:rPr>
        <w:t xml:space="preserve">"blended"</w:t>
      </w:r>
      <w:r>
        <w:br/>
      </w:r>
      <w:r>
        <w:rPr>
          <w:rStyle w:val="NormalTok"/>
        </w:rPr>
        <w:t xml:space="preserve">configured </w:t>
      </w:r>
      <w:r>
        <w:rPr>
          <w:rStyle w:val="OperatorTok"/>
        </w:rPr>
        <w:t xml:space="preserve">=</w:t>
      </w:r>
      <w:r>
        <w:rPr>
          <w:rStyle w:val="NormalTok"/>
        </w:rPr>
        <w:t xml:space="preserve"> </w:t>
      </w:r>
      <w:r>
        <w:rPr>
          <w:rStyle w:val="BuiltInTok"/>
        </w:rPr>
        <w:t xml:space="preserve">getattr</w:t>
      </w:r>
      <w:r>
        <w:rPr>
          <w:rStyle w:val="NormalTok"/>
        </w:rPr>
        <w:t xml:space="preserve">(settings, </w:t>
      </w:r>
      <w:r>
        <w:rPr>
          <w:rStyle w:val="StringTok"/>
        </w:rPr>
        <w:t xml:space="preserve">"SCORING_MODE"</w:t>
      </w:r>
      <w:r>
        <w:rPr>
          <w:rStyle w:val="NormalTok"/>
        </w:rPr>
        <w:t xml:space="preserve">, </w:t>
      </w:r>
      <w:r>
        <w:rPr>
          <w:rStyle w:val="StringTok"/>
        </w:rPr>
        <w:t xml:space="preserve">"blended"</w:t>
      </w:r>
      <w:r>
        <w:rPr>
          <w:rStyle w:val="NormalTok"/>
        </w:rPr>
        <w:t xml:space="preserve">)</w:t>
      </w:r>
      <w:r>
        <w:br/>
      </w:r>
      <w:r>
        <w:rPr>
          <w:rStyle w:val="ControlFlowTok"/>
        </w:rPr>
        <w:t xml:space="preserve">if</w:t>
      </w:r>
      <w:r>
        <w:rPr>
          <w:rStyle w:val="NormalTok"/>
        </w:rPr>
        <w:t xml:space="preserve"> configured </w:t>
      </w:r>
      <w:r>
        <w:rPr>
          <w:rStyle w:val="KeywordTok"/>
        </w:rPr>
        <w:t xml:space="preserve">in</w:t>
      </w:r>
      <w:r>
        <w:rPr>
          <w:rStyle w:val="NormalTok"/>
        </w:rPr>
        <w:t xml:space="preserve"> _VALID_MODES:</w:t>
      </w:r>
      <w:r>
        <w:br/>
      </w:r>
      <w:r>
        <w:rPr>
          <w:rStyle w:val="NormalTok"/>
        </w:rPr>
        <w:t xml:space="preserve">    _initial_mode </w:t>
      </w:r>
      <w:r>
        <w:rPr>
          <w:rStyle w:val="OperatorTok"/>
        </w:rPr>
        <w:t xml:space="preserve">=</w:t>
      </w:r>
      <w:r>
        <w:rPr>
          <w:rStyle w:val="NormalTok"/>
        </w:rPr>
        <w:t xml:space="preserve"> configured</w:t>
      </w:r>
      <w:r>
        <w:br/>
      </w:r>
      <w:r>
        <w:br/>
      </w:r>
      <w:r>
        <w:rPr>
          <w:rStyle w:val="NormalTok"/>
        </w:rPr>
        <w:t xml:space="preserve">_current_mode: ScoringMode </w:t>
      </w:r>
      <w:r>
        <w:rPr>
          <w:rStyle w:val="OperatorTok"/>
        </w:rPr>
        <w:t xml:space="preserve">=</w:t>
      </w:r>
      <w:r>
        <w:rPr>
          <w:rStyle w:val="NormalTok"/>
        </w:rPr>
        <w:t xml:space="preserve"> _initial_mode</w:t>
      </w:r>
      <w:r>
        <w:br/>
      </w:r>
      <w:r>
        <w:br/>
      </w:r>
      <w:r>
        <w:rPr>
          <w:rStyle w:val="KeywordTok"/>
        </w:rPr>
        <w:t xml:space="preserve">def</w:t>
      </w:r>
      <w:r>
        <w:rPr>
          <w:rStyle w:val="NormalTok"/>
        </w:rPr>
        <w:t xml:space="preserve"> get_scoring_mode() </w:t>
      </w:r>
      <w:r>
        <w:rPr>
          <w:rStyle w:val="OperatorTok"/>
        </w:rPr>
        <w:t xml:space="preserve">-&gt;</w:t>
      </w:r>
      <w:r>
        <w:rPr>
          <w:rStyle w:val="NormalTok"/>
        </w:rPr>
        <w:t xml:space="preserve"> ScoringMode:</w:t>
      </w:r>
      <w:r>
        <w:br/>
      </w:r>
      <w:r>
        <w:rPr>
          <w:rStyle w:val="NormalTok"/>
        </w:rPr>
        <w:t xml:space="preserve">    </w:t>
      </w:r>
      <w:r>
        <w:rPr>
          <w:rStyle w:val="ControlFlowTok"/>
        </w:rPr>
        <w:t xml:space="preserve">return</w:t>
      </w:r>
      <w:r>
        <w:rPr>
          <w:rStyle w:val="NormalTok"/>
        </w:rPr>
        <w:t xml:space="preserve"> _current_mode</w:t>
      </w:r>
      <w:r>
        <w:br/>
      </w:r>
      <w:r>
        <w:br/>
      </w:r>
      <w:r>
        <w:rPr>
          <w:rStyle w:val="KeywordTok"/>
        </w:rPr>
        <w:t xml:space="preserve">def</w:t>
      </w:r>
      <w:r>
        <w:rPr>
          <w:rStyle w:val="NormalTok"/>
        </w:rPr>
        <w:t xml:space="preserve"> set_scoring_mode(mode: </w:t>
      </w:r>
      <w:r>
        <w:rPr>
          <w:rStyle w:val="BuiltInTok"/>
        </w:rPr>
        <w:t xml:space="preserve">str</w:t>
      </w:r>
      <w:r>
        <w:rPr>
          <w:rStyle w:val="NormalTok"/>
        </w:rPr>
        <w:t xml:space="preserve">) </w:t>
      </w:r>
      <w:r>
        <w:rPr>
          <w:rStyle w:val="OperatorTok"/>
        </w:rPr>
        <w:t xml:space="preserve">-&gt;</w:t>
      </w:r>
      <w:r>
        <w:rPr>
          <w:rStyle w:val="NormalTok"/>
        </w:rPr>
        <w:t xml:space="preserve"> ScoringMode:</w:t>
      </w:r>
      <w:r>
        <w:br/>
      </w:r>
      <w:r>
        <w:rPr>
          <w:rStyle w:val="NormalTok"/>
        </w:rPr>
        <w:t xml:space="preserve">    </w:t>
      </w:r>
      <w:r>
        <w:rPr>
          <w:rStyle w:val="KeywordTok"/>
        </w:rPr>
        <w:t xml:space="preserve">global</w:t>
      </w:r>
      <w:r>
        <w:rPr>
          <w:rStyle w:val="NormalTok"/>
        </w:rPr>
        <w:t xml:space="preserve"> _current_mode</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_VALID_MODES: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scoring mode: </w:t>
      </w:r>
      <w:r>
        <w:rPr>
          <w:rStyle w:val="SpecialCharTok"/>
        </w:rPr>
        <w:t xml:space="preserve">{</w:t>
      </w:r>
      <w:r>
        <w:rPr>
          <w:rStyle w:val="NormalTok"/>
        </w:rPr>
        <w:t xml:space="preserve">mode</w:t>
      </w:r>
      <w:r>
        <w:rPr>
          <w:rStyle w:val="SpecialCharTok"/>
        </w:rPr>
        <w:t xml:space="preserve">!r}</w:t>
      </w:r>
      <w:r>
        <w:rPr>
          <w:rStyle w:val="SpecialStringTok"/>
        </w:rPr>
        <w:t xml:space="preserve">"</w:t>
      </w:r>
      <w:r>
        <w:rPr>
          <w:rStyle w:val="NormalTok"/>
        </w:rPr>
        <w:t xml:space="preserve">)</w:t>
      </w:r>
      <w:r>
        <w:br/>
      </w:r>
      <w:r>
        <w:rPr>
          <w:rStyle w:val="NormalTok"/>
        </w:rPr>
        <w:t xml:space="preserve">    _current_mode </w:t>
      </w:r>
      <w:r>
        <w:rPr>
          <w:rStyle w:val="OperatorTok"/>
        </w:rPr>
        <w:t xml:space="preserve">=</w:t>
      </w:r>
      <w:r>
        <w:rPr>
          <w:rStyle w:val="NormalTok"/>
        </w:rPr>
        <w:t xml:space="preserve"> mode</w:t>
      </w:r>
      <w:r>
        <w:br/>
      </w:r>
      <w:r>
        <w:rPr>
          <w:rStyle w:val="NormalTok"/>
        </w:rPr>
        <w:t xml:space="preserve">    </w:t>
      </w:r>
      <w:r>
        <w:rPr>
          <w:rStyle w:val="ControlFlowTok"/>
        </w:rPr>
        <w:t xml:space="preserve">return</w:t>
      </w:r>
      <w:r>
        <w:rPr>
          <w:rStyle w:val="NormalTok"/>
        </w:rPr>
        <w:t xml:space="preserve"> _current_mode</w:t>
      </w:r>
    </w:p>
    <w:bookmarkEnd w:id="122"/>
    <w:bookmarkStart w:id="123" w:name="a.4-shared-tool-pipeline"/>
    <w:p>
      <w:pPr>
        <w:pStyle w:val="Heading3"/>
      </w:pPr>
      <w:r>
        <w:rPr>
          <w:b/>
          <w:i/>
          <w:sz w:val="24"/>
        </w:rPr>
        <w:t xml:space="preserve">A.4 Shared tool pipeline</w:t>
      </w:r>
    </w:p>
    <w:p>
      <w:pPr>
        <w:pStyle w:val="FirstParagraph"/>
      </w:pPr>
      <w:r>
        <w:rPr>
          <w:rStyle w:val="VerbatimChar"/>
        </w:rPr>
        <w:t xml:space="preserve">backend/app/services/tool_pipeline.py</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run_tool_pipeline(</w:t>
      </w:r>
      <w:r>
        <w:br/>
      </w:r>
      <w:r>
        <w:rPr>
          <w:rStyle w:val="NormalTok"/>
        </w:rPr>
        <w:t xml:space="preserve">    </w:t>
      </w:r>
      <w:r>
        <w:rPr>
          <w:rStyle w:val="OperatorTok"/>
        </w:rPr>
        <w:t xml:space="preserve">*</w:t>
      </w:r>
      <w:r>
        <w:rPr>
          <w:rStyle w:val="NormalTok"/>
        </w:rPr>
        <w:t xml:space="preserve">,</w:t>
      </w:r>
      <w:r>
        <w:br/>
      </w:r>
      <w:r>
        <w:rPr>
          <w:rStyle w:val="NormalTok"/>
        </w:rPr>
        <w:t xml:space="preserve">    tool_name: </w:t>
      </w:r>
      <w:r>
        <w:rPr>
          <w:rStyle w:val="BuiltInTok"/>
        </w:rPr>
        <w:t xml:space="preserve">str</w:t>
      </w:r>
      <w:r>
        <w:rPr>
          <w:rStyle w:val="NormalTok"/>
        </w:rPr>
        <w:t xml:space="preserve">,</w:t>
      </w:r>
      <w:r>
        <w:br/>
      </w:r>
      <w:r>
        <w:rPr>
          <w:rStyle w:val="NormalTok"/>
        </w:rPr>
        <w:t xml:space="preserve">    service_fn: Callable[..., Awaitable[</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service_kwargs: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label_fn: Callable[[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BuiltInTok"/>
        </w:rPr>
        <w:t xml:space="preserve">str</w:t>
      </w:r>
      <w:r>
        <w:rPr>
          <w:rStyle w:val="NormalTok"/>
        </w:rPr>
        <w:t xml:space="preserve">],</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feedback: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parent_run_id: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workspace_id: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linked_context_ids: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current_user: User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db: Session,</w:t>
      </w:r>
      <w:r>
        <w:br/>
      </w:r>
      <w:r>
        <w:rPr>
          <w:rStyle w:val="NormalTok"/>
        </w:rPr>
        <w:t xml:space="preserve">    cache_extra_keys: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"""Shared pipeline: sanitize -&gt; cache -&gt; service -&gt; fallback -&gt; persist -&gt; respond."""</w:t>
      </w:r>
      <w:r>
        <w:br/>
      </w:r>
      <w:r>
        <w:rPr>
          <w:rStyle w:val="NormalTok"/>
        </w:rPr>
        <w:t xml:space="preserve">    </w:t>
      </w:r>
      <w:r>
        <w:rPr>
          <w:rStyle w:val="CommentTok"/>
        </w:rPr>
        <w:t xml:space="preserve"># ... (sanitisation, cache lookup, service call, persistence, observability)</w:t>
      </w:r>
    </w:p>
    <w:p>
      <w:r>
        <w:pict>
          <v:rect style="width:0;height:1.5pt" o:hralign="center" o:hrstd="t" o:hr="t"/>
        </w:pict>
      </w:r>
    </w:p>
    <w:bookmarkEnd w:id="123"/>
    <w:bookmarkEnd w:id="124"/>
    <w:bookmarkStart w:id="129" w:name="Xe2691035b1ea9be44987f1df6fe865ef1936dcd"/>
    <w:p>
      <w:pPr>
        <w:pStyle w:val="Heading2"/>
      </w:pPr>
      <w:r>
        <w:rPr>
          <w:b/>
          <w:i w:val="0"/>
          <w:sz w:val="28"/>
        </w:rPr>
        <w:t xml:space="preserve">Appendix B — Evaluation dataset description</w:t>
      </w:r>
    </w:p>
    <w:p>
      <w:pPr>
        <w:pStyle w:val="FirstParagraph"/>
      </w:pPr>
      <w:r>
        <w:t xml:space="preserve">The evaluation dataset used in Chapter 4.3 contains</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w:t>
      </w:r>
    </w:p>
    <w:bookmarkStart w:id="125" w:name="b.1-resume-synthesis-procedure"/>
    <w:p>
      <w:pPr>
        <w:pStyle w:val="Heading3"/>
      </w:pPr>
      <w:r>
        <w:rPr>
          <w:b/>
          <w:i/>
          <w:sz w:val="24"/>
        </w:rPr>
        <w:t xml:space="preserve">B.1 Resume synthesis procedure</w:t>
      </w:r>
    </w:p>
    <w:p>
      <w:pPr>
        <w:pStyle w:val="FirstParagraph"/>
      </w:pPr>
      <w:r>
        <w:t xml:space="preserve">Each resume was synthesised from a templated structure that fills role-track-appropriate content into a fixed skeleton: a two-sentence summary, two or three employment entries with three responsibilities and one quantified achievement each, a skills list, a short Projects section with two open-source or side-project lines, and an education block. The synthesis script seeds the templated fields from a curated content library inside the script — role-track skill pools, action-verb-led outcome phrasings, fictional employer names, and a fixed candidate-name pool. Skill density and seniority increase monotonically across the five resumes per track so that the evaluation set spans junior, mid, and senior levels.</w:t>
      </w:r>
    </w:p>
    <w:p>
      <w:pPr>
        <w:pStyle w:val="BodyText"/>
      </w:pPr>
      <w:r>
        <w:t xml:space="preserve">The synthesis script is</w:t>
      </w:r>
      <w:r>
        <w:t xml:space="preserve"> </w:t>
      </w:r>
      <w:r>
        <w:rPr>
          <w:rStyle w:val="VerbatimChar"/>
        </w:rPr>
        <w:t xml:space="preserve">scripts/synthesise_eval_dataset.py</w:t>
      </w:r>
      <w:r>
        <w:t xml:space="preserve">. It is fully deterministic: a fixed seed (</w:t>
      </w:r>
      <w:r>
        <w:rPr>
          <w:rStyle w:val="VerbatimChar"/>
        </w:rPr>
        <w:t xml:space="preserve">SEED = 42</w:t>
      </w:r>
      <w:r>
        <w:t xml:space="preserve">) produces the same 30 resumes and 20 job descriptions on every run, which makes the evaluation manifest reproducible from the script alone.</w:t>
      </w:r>
    </w:p>
    <w:bookmarkEnd w:id="125"/>
    <w:bookmarkStart w:id="126" w:name="b.2-job-description-synthesis-procedure"/>
    <w:p>
      <w:pPr>
        <w:pStyle w:val="Heading3"/>
      </w:pPr>
      <w:r>
        <w:rPr>
          <w:b/>
          <w:i/>
          <w:sz w:val="24"/>
        </w:rPr>
        <w:t xml:space="preserve">B.2 Job description synthesis procedure</w:t>
      </w:r>
    </w:p>
    <w:p>
      <w:pPr>
        <w:pStyle w:val="FirstParagraph"/>
      </w:pPr>
      <w:r>
        <w:t xml:space="preserve">Job descriptions were also synthesised from templates rather than scraped from public job boards. Each description draws responsibilities from the same role-track pool used for resumes, and the requirement list is composed from a track-specific must-have skill set sized by seniority (four to six core skills plus one to three secondary skills, with years-of-experience banding by junior, mid, and senior). Synthesising rather than scraping preserves a clean comparison surface (the same skill vocabulary in resume and JD), avoids any privacy or licence concern, and is a deliberate choice that limits external generalisability — see Section 4.4 of Chapter 4 for the limitation framing.</w:t>
      </w:r>
    </w:p>
    <w:bookmarkEnd w:id="126"/>
    <w:bookmarkStart w:id="127" w:name="b.3-pair-construction"/>
    <w:p>
      <w:pPr>
        <w:pStyle w:val="Heading3"/>
      </w:pPr>
      <w:r>
        <w:rPr>
          <w:b/>
          <w:i/>
          <w:sz w:val="24"/>
        </w:rPr>
        <w:t xml:space="preserve">B.3 Pair construction</w:t>
      </w:r>
    </w:p>
    <w:p>
      <w:pPr>
        <w:pStyle w:val="FirstParagraph"/>
      </w:pPr>
      <w:r>
        <w:t xml:space="preserve">The evaluation harness</w:t>
      </w:r>
      <w:r>
        <w:t xml:space="preserve"> </w:t>
      </w:r>
      <w:r>
        <w:rPr>
          <w:rStyle w:val="VerbatimChar"/>
        </w:rPr>
        <w:t xml:space="preserve">scripts/eval_scoring.py</w:t>
      </w:r>
      <w:r>
        <w:t xml:space="preserve"> </w:t>
      </w:r>
      <w:r>
        <w:t xml:space="preserve">pairs each resume with every job description inside the same role track. The JD distribution is three JDs in four tracks and four JDs in two tracks, which produces an exact total of one hundred (resume, JD) pairs.</w:t>
      </w:r>
    </w:p>
    <w:bookmarkEnd w:id="127"/>
    <w:bookmarkStart w:id="128" w:name="b.4-pair-manifest"/>
    <w:p>
      <w:pPr>
        <w:pStyle w:val="Heading3"/>
      </w:pPr>
      <w:r>
        <w:rPr>
          <w:b/>
          <w:i/>
          <w:sz w:val="24"/>
        </w:rPr>
        <w:t xml:space="preserve">B.4 Pair manifest</w:t>
      </w:r>
    </w:p>
    <w:p>
      <w:pPr>
        <w:pStyle w:val="FirstParagraph"/>
      </w:pPr>
      <w:r>
        <w:t xml:space="preserve">The manifest produced by the synthesis script at</w:t>
      </w:r>
      <w:r>
        <w:t xml:space="preserve"> </w:t>
      </w:r>
      <w:r>
        <w:rPr>
          <w:rStyle w:val="VerbatimChar"/>
        </w:rPr>
        <w:t xml:space="preserve">thesis/eval-dataset.json</w:t>
      </w:r>
      <w:r>
        <w:t xml:space="preserve"> </w:t>
      </w:r>
      <w:r>
        <w:t xml:space="preserve">is a list of one hundred objects with the shape</w:t>
      </w:r>
      <w:r>
        <w:t xml:space="preserve"> </w:t>
      </w:r>
      <w:r>
        <w:rPr>
          <w:rStyle w:val="VerbatimChar"/>
        </w:rPr>
        <w:t xml:space="preserve">{id, resume, jd, role_track}</w:t>
      </w:r>
      <w:r>
        <w:t xml:space="preserve">. The</w:t>
      </w:r>
      <w:r>
        <w:t xml:space="preserve"> </w:t>
      </w:r>
      <w:r>
        <w:rPr>
          <w:rStyle w:val="VerbatimChar"/>
        </w:rPr>
        <w:t xml:space="preserve">id</w:t>
      </w:r>
      <w:r>
        <w:t xml:space="preserve"> </w:t>
      </w:r>
      <w:r>
        <w:t xml:space="preserve">is composed as</w:t>
      </w:r>
      <w:r>
        <w:t xml:space="preserve"> </w:t>
      </w:r>
      <w:r>
        <w:rPr>
          <w:rStyle w:val="VerbatimChar"/>
        </w:rPr>
        <w:t xml:space="preserve">r-&lt;track&gt;-&lt;NN&gt;__jd-&lt;track&gt;-&lt;NN&gt;</w:t>
      </w:r>
      <w:r>
        <w:t xml:space="preserve"> </w:t>
      </w:r>
      <w:r>
        <w:t xml:space="preserve">so that every row is traceable back to its constituent resume and job description, and every per-pair result in Section 4.3 can be re-queried by id.</w:t>
      </w:r>
    </w:p>
    <w:p>
      <w:r>
        <w:pict>
          <v:rect style="width:0;height:1.5pt" o:hralign="center" o:hrstd="t" o:hr="t"/>
        </w:pict>
      </w:r>
    </w:p>
    <w:bookmarkEnd w:id="128"/>
    <w:bookmarkEnd w:id="129"/>
    <w:bookmarkStart w:id="146" w:name="Xa5e1eb6ef87c5a83e8c05d91d91fb5c96834f8e"/>
    <w:p>
      <w:pPr>
        <w:pStyle w:val="Heading2"/>
      </w:pPr>
      <w:r>
        <w:rPr>
          <w:b/>
          <w:i w:val="0"/>
          <w:sz w:val="28"/>
        </w:rPr>
        <w:t xml:space="preserve">Appendix C — Screenshots of the running system</w:t>
      </w:r>
    </w:p>
    <w:p>
      <w:pPr>
        <w:pStyle w:val="FirstParagraph"/>
      </w:pPr>
      <w:r>
        <w:t xml:space="preserve">The screenshots in this appendix were captured at 1920 × 1080 viewport against the deployed system. The intent of the appendix is to demonstrate the engineering artefact — the running tools — rather than to document generic authentication UI; login forms, OAuth flows, and account-creation pages are therefore omitted in favour of screens that exhibit the analytical and generative tools described in Chapter 3 and the runtime scoring-mode switch documented in Section 4.2.9.</w:t>
      </w:r>
    </w:p>
    <w:bookmarkStart w:id="133" w:name="c.1-landing-page"/>
    <w:p>
      <w:pPr>
        <w:pStyle w:val="Heading3"/>
      </w:pPr>
      <w:r>
        <w:rPr>
          <w:b/>
          <w:i/>
          <w:sz w:val="24"/>
        </w:rPr>
        <w:t xml:space="preserve">C.1 Landing page</w:t>
      </w:r>
    </w:p>
    <w:p>
      <w:pPr>
        <w:pStyle w:val="CaptionedFigure"/>
        <w:jc w:val="center"/>
      </w:pPr>
      <w:r>
        <w:drawing>
          <wp:inline>
            <wp:extent cx="5334000" cy="3000375"/>
            <wp:effectExtent b="0" l="0" r="0" t="0"/>
            <wp:docPr descr="Figure C.1 — Career Workbench landing page (signed-out, production deployment)." title="" id="131" name="Picture"/>
            <a:graphic>
              <a:graphicData uri="http://schemas.openxmlformats.org/drawingml/2006/picture">
                <pic:pic>
                  <pic:nvPicPr>
                    <pic:cNvPr descr="figures/ui-01-landing.png" id="132" name="Picture"/>
                    <pic:cNvPicPr>
                      <a:picLocks noChangeArrowheads="1" noChangeAspect="1"/>
                    </pic:cNvPicPr>
                  </pic:nvPicPr>
                  <pic:blipFill>
                    <a:blip r:embed="rId1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C.1 — Career Workbench landing page (signed-out, production deployment).</w:t>
      </w:r>
    </w:p>
    <w:p>
      <w:pPr>
        <w:pStyle w:val="BodyText"/>
      </w:pPr>
      <w:r>
        <w:rPr>
          <w:i/>
          <w:iCs/>
        </w:rPr>
        <w:t xml:space="preserve">Figure C.1: The public landing page at</w:t>
      </w:r>
      <w:r>
        <w:rPr>
          <w:i/>
          <w:iCs/>
        </w:rPr>
        <w:t xml:space="preserve"> </w:t>
      </w:r>
      <w:r>
        <w:rPr>
          <w:rStyle w:val="VerbatimChar"/>
          <w:i/>
          <w:iCs/>
        </w:rPr>
        <w:t xml:space="preserve">https://thecareerworkbench.com</w:t>
      </w:r>
      <w:r>
        <w:rPr>
          <w:i/>
          <w:iCs/>
        </w:rPr>
        <w:t xml:space="preserve">, presenting the six career-tooling pillars and the primary call-to-action to sign in or proceed as guest.</w:t>
      </w:r>
    </w:p>
    <w:bookmarkEnd w:id="133"/>
    <w:bookmarkStart w:id="137" w:name="c.2-resume-analyzer-input-page"/>
    <w:p>
      <w:pPr>
        <w:pStyle w:val="Heading3"/>
      </w:pPr>
      <w:r>
        <w:rPr>
          <w:b/>
          <w:i/>
          <w:sz w:val="24"/>
        </w:rPr>
        <w:t xml:space="preserve">C.2 Resume Analyzer input page</w:t>
      </w:r>
    </w:p>
    <w:p>
      <w:pPr>
        <w:pStyle w:val="CaptionedFigure"/>
        <w:jc w:val="center"/>
      </w:pPr>
      <w:r>
        <w:drawing>
          <wp:inline>
            <wp:extent cx="5334000" cy="3000375"/>
            <wp:effectExtent b="0" l="0" r="0" t="0"/>
            <wp:docPr descr="Figure C.2 — Resume Analyzer input page, guest mode." title="" id="135" name="Picture"/>
            <a:graphic>
              <a:graphicData uri="http://schemas.openxmlformats.org/drawingml/2006/picture">
                <pic:pic>
                  <pic:nvPicPr>
                    <pic:cNvPr descr="figures/ui-03-resume-input.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C.2 — Resume Analyzer input page, guest mode.</w:t>
      </w:r>
    </w:p>
    <w:p>
      <w:pPr>
        <w:pStyle w:val="BodyText"/>
      </w:pPr>
      <w:r>
        <w:rPr>
          <w:i/>
          <w:iCs/>
        </w:rPr>
        <w:t xml:space="preserve">Figure C.2: The Resume Analyzer input page (</w:t>
      </w:r>
      <w:r>
        <w:rPr>
          <w:rStyle w:val="VerbatimChar"/>
          <w:i/>
          <w:iCs/>
        </w:rPr>
        <w:t xml:space="preserve">/resume</w:t>
      </w:r>
      <w:r>
        <w:rPr>
          <w:i/>
          <w:iCs/>
        </w:rPr>
        <w:t xml:space="preserve">) as it renders for a guest visitor. The input surface accepts a free-text or uploaded resume, with an optional target job description, before invoking the analytical pipeline described in Chapter 3.2.</w:t>
      </w:r>
    </w:p>
    <w:bookmarkEnd w:id="137"/>
    <w:bookmarkStart w:id="141" w:name="Xe92b625608c320df0d0e71eef401fce0fea85fc"/>
    <w:p>
      <w:pPr>
        <w:pStyle w:val="Heading3"/>
      </w:pPr>
      <w:r>
        <w:rPr>
          <w:b/>
          <w:i/>
          <w:sz w:val="24"/>
        </w:rPr>
        <w:t xml:space="preserve">C.3 Resume Analyzer result page (blended mode)</w:t>
      </w:r>
    </w:p>
    <w:p>
      <w:pPr>
        <w:pStyle w:val="CaptionedFigure"/>
        <w:jc w:val="center"/>
      </w:pPr>
      <w:r>
        <w:drawing>
          <wp:inline>
            <wp:extent cx="5334000" cy="5995193"/>
            <wp:effectExtent b="0" l="0" r="0" t="0"/>
            <wp:docPr descr="Figure C.3 — Resume Analyzer result page in blended mode." title="" id="139" name="Picture"/>
            <a:graphic>
              <a:graphicData uri="http://schemas.openxmlformats.org/drawingml/2006/picture">
                <pic:pic>
                  <pic:nvPicPr>
                    <pic:cNvPr descr="figures/ui-04-resume-result.png" id="140" name="Picture"/>
                    <pic:cNvPicPr>
                      <a:picLocks noChangeArrowheads="1" noChangeAspect="1"/>
                    </pic:cNvPicPr>
                  </pic:nvPicPr>
                  <pic:blipFill>
                    <a:blip r:embed="rId138"/>
                    <a:stretch>
                      <a:fillRect/>
                    </a:stretch>
                  </pic:blipFill>
                  <pic:spPr bwMode="auto">
                    <a:xfrm>
                      <a:off x="0" y="0"/>
                      <a:ext cx="5334000" cy="5995193"/>
                    </a:xfrm>
                    <a:prstGeom prst="rect">
                      <a:avLst/>
                    </a:prstGeom>
                    <a:noFill/>
                    <a:ln w="9525">
                      <a:noFill/>
                      <a:headEnd/>
                      <a:tailEnd/>
                    </a:ln>
                  </pic:spPr>
                </pic:pic>
              </a:graphicData>
            </a:graphic>
          </wp:inline>
        </w:drawing>
      </w:r>
    </w:p>
    <w:p>
      <w:pPr>
        <w:pStyle w:val="ImageCaption"/>
      </w:pPr>
      <w:r>
        <w:t xml:space="preserve">Figure C.3 — Resume Analyzer result page in blended mode.</w:t>
      </w:r>
    </w:p>
    <w:p>
      <w:pPr>
        <w:pStyle w:val="BodyText"/>
      </w:pPr>
      <w:r>
        <w:rPr>
          <w:i/>
          <w:iCs/>
        </w:rPr>
        <w:t xml:space="preserve">Figure C.3: The Resume Analyzer result page after a blended-mode (heuristic 40 % + LLM 60 %) run on the synthetic backend-engineer resume described in Chapter 4 paired with a representative backend-engineer job description. The page renders the overall score, the five-axis sub-score breakdown, the deterministic issues list, the prioritised top actions, and the role-fit narrative — the response shape documented in Chapter 3.2.3.</w:t>
      </w:r>
    </w:p>
    <w:bookmarkEnd w:id="141"/>
    <w:bookmarkStart w:id="145" w:name="c.4-job-match-result-page"/>
    <w:p>
      <w:pPr>
        <w:pStyle w:val="Heading3"/>
      </w:pPr>
      <w:r>
        <w:rPr>
          <w:b/>
          <w:i/>
          <w:sz w:val="24"/>
        </w:rPr>
        <w:t xml:space="preserve">C.4 Job Match result page</w:t>
      </w:r>
    </w:p>
    <w:p>
      <w:pPr>
        <w:pStyle w:val="CaptionedFigure"/>
        <w:jc w:val="center"/>
      </w:pPr>
      <w:r>
        <w:drawing>
          <wp:inline>
            <wp:extent cx="5334000" cy="7303690"/>
            <wp:effectExtent b="0" l="0" r="0" t="0"/>
            <wp:docPr descr="Figure C.4 — Job Match result page on the same resume / job-description pair." title="" id="143" name="Picture"/>
            <a:graphic>
              <a:graphicData uri="http://schemas.openxmlformats.org/drawingml/2006/picture">
                <pic:pic>
                  <pic:nvPicPr>
                    <pic:cNvPr descr="figures/ui-05-job-match-result.png" id="144" name="Picture"/>
                    <pic:cNvPicPr>
                      <a:picLocks noChangeArrowheads="1" noChangeAspect="1"/>
                    </pic:cNvPicPr>
                  </pic:nvPicPr>
                  <pic:blipFill>
                    <a:blip r:embed="rId142"/>
                    <a:stretch>
                      <a:fillRect/>
                    </a:stretch>
                  </pic:blipFill>
                  <pic:spPr bwMode="auto">
                    <a:xfrm>
                      <a:off x="0" y="0"/>
                      <a:ext cx="5334000" cy="7303690"/>
                    </a:xfrm>
                    <a:prstGeom prst="rect">
                      <a:avLst/>
                    </a:prstGeom>
                    <a:noFill/>
                    <a:ln w="9525">
                      <a:noFill/>
                      <a:headEnd/>
                      <a:tailEnd/>
                    </a:ln>
                  </pic:spPr>
                </pic:pic>
              </a:graphicData>
            </a:graphic>
          </wp:inline>
        </w:drawing>
      </w:r>
    </w:p>
    <w:p>
      <w:pPr>
        <w:pStyle w:val="ImageCaption"/>
      </w:pPr>
      <w:r>
        <w:t xml:space="preserve">Figure C.4 — Job Match result page on the same resume / job-description pair.</w:t>
      </w:r>
    </w:p>
    <w:p>
      <w:pPr>
        <w:pStyle w:val="BodyText"/>
      </w:pPr>
      <w:r>
        <w:rPr>
          <w:i/>
          <w:iCs/>
        </w:rPr>
        <w:t xml:space="preserve">Figure C.4: The Job Match result page on the same input pair as Figure C.3. The view exposes the matched-keyword set, the missing-keyword set, the deterministic verdict, the recruiter-style summary, and the requirement-by-requirement breakdown produced by the prompt described in Chapter 3.3.3.</w:t>
      </w:r>
    </w:p>
    <w:p>
      <w:r>
        <w:pict>
          <v:rect style="width:0;height:1.5pt" o:hralign="center" o:hrstd="t" o:hr="t"/>
        </w:pict>
      </w:r>
    </w:p>
    <w:bookmarkEnd w:id="145"/>
    <w:bookmarkEnd w:id="146"/>
    <w:bookmarkStart w:id="150" w:name="appendix-d-configuration-reference"/>
    <w:p>
      <w:pPr>
        <w:pStyle w:val="Heading2"/>
      </w:pPr>
      <w:r>
        <w:rPr>
          <w:b/>
          <w:i w:val="0"/>
          <w:sz w:val="28"/>
        </w:rPr>
        <w:t xml:space="preserve">Appendix D — Configuration reference</w:t>
      </w:r>
    </w:p>
    <w:bookmarkStart w:id="147" w:name="d.1-backend-environment-variables"/>
    <w:p>
      <w:pPr>
        <w:pStyle w:val="Heading3"/>
      </w:pPr>
      <w:r>
        <w:rPr>
          <w:b/>
          <w:i/>
          <w:sz w:val="24"/>
        </w:rPr>
        <w:t xml:space="preserve">D.1 Backend environment variables</w:t>
      </w:r>
    </w:p>
    <w:p>
      <w:pPr>
        <w:pStyle w:val="FirstParagraph"/>
      </w:pPr>
      <w:r>
        <w:t xml:space="preserve">The following environment variables are read at process start and configure the deployed system. Defaults shown in parentheses; consult</w:t>
      </w:r>
      <w:r>
        <w:t xml:space="preserve"> </w:t>
      </w:r>
      <w:r>
        <w:rPr>
          <w:rStyle w:val="VerbatimChar"/>
        </w:rPr>
        <w:t xml:space="preserve">backend/app/config.py</w:t>
      </w:r>
      <w:r>
        <w:t xml:space="preserve"> </w:t>
      </w:r>
      <w:r>
        <w:t xml:space="preserve">for the authoritative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Purpose</w:t>
            </w:r>
          </w:p>
        </w:tc>
        <w:tc>
          <w:tcPr/>
          <w:p>
            <w:pPr>
              <w:pStyle w:val="Compact"/>
            </w:pPr>
            <w:r>
              <w:t xml:space="preserve">Default</w:t>
            </w:r>
          </w:p>
        </w:tc>
      </w:tr>
      <w:tr>
        <w:tc>
          <w:tcPr/>
          <w:p>
            <w:pPr>
              <w:pStyle w:val="Compact"/>
            </w:pPr>
            <w:r>
              <w:rPr>
                <w:rStyle w:val="VerbatimChar"/>
              </w:rPr>
              <w:t xml:space="preserve">DATABASE_URL</w:t>
            </w:r>
          </w:p>
        </w:tc>
        <w:tc>
          <w:tcPr/>
          <w:p>
            <w:pPr>
              <w:pStyle w:val="Compact"/>
            </w:pPr>
            <w:r>
              <w:t xml:space="preserve">PostgreSQL DSN</w:t>
            </w:r>
          </w:p>
        </w:tc>
        <w:tc>
          <w:tcPr/>
          <w:p>
            <w:pPr>
              <w:pStyle w:val="Compact"/>
            </w:pPr>
            <w:r>
              <w:rPr>
                <w:rStyle w:val="VerbatimChar"/>
              </w:rPr>
              <w:t xml:space="preserve">sqlite:///./career_platform.db</w:t>
            </w:r>
          </w:p>
        </w:tc>
      </w:tr>
      <w:tr>
        <w:tc>
          <w:tcPr/>
          <w:p>
            <w:pPr>
              <w:pStyle w:val="Compact"/>
            </w:pPr>
            <w:r>
              <w:rPr>
                <w:rStyle w:val="VerbatimChar"/>
              </w:rPr>
              <w:t xml:space="preserve">SECRET_KEY</w:t>
            </w:r>
          </w:p>
        </w:tc>
        <w:tc>
          <w:tcPr/>
          <w:p>
            <w:pPr>
              <w:pStyle w:val="Compact"/>
            </w:pPr>
            <w:r>
              <w:t xml:space="preserve">JWT signing secret</w:t>
            </w:r>
          </w:p>
        </w:tc>
        <w:tc>
          <w:tcPr/>
          <w:p>
            <w:pPr>
              <w:pStyle w:val="Compact"/>
            </w:pPr>
            <w:r>
              <w:t xml:space="preserve">(must override)</w:t>
            </w:r>
          </w:p>
        </w:tc>
      </w:tr>
      <w:tr>
        <w:tc>
          <w:tcPr/>
          <w:p>
            <w:pPr>
              <w:pStyle w:val="Compact"/>
            </w:pPr>
            <w:r>
              <w:rPr>
                <w:rStyle w:val="VerbatimChar"/>
              </w:rPr>
              <w:t xml:space="preserve">ACCESS_TOKEN_EXPIRE_MINUTES</w:t>
            </w:r>
          </w:p>
        </w:tc>
        <w:tc>
          <w:tcPr/>
          <w:p>
            <w:pPr>
              <w:pStyle w:val="Compact"/>
            </w:pPr>
            <w:r>
              <w:t xml:space="preserve">Access-token lifetime</w:t>
            </w:r>
          </w:p>
        </w:tc>
        <w:tc>
          <w:tcPr/>
          <w:p>
            <w:pPr>
              <w:pStyle w:val="Compact"/>
            </w:pPr>
            <w:r>
              <w:t xml:space="preserve">30</w:t>
            </w:r>
          </w:p>
        </w:tc>
      </w:tr>
      <w:tr>
        <w:tc>
          <w:tcPr/>
          <w:p>
            <w:pPr>
              <w:pStyle w:val="Compact"/>
            </w:pPr>
            <w:r>
              <w:rPr>
                <w:rStyle w:val="VerbatimChar"/>
              </w:rPr>
              <w:t xml:space="preserve">REFRESH_TOKEN_EXPIRE_DAYS</w:t>
            </w:r>
          </w:p>
        </w:tc>
        <w:tc>
          <w:tcPr/>
          <w:p>
            <w:pPr>
              <w:pStyle w:val="Compact"/>
            </w:pPr>
            <w:r>
              <w:t xml:space="preserve">Refresh-token lifetime</w:t>
            </w:r>
          </w:p>
        </w:tc>
        <w:tc>
          <w:tcPr/>
          <w:p>
            <w:pPr>
              <w:pStyle w:val="Compact"/>
            </w:pPr>
            <w:r>
              <w:t xml:space="preserve">7</w:t>
            </w:r>
          </w:p>
        </w:tc>
      </w:tr>
      <w:tr>
        <w:tc>
          <w:tcPr/>
          <w:p>
            <w:pPr>
              <w:pStyle w:val="Compact"/>
            </w:pPr>
            <w:r>
              <w:rPr>
                <w:rStyle w:val="VerbatimChar"/>
              </w:rPr>
              <w:t xml:space="preserve">LLM_PROVIDER</w:t>
            </w:r>
          </w:p>
        </w:tc>
        <w:tc>
          <w:tcPr/>
          <w:p>
            <w:pPr>
              <w:pStyle w:val="Compact"/>
            </w:pPr>
            <w:r>
              <w:t xml:space="preserve">LLM dispatch backend</w:t>
            </w:r>
          </w:p>
        </w:tc>
        <w:tc>
          <w:tcPr/>
          <w:p>
            <w:pPr>
              <w:pStyle w:val="Compact"/>
            </w:pPr>
            <w:r>
              <w:rPr>
                <w:rStyle w:val="VerbatimChar"/>
              </w:rPr>
              <w:t xml:space="preserve">vertex</w:t>
            </w:r>
          </w:p>
        </w:tc>
      </w:tr>
      <w:tr>
        <w:tc>
          <w:tcPr/>
          <w:p>
            <w:pPr>
              <w:pStyle w:val="Compact"/>
            </w:pPr>
            <w:r>
              <w:rPr>
                <w:rStyle w:val="VerbatimChar"/>
              </w:rPr>
              <w:t xml:space="preserve">LLM_MODEL</w:t>
            </w:r>
          </w:p>
        </w:tc>
        <w:tc>
          <w:tcPr/>
          <w:p>
            <w:pPr>
              <w:pStyle w:val="Compact"/>
            </w:pPr>
            <w:r>
              <w:t xml:space="preserve">Primary Gemini model</w:t>
            </w:r>
          </w:p>
        </w:tc>
        <w:tc>
          <w:tcPr/>
          <w:p>
            <w:pPr>
              <w:pStyle w:val="Compact"/>
            </w:pPr>
            <w:r>
              <w:rPr>
                <w:rStyle w:val="VerbatimChar"/>
              </w:rPr>
              <w:t xml:space="preserve">gemini-2.5-flash</w:t>
            </w:r>
          </w:p>
        </w:tc>
      </w:tr>
      <w:tr>
        <w:tc>
          <w:tcPr/>
          <w:p>
            <w:pPr>
              <w:pStyle w:val="Compact"/>
            </w:pPr>
            <w:r>
              <w:rPr>
                <w:rStyle w:val="VerbatimChar"/>
              </w:rPr>
              <w:t xml:space="preserve">LLM_PRACTICE_MODEL</w:t>
            </w:r>
          </w:p>
        </w:tc>
        <w:tc>
          <w:tcPr/>
          <w:p>
            <w:pPr>
              <w:pStyle w:val="Compact"/>
            </w:pPr>
            <w:r>
              <w:t xml:space="preserve">Cheaper model used for interview practice feedback</w:t>
            </w:r>
          </w:p>
        </w:tc>
        <w:tc>
          <w:tcPr/>
          <w:p>
            <w:pPr>
              <w:pStyle w:val="Compact"/>
            </w:pPr>
            <w:r>
              <w:t xml:space="preserve">(empty → falls back to</w:t>
            </w:r>
            <w:r>
              <w:t xml:space="preserve"> </w:t>
            </w:r>
            <w:r>
              <w:rPr>
                <w:rStyle w:val="VerbatimChar"/>
              </w:rPr>
              <w:t xml:space="preserve">LLM_MODEL</w:t>
            </w:r>
            <w:r>
              <w:t xml:space="preserve">)</w:t>
            </w:r>
          </w:p>
        </w:tc>
      </w:tr>
      <w:tr>
        <w:tc>
          <w:tcPr/>
          <w:p>
            <w:pPr>
              <w:pStyle w:val="Compact"/>
            </w:pPr>
            <w:r>
              <w:rPr>
                <w:rStyle w:val="VerbatimChar"/>
              </w:rPr>
              <w:t xml:space="preserve">VERTEX_PROJECT_ID</w:t>
            </w:r>
          </w:p>
        </w:tc>
        <w:tc>
          <w:tcPr/>
          <w:p>
            <w:pPr>
              <w:pStyle w:val="Compact"/>
            </w:pPr>
            <w:r>
              <w:t xml:space="preserve">Google Cloud project</w:t>
            </w:r>
          </w:p>
        </w:tc>
        <w:tc>
          <w:tcPr/>
          <w:p>
            <w:pPr>
              <w:pStyle w:val="Compact"/>
            </w:pPr>
            <w:r>
              <w:t xml:space="preserve">(must override)</w:t>
            </w:r>
          </w:p>
        </w:tc>
      </w:tr>
      <w:tr>
        <w:tc>
          <w:tcPr/>
          <w:p>
            <w:pPr>
              <w:pStyle w:val="Compact"/>
            </w:pPr>
            <w:r>
              <w:rPr>
                <w:rStyle w:val="VerbatimChar"/>
              </w:rPr>
              <w:t xml:space="preserve">VERTEX_LOCATION</w:t>
            </w:r>
          </w:p>
        </w:tc>
        <w:tc>
          <w:tcPr/>
          <w:p>
            <w:pPr>
              <w:pStyle w:val="Compact"/>
            </w:pPr>
            <w:r>
              <w:t xml:space="preserve">Vertex region</w:t>
            </w:r>
          </w:p>
        </w:tc>
        <w:tc>
          <w:tcPr/>
          <w:p>
            <w:pPr>
              <w:pStyle w:val="Compact"/>
            </w:pPr>
            <w:r>
              <w:rPr>
                <w:rStyle w:val="VerbatimChar"/>
              </w:rPr>
              <w:t xml:space="preserve">us-central1</w:t>
            </w:r>
          </w:p>
        </w:tc>
      </w:tr>
      <w:tr>
        <w:tc>
          <w:tcPr/>
          <w:p>
            <w:pPr>
              <w:pStyle w:val="Compact"/>
            </w:pPr>
            <w:r>
              <w:rPr>
                <w:rStyle w:val="VerbatimChar"/>
              </w:rPr>
              <w:t xml:space="preserve">BLENDED_SCORING_ENABLED</w:t>
            </w:r>
          </w:p>
        </w:tc>
        <w:tc>
          <w:tcPr/>
          <w:p>
            <w:pPr>
              <w:pStyle w:val="Compact"/>
            </w:pPr>
            <w:r>
              <w:t xml:space="preserve">Apply 60/40 LLM/heuristic blend</w:t>
            </w:r>
          </w:p>
        </w:tc>
        <w:tc>
          <w:tcPr/>
          <w:p>
            <w:pPr>
              <w:pStyle w:val="Compact"/>
            </w:pPr>
            <w:r>
              <w:rPr>
                <w:rStyle w:val="VerbatimChar"/>
              </w:rPr>
              <w:t xml:space="preserve">true</w:t>
            </w:r>
          </w:p>
        </w:tc>
      </w:tr>
      <w:tr>
        <w:tc>
          <w:tcPr/>
          <w:p>
            <w:pPr>
              <w:pStyle w:val="Compact"/>
            </w:pPr>
            <w:r>
              <w:rPr>
                <w:rStyle w:val="VerbatimChar"/>
              </w:rPr>
              <w:t xml:space="preserve">SCORING_MODE</w:t>
            </w:r>
          </w:p>
        </w:tc>
        <w:tc>
          <w:tcPr/>
          <w:p>
            <w:pPr>
              <w:pStyle w:val="Compact"/>
            </w:pPr>
            <w:r>
              <w:t xml:space="preserve">Scoring core mode (</w:t>
            </w:r>
            <w:r>
              <w:rPr>
                <w:rStyle w:val="VerbatimChar"/>
              </w:rPr>
              <w:t xml:space="preserve">blended</w:t>
            </w:r>
            <w:r>
              <w:t xml:space="preserve"> </w:t>
            </w:r>
            <w:r>
              <w:t xml:space="preserve">or</w:t>
            </w:r>
            <w:r>
              <w:t xml:space="preserve"> </w:t>
            </w:r>
            <w:r>
              <w:rPr>
                <w:rStyle w:val="VerbatimChar"/>
              </w:rPr>
              <w:t xml:space="preserve">heuristic</w:t>
            </w:r>
            <w:r>
              <w:t xml:space="preserve">) — added with the comparative study</w:t>
            </w:r>
          </w:p>
        </w:tc>
        <w:tc>
          <w:tcPr/>
          <w:p>
            <w:pPr>
              <w:pStyle w:val="Compact"/>
            </w:pPr>
            <w:r>
              <w:rPr>
                <w:rStyle w:val="VerbatimChar"/>
              </w:rPr>
              <w:t xml:space="preserve">blended</w:t>
            </w:r>
          </w:p>
        </w:tc>
      </w:tr>
      <w:tr>
        <w:tc>
          <w:tcPr/>
          <w:p>
            <w:pPr>
              <w:pStyle w:val="Compact"/>
            </w:pPr>
            <w:r>
              <w:rPr>
                <w:rStyle w:val="VerbatimChar"/>
              </w:rPr>
              <w:t xml:space="preserve">RESULT_CACHE_ENABLED</w:t>
            </w:r>
          </w:p>
        </w:tc>
        <w:tc>
          <w:tcPr/>
          <w:p>
            <w:pPr>
              <w:pStyle w:val="Compact"/>
            </w:pPr>
            <w:r>
              <w:t xml:space="preserve">In-memory cache</w:t>
            </w:r>
          </w:p>
        </w:tc>
        <w:tc>
          <w:tcPr/>
          <w:p>
            <w:pPr>
              <w:pStyle w:val="Compact"/>
            </w:pPr>
            <w:r>
              <w:rPr>
                <w:rStyle w:val="VerbatimChar"/>
              </w:rPr>
              <w:t xml:space="preserve">true</w:t>
            </w:r>
          </w:p>
        </w:tc>
      </w:tr>
      <w:tr>
        <w:tc>
          <w:tcPr/>
          <w:p>
            <w:pPr>
              <w:pStyle w:val="Compact"/>
            </w:pPr>
            <w:r>
              <w:rPr>
                <w:rStyle w:val="VerbatimChar"/>
              </w:rPr>
              <w:t xml:space="preserve">RESULT_CACHE_TTL_SECONDS</w:t>
            </w:r>
          </w:p>
        </w:tc>
        <w:tc>
          <w:tcPr/>
          <w:p>
            <w:pPr>
              <w:pStyle w:val="Compact"/>
            </w:pPr>
            <w:r>
              <w:t xml:space="preserve">Cache TTL</w:t>
            </w:r>
          </w:p>
        </w:tc>
        <w:tc>
          <w:tcPr/>
          <w:p>
            <w:pPr>
              <w:pStyle w:val="Compact"/>
            </w:pPr>
            <w:r>
              <w:t xml:space="preserve">3600</w:t>
            </w:r>
          </w:p>
        </w:tc>
      </w:tr>
      <w:tr>
        <w:tc>
          <w:tcPr/>
          <w:p>
            <w:pPr>
              <w:pStyle w:val="Compact"/>
            </w:pPr>
            <w:r>
              <w:rPr>
                <w:rStyle w:val="VerbatimChar"/>
              </w:rPr>
              <w:t xml:space="preserve">CORS_ORIGINS</w:t>
            </w:r>
          </w:p>
        </w:tc>
        <w:tc>
          <w:tcPr/>
          <w:p>
            <w:pPr>
              <w:pStyle w:val="Compact"/>
            </w:pPr>
            <w:r>
              <w:t xml:space="preserve">Allowed CORS origins</w:t>
            </w:r>
          </w:p>
        </w:tc>
        <w:tc>
          <w:tcPr/>
          <w:p>
            <w:pPr>
              <w:pStyle w:val="Compact"/>
            </w:pPr>
            <w:r>
              <w:rPr>
                <w:rStyle w:val="VerbatimChar"/>
              </w:rPr>
              <w:t xml:space="preserve">localhost</w:t>
            </w:r>
            <w:r>
              <w:t xml:space="preserve"> </w:t>
            </w:r>
            <w:r>
              <w:t xml:space="preserve">defaults</w:t>
            </w:r>
          </w:p>
        </w:tc>
      </w:tr>
      <w:tr>
        <w:tc>
          <w:tcPr/>
          <w:p>
            <w:pPr>
              <w:pStyle w:val="Compact"/>
            </w:pPr>
            <w:r>
              <w:rPr>
                <w:rStyle w:val="VerbatimChar"/>
              </w:rPr>
              <w:t xml:space="preserve">FRONTEND_URL</w:t>
            </w:r>
          </w:p>
        </w:tc>
        <w:tc>
          <w:tcPr/>
          <w:p>
            <w:pPr>
              <w:pStyle w:val="Compact"/>
            </w:pPr>
            <w:r>
              <w:t xml:space="preserve">Canonical frontend URL</w:t>
            </w:r>
          </w:p>
        </w:tc>
        <w:tc>
          <w:tcPr/>
          <w:p>
            <w:pPr>
              <w:pStyle w:val="Compact"/>
            </w:pPr>
            <w:r>
              <w:t xml:space="preserve">(set in production)</w:t>
            </w:r>
          </w:p>
        </w:tc>
      </w:tr>
      <w:tr>
        <w:tc>
          <w:tcPr/>
          <w:p>
            <w:pPr>
              <w:pStyle w:val="Compact"/>
            </w:pPr>
            <w:r>
              <w:rPr>
                <w:rStyle w:val="VerbatimChar"/>
              </w:rPr>
              <w:t xml:space="preserve">GOOGLE_CLIENT_ID</w:t>
            </w:r>
            <w:r>
              <w:t xml:space="preserve"> </w:t>
            </w:r>
            <w:r>
              <w:t xml:space="preserve">/</w:t>
            </w:r>
            <w:r>
              <w:t xml:space="preserve"> </w:t>
            </w:r>
            <w:r>
              <w:rPr>
                <w:rStyle w:val="VerbatimChar"/>
              </w:rPr>
              <w:t xml:space="preserve">GOOGLE_CLIENT_SECRET</w:t>
            </w:r>
            <w:r>
              <w:t xml:space="preserve"> </w:t>
            </w:r>
            <w:r>
              <w:t xml:space="preserve">/</w:t>
            </w:r>
            <w:r>
              <w:t xml:space="preserve"> </w:t>
            </w:r>
            <w:r>
              <w:rPr>
                <w:rStyle w:val="VerbatimChar"/>
              </w:rPr>
              <w:t xml:space="preserve">GOOGLE_REDIRECT_URI</w:t>
            </w:r>
          </w:p>
        </w:tc>
        <w:tc>
          <w:tcPr/>
          <w:p>
            <w:pPr>
              <w:pStyle w:val="Compact"/>
            </w:pPr>
            <w:r>
              <w:t xml:space="preserve">Google OAuth</w:t>
            </w:r>
          </w:p>
        </w:tc>
        <w:tc>
          <w:tcPr/>
          <w:p>
            <w:pPr>
              <w:pStyle w:val="Compact"/>
            </w:pPr>
            <w:r>
              <w:t xml:space="preserve">(must override)</w:t>
            </w:r>
          </w:p>
        </w:tc>
      </w:tr>
      <w:tr>
        <w:tc>
          <w:tcPr/>
          <w:p>
            <w:pPr>
              <w:pStyle w:val="Compact"/>
            </w:pPr>
            <w:r>
              <w:rPr>
                <w:rStyle w:val="VerbatimChar"/>
              </w:rPr>
              <w:t xml:space="preserve">RESEND_API_KEY</w:t>
            </w:r>
          </w:p>
        </w:tc>
        <w:tc>
          <w:tcPr/>
          <w:p>
            <w:pPr>
              <w:pStyle w:val="Compact"/>
            </w:pPr>
            <w:r>
              <w:t xml:space="preserve">Transactional email</w:t>
            </w:r>
          </w:p>
        </w:tc>
        <w:tc>
          <w:tcPr/>
          <w:p>
            <w:pPr>
              <w:pStyle w:val="Compact"/>
            </w:pPr>
            <w:r>
              <w:t xml:space="preserve">(must override)</w:t>
            </w:r>
          </w:p>
        </w:tc>
      </w:tr>
      <w:tr>
        <w:tc>
          <w:tcPr/>
          <w:p>
            <w:pPr>
              <w:pStyle w:val="Compact"/>
            </w:pPr>
            <w:r>
              <w:rPr>
                <w:rStyle w:val="VerbatimChar"/>
              </w:rPr>
              <w:t xml:space="preserve">SENTRY_DSN</w:t>
            </w:r>
          </w:p>
        </w:tc>
        <w:tc>
          <w:tcPr/>
          <w:p>
            <w:pPr>
              <w:pStyle w:val="Compact"/>
            </w:pPr>
            <w:r>
              <w:t xml:space="preserve">Error tracking</w:t>
            </w:r>
          </w:p>
        </w:tc>
        <w:tc>
          <w:tcPr/>
          <w:p>
            <w:pPr>
              <w:pStyle w:val="Compact"/>
            </w:pPr>
            <w:r>
              <w:t xml:space="preserve">(empty disables)</w:t>
            </w:r>
          </w:p>
        </w:tc>
      </w:tr>
    </w:tbl>
    <w:bookmarkEnd w:id="147"/>
    <w:bookmarkStart w:id="148" w:name="d.2-administrative-endpoints"/>
    <w:p>
      <w:pPr>
        <w:pStyle w:val="Heading3"/>
      </w:pPr>
      <w:r>
        <w:rPr>
          <w:b/>
          <w:i/>
          <w:sz w:val="24"/>
        </w:rPr>
        <w:t xml:space="preserve">D.2 Administrative endpoints</w:t>
      </w:r>
    </w:p>
    <w:p>
      <w:pPr>
        <w:pStyle w:val="FirstParagraph"/>
      </w:pPr>
      <w:r>
        <w:t xml:space="preserve">The administrative HTTP API used for the comparative study is exposed under</w:t>
      </w:r>
      <w:r>
        <w:t xml:space="preserve"> </w:t>
      </w:r>
      <w:r>
        <w:rPr>
          <w:rStyle w:val="VerbatimChar"/>
        </w:rPr>
        <w:t xml:space="preserve">/api/v1/admin/</w:t>
      </w:r>
      <w:r>
        <w:t xml:space="preserve">:</w:t>
      </w:r>
    </w:p>
    <w:p>
      <w:pPr>
        <w:pStyle w:val="Compact"/>
        <w:numPr>
          <w:ilvl w:val="0"/>
          <w:numId w:val="1009"/>
        </w:numPr>
      </w:pPr>
      <w:r>
        <w:rPr>
          <w:rStyle w:val="VerbatimChar"/>
        </w:rPr>
        <w:t xml:space="preserve">GET /api/v1/admin/scoring-mode</w:t>
      </w:r>
      <w:r>
        <w:t xml:space="preserve"> </w:t>
      </w:r>
      <w:r>
        <w:t xml:space="preserve">→</w:t>
      </w:r>
      <w:r>
        <w:t xml:space="preserve"> </w:t>
      </w:r>
      <w:r>
        <w:rPr>
          <w:rStyle w:val="VerbatimChar"/>
        </w:rPr>
        <w:t xml:space="preserve">AdminScoringModeResponse</w:t>
      </w:r>
    </w:p>
    <w:p>
      <w:pPr>
        <w:pStyle w:val="Compact"/>
        <w:numPr>
          <w:ilvl w:val="0"/>
          <w:numId w:val="1009"/>
        </w:numPr>
      </w:pPr>
      <w:r>
        <w:rPr>
          <w:rStyle w:val="VerbatimChar"/>
        </w:rPr>
        <w:t xml:space="preserve">POST /api/v1/admin/scoring-mode</w:t>
      </w:r>
      <w:r>
        <w:t xml:space="preserve"> </w:t>
      </w:r>
      <w:r>
        <w:t xml:space="preserve">with body</w:t>
      </w:r>
      <w:r>
        <w:t xml:space="preserve"> </w:t>
      </w:r>
      <w:r>
        <w:rPr>
          <w:rStyle w:val="VerbatimChar"/>
        </w:rPr>
        <w:t xml:space="preserve">{ "mode": "blended" | "heuristic" }</w:t>
      </w:r>
      <w:r>
        <w:t xml:space="preserve"> </w:t>
      </w:r>
      <w:r>
        <w:t xml:space="preserve">→ returns the updated</w:t>
      </w:r>
      <w:r>
        <w:t xml:space="preserve"> </w:t>
      </w:r>
      <w:r>
        <w:rPr>
          <w:rStyle w:val="VerbatimChar"/>
        </w:rPr>
        <w:t xml:space="preserve">AdminScoringModeResponse</w:t>
      </w:r>
    </w:p>
    <w:p>
      <w:pPr>
        <w:pStyle w:val="FirstParagraph"/>
      </w:pPr>
      <w:r>
        <w:t xml:space="preserve">The response shape is:</w:t>
      </w:r>
    </w:p>
    <w:p>
      <w:pPr>
        <w:pStyle w:val="SourceCode"/>
      </w:pP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"blended"</w:t>
      </w:r>
      <w:r>
        <w:rPr>
          <w:rStyle w:val="FunctionTok"/>
        </w:rPr>
        <w:t xml:space="preserve">,</w:t>
      </w:r>
      <w:r>
        <w:br/>
      </w:r>
      <w:r>
        <w:rPr>
          <w:rStyle w:val="NormalTok"/>
        </w:rPr>
        <w:t xml:space="preserve">  </w:t>
      </w:r>
      <w:r>
        <w:rPr>
          <w:rStyle w:val="DataTypeTok"/>
        </w:rPr>
        <w:t xml:space="preserve">"heuristic_version"</w:t>
      </w:r>
      <w:r>
        <w:rPr>
          <w:rStyle w:val="FunctionTok"/>
        </w:rPr>
        <w:t xml:space="preserve">:</w:t>
      </w:r>
      <w:r>
        <w:rPr>
          <w:rStyle w:val="NormalTok"/>
        </w:rPr>
        <w:t xml:space="preserve"> </w:t>
      </w:r>
      <w:r>
        <w:rPr>
          <w:rStyle w:val="StringTok"/>
        </w:rPr>
        <w:t xml:space="preserve">"v1"</w:t>
      </w:r>
      <w:r>
        <w:rPr>
          <w:rStyle w:val="FunctionTok"/>
        </w:rPr>
        <w:t xml:space="preserve">,</w:t>
      </w:r>
      <w:r>
        <w:br/>
      </w:r>
      <w:r>
        <w:rPr>
          <w:rStyle w:val="NormalTok"/>
        </w:rPr>
        <w:t xml:space="preserve">  </w:t>
      </w:r>
      <w:r>
        <w:rPr>
          <w:rStyle w:val="DataTypeTok"/>
        </w:rPr>
        <w:t xml:space="preserve">"blended_weight_heuristic"</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"blended_weight_llm"</w:t>
      </w:r>
      <w:r>
        <w:rPr>
          <w:rStyle w:val="FunctionTok"/>
        </w:rPr>
        <w:t xml:space="preserve">:</w:t>
      </w:r>
      <w:r>
        <w:rPr>
          <w:rStyle w:val="NormalTok"/>
        </w:rPr>
        <w:t xml:space="preserve"> </w:t>
      </w:r>
      <w:r>
        <w:rPr>
          <w:rStyle w:val="FloatTok"/>
        </w:rPr>
        <w:t xml:space="preserve">0.6</w:t>
      </w:r>
      <w:r>
        <w:br/>
      </w:r>
      <w:r>
        <w:rPr>
          <w:rStyle w:val="FunctionTok"/>
        </w:rPr>
        <w:t xml:space="preserve">}</w:t>
      </w:r>
    </w:p>
    <w:p>
      <w:pPr>
        <w:pStyle w:val="FirstParagraph"/>
      </w:pPr>
      <w:r>
        <w:t xml:space="preserve">Both endpoints require an authenticated administrator (the</w:t>
      </w:r>
      <w:r>
        <w:t xml:space="preserve"> </w:t>
      </w:r>
      <w:r>
        <w:rPr>
          <w:rStyle w:val="VerbatimChar"/>
        </w:rPr>
        <w:t xml:space="preserve">users.is_admin</w:t>
      </w:r>
      <w:r>
        <w:t xml:space="preserve"> </w:t>
      </w:r>
      <w:r>
        <w:t xml:space="preserve">flag controls access) and are rate-limited at 60 requests per minute per administrator. The runtime mode change is held in process memory only; restarting the backend restores the configured default from the</w:t>
      </w:r>
      <w:r>
        <w:t xml:space="preserve"> </w:t>
      </w:r>
      <w:r>
        <w:rPr>
          <w:rStyle w:val="VerbatimChar"/>
        </w:rPr>
        <w:t xml:space="preserve">SCORING_MODE</w:t>
      </w:r>
      <w:r>
        <w:t xml:space="preserve"> </w:t>
      </w:r>
      <w:r>
        <w:t xml:space="preserve">environment variable.</w:t>
      </w:r>
    </w:p>
    <w:bookmarkEnd w:id="148"/>
    <w:bookmarkStart w:id="149" w:name="d.3-running-the-evaluation-harness"/>
    <w:p>
      <w:pPr>
        <w:pStyle w:val="Heading3"/>
      </w:pPr>
      <w:r>
        <w:rPr>
          <w:b/>
          <w:i/>
          <w:sz w:val="24"/>
        </w:rPr>
        <w:t xml:space="preserve">D.3 Running the evaluation harness</w:t>
      </w:r>
    </w:p>
    <w:p>
      <w:pPr>
        <w:pStyle w:val="SourceCode"/>
      </w:pPr>
      <w:r>
        <w:rPr>
          <w:rStyle w:val="VerbatimChar"/>
        </w:rPr>
        <w:t xml:space="preserve">$ cd backend</w:t>
      </w:r>
      <w:r>
        <w:br/>
      </w:r>
      <w:r>
        <w:rPr>
          <w:rStyle w:val="VerbatimChar"/>
        </w:rPr>
        <w:t xml:space="preserve">$ SCORING_MODE=blended RESULT_CACHE_ENABLED=false \</w:t>
      </w:r>
      <w:r>
        <w:br/>
      </w:r>
      <w:r>
        <w:rPr>
          <w:rStyle w:val="VerbatimChar"/>
        </w:rPr>
        <w:t xml:space="preserve">  python ../scripts/eval_scoring.py</w:t>
      </w:r>
      <w:r>
        <w:br/>
      </w:r>
      <w:r>
        <w:rPr>
          <w:rStyle w:val="VerbatimChar"/>
        </w:rPr>
        <w:t xml:space="preserve">$ python ../scripts/analyze_eval_results.py &gt; ../thesis/chapter-04-results.md</w:t>
      </w:r>
    </w:p>
    <w:p>
      <w:pPr>
        <w:pStyle w:val="FirstParagraph"/>
      </w:pPr>
      <w:r>
        <w:t xml:space="preserve">The harness writes</w:t>
      </w:r>
      <w:r>
        <w:t xml:space="preserve"> </w:t>
      </w:r>
      <w:r>
        <w:rPr>
          <w:rStyle w:val="VerbatimChar"/>
        </w:rPr>
        <w:t xml:space="preserve">thesis/eval-results.json</w:t>
      </w:r>
      <w:r>
        <w:t xml:space="preserve">; the analyzer prints the Markdown tables ready to paste into Chapter 4.3.</w:t>
      </w:r>
    </w:p>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32" Type="http://schemas.openxmlformats.org/officeDocument/2006/relationships/image" Target="media/rId32.png"/><Relationship Id="rId45" Type="http://schemas.openxmlformats.org/officeDocument/2006/relationships/image" Target="media/rId45.png"/><Relationship Id="rId93" Type="http://schemas.openxmlformats.org/officeDocument/2006/relationships/image" Target="media/rId93.png"/><Relationship Id="rId130" Type="http://schemas.openxmlformats.org/officeDocument/2006/relationships/image" Target="media/rId130.png"/><Relationship Id="rId134" Type="http://schemas.openxmlformats.org/officeDocument/2006/relationships/image" Target="media/rId134.png"/><Relationship Id="rId138" Type="http://schemas.openxmlformats.org/officeDocument/2006/relationships/image" Target="media/rId138.png"/><Relationship Id="rId142" Type="http://schemas.openxmlformats.org/officeDocument/2006/relationships/image" Target="media/rId1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AI-Based System for Personalized Career Recommendation</dc:title>
  <dc:creator>Egemen Goncu</dc:creator>
  <dc:language>en</dc:language>
  <cp:keywords/>
  <dcterms:created xsi:type="dcterms:W3CDTF">2026-05-07T22:41:53Z</dcterms:created>
  <dcterms:modified xsi:type="dcterms:W3CDTF">2026-05-07T22:41:53Z</dcterms:modified>
</cp:coreProperties>
</file>

<file path=docProps/custom.xml><?xml version="1.0" encoding="utf-8"?>
<Properties xmlns="http://schemas.openxmlformats.org/officeDocument/2006/custom-properties" xmlns:vt="http://schemas.openxmlformats.org/officeDocument/2006/docPropsVTypes"/>
</file>