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90"/>
      </w:pPr>
      <w:r>
        <w:rPr>
          <w:rFonts w:ascii="Times New Roman" w:hAnsi="Times New Roman" w:eastAsia="Times New Roman" w:cs="Times New Roman"/>
          <w:sz w:val="28"/>
          <w:szCs w:val="28"/>
          <w:b/>
          <w:bCs/>
        </w:rPr>
        <w:t>Wrocław University of Science and Technology</w:t>
      </w:r>
    </w:p>
    <w:p>
      <w:pPr>
        <w:jc w:val="center"/>
        <w:spacing w:before="0" w:after="700"/>
      </w:pPr>
      <w:r>
        <w:rPr>
          <w:rFonts w:ascii="Times New Roman" w:hAnsi="Times New Roman" w:eastAsia="Times New Roman" w:cs="Times New Roman"/>
          <w:sz w:val="26"/>
          <w:szCs w:val="26"/>
        </w:rPr>
        <w:t>Faculty of Electronics, Photonics and Microsystems</w:t>
      </w:r>
    </w:p>
    <w:p>
      <w:pPr>
        <w:jc w:val="center"/>
        <w:spacing w:before="0" w:after="560"/>
      </w:pPr>
      <w:r>
        <w:rPr>
          <w:rFonts w:ascii="Times New Roman" w:hAnsi="Times New Roman" w:eastAsia="Times New Roman" w:cs="Times New Roman"/>
          <w:sz w:val="24"/>
          <w:szCs w:val="24"/>
        </w:rPr>
        <w:t>Field of Study: Electronic and Computer Engineering</w:t>
      </w:r>
    </w:p>
    <w:p>
      <w:pPr>
        <w:jc w:val="center"/>
        <w:spacing w:before="0" w:after="300"/>
      </w:pPr>
      <w:r>
        <w:rPr>
          <w:rFonts w:ascii="Times New Roman" w:hAnsi="Times New Roman" w:eastAsia="Times New Roman" w:cs="Times New Roman"/>
          <w:sz w:val="36"/>
          <w:szCs w:val="36"/>
          <w:b/>
          <w:bCs/>
        </w:rPr>
        <w:t>BACHELOR THESIS</w:t>
      </w:r>
    </w:p>
    <w:p>
      <w:pPr>
        <w:jc w:val="center"/>
        <w:spacing w:before="0" w:after="120"/>
      </w:pPr>
      <w:r>
        <w:rPr>
          <w:rFonts w:ascii="Times New Roman" w:hAnsi="Times New Roman" w:eastAsia="Times New Roman" w:cs="Times New Roman"/>
          <w:sz w:val="24"/>
          <w:szCs w:val="24"/>
        </w:rPr>
        <w:t>Title of Thesis:</w:t>
      </w:r>
    </w:p>
    <w:p>
      <w:pPr>
        <w:jc w:val="center"/>
        <w:spacing w:before="0" w:after="140"/>
      </w:pPr>
      <w:r>
        <w:rPr>
          <w:rFonts w:ascii="Times New Roman" w:hAnsi="Times New Roman" w:eastAsia="Times New Roman" w:cs="Times New Roman"/>
          <w:sz w:val="32"/>
          <w:szCs w:val="32"/>
          <w:b/>
          <w:bCs/>
        </w:rPr>
        <w:t>An AI-Based System for Personalized Career Recommendation</w:t>
      </w:r>
    </w:p>
    <w:p>
      <w:pPr>
        <w:jc w:val="center"/>
        <w:spacing w:before="0" w:after="700"/>
      </w:pPr>
      <w:r>
        <w:rPr>
          <w:rFonts w:ascii="Times New Roman" w:hAnsi="Times New Roman" w:eastAsia="Times New Roman" w:cs="Times New Roman"/>
          <w:sz w:val="24"/>
          <w:szCs w:val="24"/>
          <w:i/>
          <w:iCs/>
        </w:rPr>
        <w:t>System oparty na sztucznej inteligencji do spersonalizowanego doradztwa zawodowego</w:t>
      </w:r>
    </w:p>
    <w:p>
      <w:pPr>
        <w:jc w:val="center"/>
        <w:spacing w:before="0" w:after="80"/>
      </w:pPr>
      <w:r>
        <w:rPr>
          <w:rFonts w:ascii="Times New Roman" w:hAnsi="Times New Roman" w:eastAsia="Times New Roman" w:cs="Times New Roman"/>
          <w:sz w:val="24"/>
          <w:szCs w:val="24"/>
        </w:rPr>
        <w:t>Author:</w:t>
      </w:r>
    </w:p>
    <w:p>
      <w:pPr>
        <w:jc w:val="center"/>
        <w:spacing w:before="0" w:after="260"/>
      </w:pPr>
      <w:r>
        <w:rPr>
          <w:rFonts w:ascii="Times New Roman" w:hAnsi="Times New Roman" w:eastAsia="Times New Roman" w:cs="Times New Roman"/>
          <w:sz w:val="24"/>
          <w:szCs w:val="24"/>
          <w:b/>
          <w:bCs/>
        </w:rPr>
        <w:t>Egemen Goncu</w:t>
      </w:r>
    </w:p>
    <w:p>
      <w:pPr>
        <w:jc w:val="center"/>
        <w:spacing w:before="0" w:after="80"/>
      </w:pPr>
      <w:r>
        <w:rPr>
          <w:rFonts w:ascii="Times New Roman" w:hAnsi="Times New Roman" w:eastAsia="Times New Roman" w:cs="Times New Roman"/>
          <w:sz w:val="24"/>
          <w:szCs w:val="24"/>
        </w:rPr>
        <w:t>Supervisor:</w:t>
      </w:r>
    </w:p>
    <w:p>
      <w:pPr>
        <w:jc w:val="center"/>
        <w:spacing w:before="0" w:after="820"/>
      </w:pPr>
      <w:r>
        <w:rPr>
          <w:rFonts w:ascii="Times New Roman" w:hAnsi="Times New Roman" w:eastAsia="Times New Roman" w:cs="Times New Roman"/>
          <w:sz w:val="24"/>
          <w:szCs w:val="24"/>
        </w:rPr>
        <w:t>dr inż. Michał Błędowski</w:t>
      </w:r>
    </w:p>
    <w:p>
      <w:pPr>
        <w:jc w:val="center"/>
        <w:spacing w:before="0" w:after="0"/>
      </w:pPr>
      <w:r>
        <w:rPr>
          <w:rFonts w:ascii="Times New Roman" w:hAnsi="Times New Roman" w:eastAsia="Times New Roman" w:cs="Times New Roman"/>
          <w:sz w:val="24"/>
          <w:szCs w:val="24"/>
          <w:b/>
          <w:bCs/>
        </w:rPr>
        <w:t>WROCŁAW 2026</w:t>
      </w:r>
    </w:p>
    <w:p>
      <w:pPr>
        <w:jc w:val="left"/>
        <w:spacing w:before="0" w:after="0"/>
        <w:sectPr>
          <w:type w:val="nextPage"/>
          <w:pgSz w:w="11906" w:h="16838"/>
          <w:pgMar w:top="1417" w:right="1417" w:bottom="1417" w:left="1417" w:header="709" w:footer="709" w:gutter="0"/>
          <w:cols w:space="708"/>
          <w:docGrid w:linePitch="360"/>
        </w:sectPr>
      </w:pPr>
    </w:p>
    <w:p>
      <w:pPr>
        <w:pStyle w:val="Heading1"/>
        <w:keepNext/>
        <w:pageBreakBefore/>
        <w:jc w:val="left"/>
      </w:pPr>
      <w:r>
        <w:rPr>
          <w:rFonts w:ascii="Times New Roman" w:hAnsi="Times New Roman" w:eastAsia="Times New Roman" w:cs="Times New Roman"/>
          <w:b/>
          <w:i w:val="0"/>
          <w:color w:val="000000"/>
          <w:sz w:val="36"/>
        </w:rPr>
        <w:t xml:space="preserve">Abstract — Streszczenie / Abstract</w:t>
      </w:r>
    </w:p>
    <w:bookmarkStart w:id="11" w:name="streszczenie"/>
    <w:p>
      <w:pPr>
        <w:pStyle w:val="Heading2"/>
        <w:keepNext/>
        <w:jc w:val="left"/>
      </w:pPr>
      <w:r>
        <w:rPr>
          <w:rFonts w:ascii="Times New Roman" w:hAnsi="Times New Roman" w:eastAsia="Times New Roman" w:cs="Times New Roman"/>
          <w:b/>
          <w:i w:val="0"/>
          <w:color w:val="000000"/>
          <w:sz w:val="28"/>
          <w:lang w:val="pl-PL" w:eastAsia="pl-PL" w:bidi="pl-PL"/>
        </w:rPr>
        <w:t xml:space="preserve" xml:lang="pl-PL">Streszczenie</w:t>
      </w:r>
    </w:p>
    <w:p>
      <w:pPr>
        <w:pStyle w:val="FirstParagraph"/>
        <w:spacing w:line="312" w:lineRule="auto" w:after="80"/>
        <w:jc w:val="both"/>
      </w:pPr>
      <w:r>
        <w:rPr>
          <w:rFonts w:ascii="Times New Roman" w:hAnsi="Times New Roman" w:eastAsia="Times New Roman" w:cs="Times New Roman"/>
          <w:color w:val="000000"/>
          <w:sz w:val="24"/>
          <w:lang w:val="pl-PL" w:eastAsia="pl-PL" w:bidi="pl-PL"/>
        </w:rPr>
        <w:t xml:space="preserve" xml:lang="pl-PL">W pracy przedstawiono projekt, implementację oraz ewaluację systemu opartego na sztucznej inteligencji do spersonalizowanego doradztwa zawodowego. System, wdrożony jako aplikacja webowa na zarządzanej platformie chmurowej, integruje sześć komplementarnych narzędzi: analizę CV, dopasowanie do oferty pracy, sugestię ścieżki kariery, generowanie listu motywacyjnego, przygotowanie do rozmowy kwalifikacyjnej oraz planowanie portfolio. Frontend zbudowano w technologiach React 19 i TanStack Start; backend wykorzystuje FastAPI oraz PostgreSQL; wnioskowanie modelu językowego delegowano do usługi Google Vertex AI Gemini 2.5 Flash.</w:t>
      </w:r>
    </w:p>
    <w:p>
      <w:pPr>
        <w:pStyle w:val="BodyText"/>
        <w:spacing w:line="312" w:lineRule="auto" w:after="80"/>
        <w:ind w:firstLine="283"/>
        <w:jc w:val="both"/>
      </w:pPr>
      <w:r>
        <w:rPr>
          <w:rFonts w:ascii="Times New Roman" w:hAnsi="Times New Roman" w:eastAsia="Times New Roman" w:cs="Times New Roman"/>
          <w:color w:val="000000"/>
          <w:sz w:val="24"/>
          <w:lang w:val="pl-PL" w:eastAsia="pl-PL" w:bidi="pl-PL"/>
        </w:rPr>
        <w:t xml:space="preserve" xml:lang="pl-PL">W odpowiedzi na obawy dotyczące kosztu, opóźnienia oraz zależności od zewnętrznego dostawcy modelu rdzeń analityczny systemu obsługuje dwa przełączalne w czasie działania tryby oceny.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Tryb mieszany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łączy deterministyczną heurystykę ze strukturalnym wyjściem modelu językowego (40% / 60%).</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Tryb w pełni heurystyczny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opiera się na klasycznych metodach wyszukiwania informacji: analizie słów kluczowych TF–IDF z rankingiem BM25, normalizacji umiejętności zgodnej z taksonomią ESCO, dopasowaniu rozmytym oraz ekstrakcji cech ważonych sekcjami.</w:t>
      </w:r>
    </w:p>
    <w:p>
      <w:pPr>
        <w:pStyle w:val="BodyText"/>
        <w:spacing w:line="312" w:lineRule="auto" w:after="80"/>
        <w:ind w:firstLine="283"/>
        <w:jc w:val="both"/>
      </w:pPr>
      <w:r>
        <w:rPr>
          <w:rFonts w:ascii="Times New Roman" w:hAnsi="Times New Roman" w:eastAsia="Times New Roman" w:cs="Times New Roman"/>
          <w:color w:val="000000"/>
          <w:sz w:val="24"/>
          <w:lang w:val="pl-PL" w:eastAsia="pl-PL" w:bidi="pl-PL"/>
        </w:rPr>
        <w:t xml:space="preserve" xml:lang="pl-PL">Kontrolowane studium porównawcze oceniło oba tryby na 100 parach (CV, opis stanowiska) obejmujących sześć ścieżek zawodowych. Zbiór ewaluacyjny stanowią deterministycznie wygenerowane syntetyczne CV oraz syntetyczne opisy stanowisk skonstruowane z rozłącznych słownikowo pul fraz; strona CV i strona opisu stanowiska nie współdzielą słownictwa treściowego poza kanonicznymi nazwami umiejętności. W tym zbiorze tryb w pełni heurystyczny śledzi tryb mieszany przy Pearsonowskim</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r</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 0,836 [95% przedział ufności 0,762, 0,896, bootstrap klastrowy względem identyfikatora CV] oraz Spearmanowskim ρ = 0,847, działa około dwa do trzech rzędów wielkości szybciej (mediana 25,5 ms wobec 18,2 s) oraz nie ponosi krańcowego kosztu po stronie modelu językowego.</w:t>
      </w:r>
    </w:p>
    <w:p>
      <w:pPr>
        <w:pStyle w:val="BodyText"/>
        <w:spacing w:line="312" w:lineRule="auto" w:after="80"/>
        <w:ind w:firstLine="283"/>
        <w:jc w:val="both"/>
      </w:pPr>
      <w:r>
        <w:rPr>
          <w:rFonts w:ascii="Times New Roman" w:hAnsi="Times New Roman" w:eastAsia="Times New Roman" w:cs="Times New Roman"/>
          <w:color w:val="000000"/>
          <w:sz w:val="24"/>
          <w:lang w:val="pl-PL" w:eastAsia="pl-PL" w:bidi="pl-PL"/>
        </w:rPr>
        <w:t xml:space="preserve" xml:lang="pl-PL">Korelacja między samym modelem językowym a trybem heurystycznym, odzyskana post-hoc z tożsamości formuły mieszanej w celu odseparowania składowej strukturalnej, wynosi</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r</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 0,627 [95% CI 0,476, 0,765]. Tryb mieszany zachowuje przewagę w zakresie dowodów jakości prozy (podwynik</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clarity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r</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 0,395), co motywuje utrzymanie komponentu językowego obok deterministycznej linii bazowej. Ograniczenia obejmują zakres jednojęzyczny (angielski), syntetyczny zbiór jednego autora oraz pojedynczą konfigurację dostawcy modelu językowego. Praca przyszła obejmuje integrację komponentu wyszukiwania wspomagającego, rozszerzenie o CV w języku polskim oraz uzupełnienie heurystyki o pośredni poziom dopasowania semantycznego oparty na transformatorach zdań.</w:t>
      </w:r>
    </w:p>
    <w:p>
      <w:pPr>
        <w:pStyle w:val="BodyText"/>
        <w:spacing w:line="312" w:lineRule="auto" w:after="80"/>
        <w:jc w:val="both"/>
      </w:pPr>
      <w:r>
        <w:rPr>
          <w:rFonts w:ascii="Times New Roman" w:hAnsi="Times New Roman" w:eastAsia="Times New Roman" w:cs="Times New Roman"/>
          <w:b/>
          <w:bCs/>
          <w:color w:val="000000"/>
          <w:sz w:val="24"/>
          <w:lang w:val="pl-PL" w:eastAsia="pl-PL" w:bidi="pl-PL"/>
        </w:rPr>
        <w:t xml:space="preserve" xml:lang="pl-PL">Słowa kluczowe:</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doradztwo zawodowe, analiza CV, duże modele językowe, wyszukiwanie informacji, taksonomia ESCO, ocena hybrydowa, FastAPI, React.</w:t>
      </w:r>
    </w:p>
    <w:bookmarkEnd w:id="11"/>
    <w:bookmarkStart w:id="12" w:name="abstract-english"/>
    <w:p>
      <w:pPr>
        <w:pStyle w:val="Heading2"/>
        <w:keepNext/>
        <w:jc w:val="left"/>
      </w:pPr>
      <w:r>
        <w:rPr>
          <w:rFonts w:ascii="Times New Roman" w:hAnsi="Times New Roman" w:eastAsia="Times New Roman" w:cs="Times New Roman"/>
          <w:b/>
          <w:i w:val="0"/>
          <w:color w:val="000000"/>
          <w:sz w:val="28"/>
        </w:rPr>
        <w:t xml:space="preserve">Abstract (English)</w:t>
      </w:r>
    </w:p>
    <w:p>
      <w:pPr>
        <w:pStyle w:val="FirstParagraph"/>
        <w:spacing w:line="312" w:lineRule="auto" w:after="80"/>
        <w:jc w:val="both"/>
      </w:pPr>
      <w:r>
        <w:rPr>
          <w:rFonts w:ascii="Times New Roman" w:hAnsi="Times New Roman" w:eastAsia="Times New Roman" w:cs="Times New Roman"/>
          <w:color w:val="000000"/>
          <w:sz w:val="24"/>
        </w:rPr>
        <w:t xml:space="preserve">This thesis presents the design, implementation, and evaluation of an AI-based system for personalised career recommendation. The deployed web application integrates six tools: resume analysis, job-description matching, career-path suggestion, cover-letter generation, interview preparation, and portfolio planning. The frontend uses React 19 and TanStack Start; the backend uses FastAPI and PostgreSQL; language-model inference is delegated to Google Vertex AI Gemini 2.5 Flash.</w:t>
      </w:r>
    </w:p>
    <w:p>
      <w:pPr>
        <w:pStyle w:val="BodyText"/>
        <w:spacing w:line="312" w:lineRule="auto" w:after="80"/>
        <w:ind w:firstLine="283"/>
        <w:jc w:val="both"/>
      </w:pPr>
      <w:r>
        <w:rPr>
          <w:rFonts w:ascii="Times New Roman" w:hAnsi="Times New Roman" w:eastAsia="Times New Roman" w:cs="Times New Roman"/>
          <w:color w:val="000000"/>
          <w:sz w:val="24"/>
        </w:rPr>
        <w:t xml:space="preserve">To address cost, latency, and external-provider dependence, the analytical core supports two runtime-switchable scoring modes.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blended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combines a deterministic heuristic with the language model’s structured output at 40% / 60% weighting.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fully heuristic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uses classical information-retrieval methods: TF–IDF and BM25 keyword evidence, ESCO-aligned skill normalisation, string-similarity fuzzy matching, and section-weighted feature extraction.</w:t>
      </w:r>
    </w:p>
    <w:p>
      <w:pPr>
        <w:pStyle w:val="BodyText"/>
        <w:spacing w:line="312" w:lineRule="auto" w:after="80"/>
        <w:ind w:firstLine="283"/>
        <w:jc w:val="both"/>
      </w:pPr>
      <w:r>
        <w:rPr>
          <w:rFonts w:ascii="Times New Roman" w:hAnsi="Times New Roman" w:eastAsia="Times New Roman" w:cs="Times New Roman"/>
          <w:color w:val="000000"/>
          <w:sz w:val="24"/>
        </w:rPr>
        <w:t xml:space="preserve">A controlled comparative study evaluated both modes on 100 synthetic resume/job-description pairs spanning six role tracks. The benchmark was deterministically generated under a disjoint-vocabulary construction: resume-side and job-description-side phrase pools share no content-word vocabulary beyond canonical skill terms. Within this benchmark, heuristic mode tracks blended mode at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0.836 [95% CI 0.762, 0.896 under cluster bootstrap on resume identity] and Spearman ρ = 0.847, while running much faster (median 25.5 ms vs 18.2 s) and incurring zero LLM-side marginal cost. The post-hoc LLM-only-versus-heuristic correlation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0.627 [95% CI 0.476, 0.765], after controlling for the 0.40 heuristic share embedded in the blended formula.</w:t>
      </w:r>
    </w:p>
    <w:p>
      <w:pPr>
        <w:pStyle w:val="BodyText"/>
        <w:spacing w:line="312" w:lineRule="auto" w:after="80"/>
        <w:ind w:firstLine="283"/>
        <w:jc w:val="both"/>
      </w:pPr>
      <w:r>
        <w:rPr>
          <w:rFonts w:ascii="Times New Roman" w:hAnsi="Times New Roman" w:eastAsia="Times New Roman" w:cs="Times New Roman"/>
          <w:color w:val="000000"/>
          <w:sz w:val="24"/>
        </w:rPr>
        <w:t xml:space="preserve">The result supports the heuristic mode as a fast, auditable fallback, while the blended mode retains value on prose-quality evidence (clarity sub-score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0.395). Limitations include English-only evaluation, a single-author synthetic dataset, and one LLM provider. Future work proposes Polish-language ESCO support, retrieval-augmented grounding, and a sentence-transformer intermediate tier.</w:t>
      </w:r>
    </w:p>
    <w:p>
      <w:pPr>
        <w:pStyle w:val="BodyText"/>
        <w:spacing w:line="312" w:lineRule="auto" w:after="80"/>
        <w:jc w:val="both"/>
      </w:pPr>
      <w:r>
        <w:rPr>
          <w:rFonts w:ascii="Times New Roman" w:hAnsi="Times New Roman" w:eastAsia="Times New Roman" w:cs="Times New Roman"/>
          <w:b/>
          <w:bCs/>
          <w:color w:val="000000"/>
          <w:sz w:val="24"/>
        </w:rPr>
        <w:t xml:space="preserve">Keywords: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career recommendation, resume analysis, large language models, information retrieval, ESCO taxonomy, hybrid scoring, FastAPI, React.</w:t>
      </w:r>
    </w:p>
    <w:bookmarkEnd w:id="12"/>
    <w:bookmarkEnd w:id="13"/>
    <w:bookmarkStart w:id="14" w:name="acknowledgements"/>
    <w:p>
      <w:pPr>
        <w:pStyle w:val="Heading1"/>
        <w:keepNext/>
        <w:pageBreakBefore/>
        <w:jc w:val="left"/>
      </w:pPr>
      <w:r>
        <w:rPr>
          <w:rFonts w:ascii="Times New Roman" w:hAnsi="Times New Roman" w:eastAsia="Times New Roman" w:cs="Times New Roman"/>
          <w:b/>
          <w:i w:val="0"/>
          <w:color w:val="000000"/>
          <w:sz w:val="36"/>
        </w:rPr>
        <w:t xml:space="preserve">Acknowledgements</w:t>
      </w:r>
    </w:p>
    <w:p>
      <w:pPr>
        <w:pStyle w:val="FirstParagraph"/>
        <w:spacing w:line="312" w:lineRule="auto" w:after="80"/>
        <w:jc w:val="both"/>
      </w:pPr>
      <w:r>
        <w:rPr>
          <w:rFonts w:ascii="Times New Roman" w:hAnsi="Times New Roman" w:eastAsia="Times New Roman" w:cs="Times New Roman"/>
          <w:color w:val="000000"/>
          <w:sz w:val="24"/>
        </w:rPr>
        <w:t xml:space="preserve">I would like to thank my supervisor,</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dr inż. Michał Błędowski</w:t>
      </w:r>
      <w:r>
        <w:rPr>
          <w:rFonts w:ascii="Times New Roman" w:hAnsi="Times New Roman" w:eastAsia="Times New Roman" w:cs="Times New Roman"/>
          <w:color w:val="000000"/>
          <w:sz w:val="24"/>
        </w:rP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spacing w:line="312" w:lineRule="auto" w:after="80"/>
        <w:ind w:firstLine="283"/>
        <w:jc w:val="both"/>
      </w:pPr>
      <w:r>
        <w:rPr>
          <w:rFonts w:ascii="Times New Roman" w:hAnsi="Times New Roman" w:eastAsia="Times New Roman" w:cs="Times New Roman"/>
          <w:color w:val="000000"/>
          <w:sz w:val="24"/>
        </w:rPr>
        <w:t xml:space="preserve">I am grateful to the</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Faculty of Electronics, Photonics and Microsystems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at Wrocław University of Science and Technology for providing the academic environment in which this thesis was prepared, and to the staff and lecturers whose courses across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Electronic and Computer Engineering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curriculum gave me the technical foundation on which this work builds.</w:t>
      </w:r>
    </w:p>
    <w:p>
      <w:pPr>
        <w:pStyle w:val="BodyText"/>
        <w:spacing w:line="312" w:lineRule="auto" w:after="80"/>
        <w:ind w:firstLine="283"/>
        <w:jc w:val="both"/>
      </w:pPr>
      <w:r>
        <w:rPr>
          <w:rFonts w:ascii="Times New Roman" w:hAnsi="Times New Roman" w:eastAsia="Times New Roman" w:cs="Times New Roman"/>
          <w:color w:val="000000"/>
          <w:sz w:val="24"/>
        </w:rPr>
        <w:t xml:space="preserve">My thanks to the open-source maintainers of the FastAPI, TanStack, React, and SQLAlchemy projects, whose libraries made it possible for a single developer to ship a system at this scope on a thesis-bound schedule.</w:t>
      </w:r>
    </w:p>
    <w:p>
      <w:pPr>
        <w:pStyle w:val="BodyText"/>
        <w:spacing w:line="312" w:lineRule="auto" w:after="80"/>
        <w:ind w:firstLine="283"/>
        <w:jc w:val="both"/>
      </w:pPr>
      <w:r>
        <w:rPr>
          <w:rFonts w:ascii="Times New Roman" w:hAnsi="Times New Roman" w:eastAsia="Times New Roman" w:cs="Times New Roman"/>
          <w:color w:val="000000"/>
          <w:sz w:val="24"/>
        </w:rPr>
        <w:t xml:space="preserve">Egemen Goncu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Wrocław, May 2026</w:t>
      </w:r>
    </w:p>
    <w:bookmarkEnd w:id="14"/>
    <w:bookmarkStart w:id="16" w:name="list-of-abbreviations-and-symbols"/>
    <w:p>
      <w:pPr>
        <w:pStyle w:val="Heading1"/>
        <w:keepNext/>
        <w:pageBreakBefore/>
        <w:jc w:val="left"/>
      </w:pPr>
      <w:r>
        <w:rPr>
          <w:rFonts w:ascii="Times New Roman" w:hAnsi="Times New Roman" w:eastAsia="Times New Roman" w:cs="Times New Roman"/>
          <w:b/>
          <w:i w:val="0"/>
          <w:color w:val="000000"/>
          <w:sz w:val="36"/>
        </w:rPr>
        <w:t xml:space="preserve">List of abbreviations and symbols</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1814"/>
        <w:gridCol w:w="7030"/>
      </w:tblGrid>
      <w:tr>
        <w:trPr>
          <w:tblHeader w:val="on"/>
        </w:trPr>
        <w:tc>
          <w:tcPr>
            <w:tcW w:type="dxa" w:w="181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Abbreviation</w:t>
            </w:r>
          </w:p>
        </w:tc>
        <w:tc>
          <w:tcPr>
            <w:tcW w:type="dxa" w:w="703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Expansion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AI</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Artificial Intelligence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API</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Application Programming Interface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APD</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Archive of Diploma Theses (USOS-APD)</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ATS</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Applicant Tracking System</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BM25</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Best Match 25 (probabilistic relevance ranking function)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CI</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Confidence Interval / Continuous Integration, depending on context</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CORS</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Cross-Origin Resource Sharing</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ESCO</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European Skills, Competences, Qualifications and Occupations</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FastAPI</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Python web framework used by the backend</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GDPR</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General Data Protection Regulation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Gemini</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Google large-language-model family used through Vertex AI</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HTTP / HTTPS</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HyperText Transfer Protocol / HTTP Secure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IDF</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Inverse Document Frequency</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IR</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Information Retrieval</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JD</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Job Description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JSON</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JavaScript Object Notation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JWT</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JSON Web Token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KS</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Kolmogorov–Smirnov statistical distance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LLM</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Large Language Model</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NER</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Named-Entity Recognition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NLP</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Natural Language Processing</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OAuth</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Open Authorisation / federated-identity protocol</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O*NET</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Occupational Information Network taxonomy</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ORM</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Object–Relational Mapping</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PDF</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Portable Document Format</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PWr</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Politechnika Wrocławska / Wrocław University of Science and Technology</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RAG</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Retrieval-Augmented Generation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REST</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Representational State Transfer</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SBERT</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Sentence-BERT</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SQL</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Structured Query Language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TF–IDF</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Term Frequency–Inverse Document Frequency</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UI / UX</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User Interface / User Experience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URL</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Uniform Resource Locator</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USOS-APD</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USOS Archive of Diploma Theses</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UUID</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Universally Unique Identifier</w:t>
            </w:r>
          </w:p>
        </w:tc>
      </w:tr>
      <w:tr>
        <w:tc>
          <w:tcPr>
            <w:tcW w:type="dxa" w:w="181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WEFiM</w:t>
            </w:r>
          </w:p>
        </w:tc>
        <w:tc>
          <w:tcPr>
            <w:tcW w:type="dxa" w:w="703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Faculty of Electronics, Photonics and Microsystems</w:t>
            </w:r>
          </w:p>
        </w:tc>
      </w:tr>
    </w:tbl>
    <w:bookmarkStart w:id="15" w:name="symbols-used-in-formulas-in-chapter-4"/>
    <w:p>
      <w:pPr>
        <w:pStyle w:val="Heading2"/>
        <w:keepNext/>
        <w:jc w:val="left"/>
      </w:pPr>
      <w:r>
        <w:rPr>
          <w:rFonts w:ascii="Times New Roman" w:hAnsi="Times New Roman" w:eastAsia="Times New Roman" w:cs="Times New Roman"/>
          <w:b/>
          <w:i w:val="0"/>
          <w:color w:val="000000"/>
          <w:sz w:val="28"/>
        </w:rPr>
        <w:t xml:space="preserve">Symbols (used in formulas in Chapter 4)</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1814"/>
        <w:gridCol w:w="7030"/>
      </w:tblGrid>
      <w:tr>
        <w:trPr>
          <w:tblHeader w:val="on"/>
        </w:trPr>
        <w:tc>
          <w:tcPr>
            <w:tcW w:type="dxa" w:w="181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Symbol</w:t>
            </w:r>
          </w:p>
        </w:tc>
        <w:tc>
          <w:tcPr>
            <w:tcW w:type="dxa" w:w="703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Meaning</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r</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Pearson correlation coefficient</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ρ, τ</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Spearman and Kendall rank-correlation coefficients</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k₁</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i/>
                <w:iCs/>
                <w:color w:val="000000"/>
                <w:sz w:val="18"/>
              </w:rPr>
              <w:t xml:space="preserve">b</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BM25 term-frequency saturation and document-length normalisation parameters</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τ</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Fuzzy-matching similarity threshold</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idf(t)</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Inverse document frequency of term</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i/>
                <w:iCs/>
                <w:color w:val="000000"/>
                <w:sz w:val="18"/>
              </w:rPr>
              <w:t xml:space="preserve">t</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N</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i/>
                <w:iCs/>
                <w:color w:val="000000"/>
                <w:sz w:val="18"/>
              </w:rPr>
              <w:t xml:space="preserve">M</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Number of resumes and number of job descriptions</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R</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i/>
                <w:iCs/>
                <w:color w:val="000000"/>
                <w:sz w:val="18"/>
              </w:rPr>
              <w:t xml:space="preserve">J</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 single resume and a single job description</w:t>
            </w:r>
          </w:p>
        </w:tc>
      </w:tr>
      <w:tr>
        <w:tc>
          <w:tcPr>
            <w:tcW w:type="dxa" w:w="181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K</w:t>
            </w:r>
            <w:r>
              <w:rPr>
                <w:rFonts w:ascii="Times New Roman" w:hAnsi="Times New Roman" w:eastAsia="Times New Roman" w:cs="Times New Roman"/>
                <w:b w:val="0"/>
                <w:color w:val="000000"/>
                <w:sz w:val="18"/>
              </w:rPr>
              <w:t xml:space="preserve">(·)</w:t>
            </w:r>
          </w:p>
        </w:tc>
        <w:tc>
          <w:tcPr>
            <w:tcW w:type="dxa" w:w="703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Keyword extractor function</w:t>
            </w:r>
          </w:p>
        </w:tc>
      </w:tr>
    </w:tbl>
    <w:bookmarkEnd w:id="15"/>
    <w:bookmarkEnd w:id="16"/>
    <w:bookmarkStart w:id="23" w:name="chapter-1-introduction"/>
    <w:p>
      <w:pPr>
        <w:jc w:val="left"/>
        <w:spacing w:before="0" w:after="160"/>
        <w:pageBreakBefore/>
      </w:pPr>
      <w:r>
        <w:rPr>
          <w:rFonts w:ascii="Times New Roman" w:hAnsi="Times New Roman" w:eastAsia="Times New Roman" w:cs="Times New Roman"/>
          <w:sz w:val="36"/>
          <w:szCs w:val="36"/>
          <w:b/>
          <w:bCs/>
        </w:rPr>
        <w:t>Contents</w:t>
      </w:r>
    </w:p>
    <w:p>
      <w:pPr>
        <w:pStyle w:val="TOC1"/>
        <w:keepNext/>
        <w:spacing w:before="0" w:after="160"/>
        <w:sectPr>
          <w:type w:val="nextPage"/>
          <w:footerReference w:type="default" r:id="rId143"/>
          <w:pgSz w:w="11906" w:h="16838"/>
          <w:pgMar w:top="1417" w:right="1417" w:bottom="1417" w:left="1417" w:header="709" w:footer="709" w:gutter="0"/>
          <w:pgNumType w:fmt="lowerRoman" w:start="1"/>
          <w:cols w:space="708"/>
          <w:docGrid w:linePitch="360"/>
        </w:sectPr>
      </w:pPr>
      <w:r>
        <w:fldChar w:fldCharType="begin" w:dirty="true"/>
      </w:r>
      <w:r>
        <w:instrText xml:space="preserve">TOC \o "1-2" \h \z \u</w:instrText>
      </w:r>
      <w:r>
        <w:fldChar w:fldCharType="separate"/>
      </w:r>
      <w:r>
        <w:fldChar w:fldCharType="end"/>
      </w:r>
    </w:p>
    <w:p>
      <w:pPr>
        <w:pStyle w:val="Heading1"/>
        <w:keepNext/>
        <w:pageBreakBefore/>
        <w:spacing w:before="480" w:after="240"/>
        <w:jc w:val="left"/>
      </w:pPr>
      <w:r>
        <w:rPr>
          <w:rFonts w:ascii="Times New Roman" w:hAnsi="Times New Roman" w:eastAsia="Times New Roman" w:cs="Times New Roman"/>
          <w:b/>
          <w:i w:val="0"/>
          <w:color w:val="000000"/>
          <w:sz w:val="36"/>
        </w:rPr>
        <w:t xml:space="preserve">Chapter 1 — Introduction</w:t>
      </w:r>
    </w:p>
    <w:p>
      <w:pPr>
        <w:pStyle w:val="FirstParagraph"/>
        <w:spacing w:line="312" w:lineRule="auto" w:after="80"/>
        <w:jc w:val="both"/>
      </w:pPr>
      <w:r>
        <w:rPr>
          <w:rFonts w:ascii="Times New Roman" w:hAnsi="Times New Roman" w:eastAsia="Times New Roman" w:cs="Times New Roman"/>
          <w:color w:val="000000"/>
          <w:sz w:val="24"/>
        </w:rP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 before it reaches a recruiter.</w:t>
      </w:r>
    </w:p>
    <w:p>
      <w:pPr>
        <w:pStyle w:val="BodyText"/>
        <w:spacing w:line="312" w:lineRule="auto" w:after="80"/>
        <w:ind w:firstLine="283"/>
        <w:jc w:val="both"/>
      </w:pPr>
      <w:r>
        <w:rPr>
          <w:rFonts w:ascii="Times New Roman" w:hAnsi="Times New Roman" w:eastAsia="Times New Roman" w:cs="Times New Roman"/>
          <w:color w:val="000000"/>
          <w:sz w:val="24"/>
        </w:rPr>
        <w:t xml:space="preserve">A working candidate trying to answer those questions today typically uses a fragmented set of tools: a generic resume builder, a job board’s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“match score”</w:t>
      </w:r>
      <w:r>
        <w:rPr>
          <w:rFonts w:ascii="Times New Roman" w:hAnsi="Times New Roman" w:eastAsia="Times New Roman" w:cs="Times New Roman"/>
          <w:color w:val="000000"/>
          <w:sz w:val="24"/>
        </w:rP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spacing w:line="312" w:lineRule="auto" w:after="80"/>
        <w:ind w:firstLine="283"/>
        <w:jc w:val="both"/>
      </w:pPr>
      <w:r>
        <w:rPr>
          <w:rFonts w:ascii="Times New Roman" w:hAnsi="Times New Roman" w:eastAsia="Times New Roman" w:cs="Times New Roman"/>
          <w:color w:val="000000"/>
          <w:sz w:val="24"/>
        </w:rP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(a generic resume editor, a job-board match score, a separate cover-letter prompt, an interview-question generator),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17" w:name="the-career-decision-problem"/>
    <w:p>
      <w:pPr>
        <w:pStyle w:val="Heading2"/>
        <w:keepNext/>
        <w:jc w:val="left"/>
      </w:pPr>
      <w:r>
        <w:rPr>
          <w:rFonts w:ascii="Times New Roman" w:hAnsi="Times New Roman" w:eastAsia="Times New Roman" w:cs="Times New Roman"/>
          <w:b/>
          <w:i w:val="0"/>
          <w:color w:val="000000"/>
          <w:sz w:val="28"/>
        </w:rPr>
        <w:t xml:space="preserve">1.1 The career decision problem</w:t>
      </w:r>
    </w:p>
    <w:p>
      <w:pPr>
        <w:pStyle w:val="FirstParagraph"/>
        <w:spacing w:line="312" w:lineRule="auto" w:after="80"/>
        <w:jc w:val="both"/>
      </w:pPr>
      <w:r>
        <w:rPr>
          <w:rFonts w:ascii="Times New Roman" w:hAnsi="Times New Roman" w:eastAsia="Times New Roman" w:cs="Times New Roman"/>
          <w:color w:val="000000"/>
          <w:sz w:val="24"/>
        </w:rPr>
        <w:t xml:space="preserve">Career decision making combines three sub-problems.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Self-assessment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asks the candidate to describe skills, experience, and preferences in a machine-readable form.</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Market alignment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asks how that profile compares with job descriptions.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Action planning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asks which changes, projects, or interview stories would improve the candidate’s position.</w:t>
      </w:r>
    </w:p>
    <w:p>
      <w:pPr>
        <w:pStyle w:val="BodyText"/>
        <w:spacing w:line="312" w:lineRule="auto" w:after="80"/>
        <w:ind w:firstLine="283"/>
        <w:jc w:val="both"/>
      </w:pPr>
      <w:r>
        <w:rPr>
          <w:rFonts w:ascii="Times New Roman" w:hAnsi="Times New Roman" w:eastAsia="Times New Roman" w:cs="Times New Roman"/>
          <w:color w:val="000000"/>
          <w:sz w:val="24"/>
        </w:rPr>
        <w:t xml:space="preserve">These problems have usually been studied separately. Career-counselling research treats self-assessment as a structured guidance problem [15]. Information-retrieval research treats market alignment as ranking over job postings [13, 21]. Decision-support research frames action planning as a recommendation task under uncertainty [1, 2]. The practical gap is the absence of a single system in which all three stages share one candidate representation.</w:t>
      </w:r>
    </w:p>
    <w:p>
      <w:pPr>
        <w:pStyle w:val="BodyText"/>
        <w:spacing w:line="312" w:lineRule="auto" w:after="80"/>
        <w:ind w:firstLine="283"/>
        <w:jc w:val="both"/>
      </w:pPr>
      <w:r>
        <w:rPr>
          <w:rFonts w:ascii="Times New Roman" w:hAnsi="Times New Roman" w:eastAsia="Times New Roman" w:cs="Times New Roman"/>
          <w:color w:val="000000"/>
          <w:sz w:val="24"/>
        </w:rPr>
        <w:t xml:space="preserve">The integrated representation matters because one fact can support several decisions. A quantified backend-project bullet may raise the resume quality score, improve fit against a backend job description, justify a stronger cover-letter paragraph, and supply a story for a behavioural interview answer. If the tools are separated, the user must manually preserve and reinterpret that fact; if they share a representation, the system can carry it forward.</w:t>
      </w:r>
    </w:p>
    <w:bookmarkEnd w:id="17"/>
    <w:bookmarkStart w:id="18" w:name="Xb2b33d9c0e4613654e8bd0dc0463185643a1762"/>
    <w:p>
      <w:pPr>
        <w:pStyle w:val="Heading2"/>
        <w:keepNext/>
        <w:jc w:val="left"/>
      </w:pPr>
      <w:r>
        <w:rPr>
          <w:rFonts w:ascii="Times New Roman" w:hAnsi="Times New Roman" w:eastAsia="Times New Roman" w:cs="Times New Roman"/>
          <w:b/>
          <w:i w:val="0"/>
          <w:color w:val="000000"/>
          <w:sz w:val="28"/>
        </w:rPr>
        <w:t xml:space="preserve">1.2 AI-based recommendation systems for careers</w:t>
      </w:r>
    </w:p>
    <w:p>
      <w:pPr>
        <w:pStyle w:val="FirstParagraph"/>
        <w:spacing w:line="312" w:lineRule="auto" w:after="80"/>
        <w:jc w:val="both"/>
      </w:pPr>
      <w:r>
        <w:rPr>
          <w:rFonts w:ascii="Times New Roman" w:hAnsi="Times New Roman" w:eastAsia="Times New Roman" w:cs="Times New Roman"/>
          <w:color w:val="000000"/>
          <w:sz w:val="24"/>
        </w:rPr>
        <w:t xml:space="preserve">Classical recommender systems rely on many users repeatedly interacting with dense item catalogues. Career recommendation is different: job titles are sparse, employer labels are inconsistent, resume evidence is unstructured, and a single user produces few explicit preference signals. Recent career systems therefore treat the task less as collaborative filtering and more as structured matching between a resume and a job description projected into a shared representation [6, 8, 9, 10, 11, 12, 13].</w:t>
      </w:r>
    </w:p>
    <w:p>
      <w:pPr>
        <w:pStyle w:val="BodyText"/>
        <w:spacing w:line="312" w:lineRule="auto" w:after="80"/>
        <w:ind w:firstLine="283"/>
        <w:jc w:val="both"/>
      </w:pPr>
      <w:r>
        <w:rPr>
          <w:rFonts w:ascii="Times New Roman" w:hAnsi="Times New Roman" w:eastAsia="Times New Roman" w:cs="Times New Roman"/>
          <w:color w:val="000000"/>
          <w:sz w:val="24"/>
        </w:rPr>
        <w:t xml:space="preserve">CareerRec [15], for example, applies tree-based classifiers to 2,255 information-technology employee records and reports about 70% accuracy on career-path classification. Broader AI decision-support work [1, 2] shows the same movement from manually engineered features toward learned representations. These systems help select or rank career options, but they usually stop before the candidate has to act on the recommendation. The present thesis extends that workflow by combining assessment, job matching, cover-letter support, interview preparation, and portfolio planning in one application.</w:t>
      </w:r>
    </w:p>
    <w:p>
      <w:pPr>
        <w:pStyle w:val="BodyText"/>
        <w:spacing w:line="312" w:lineRule="auto" w:after="80"/>
        <w:ind w:firstLine="283"/>
        <w:jc w:val="both"/>
      </w:pPr>
      <w:r>
        <w:rPr>
          <w:rFonts w:ascii="Times New Roman" w:hAnsi="Times New Roman" w:eastAsia="Times New Roman" w:cs="Times New Roman"/>
          <w:color w:val="000000"/>
          <w:sz w:val="24"/>
        </w:rPr>
        <w:t xml:space="preserve">This extension is intentionally engineering-oriented. The thesis is not only an offline modelling exercise. It asks whether recommendation logic can be embedded in a deployed workflow where a candidate uploads a resume, receives structured feedback, follows the result into another tool, and later returns to earlier runs through persistent history.</w:t>
      </w:r>
    </w:p>
    <w:bookmarkEnd w:id="18"/>
    <w:bookmarkStart w:id="19" w:name="X0f507a345d505e2b6b09af5902860f6a3d367ad"/>
    <w:p>
      <w:pPr>
        <w:pStyle w:val="Heading2"/>
        <w:keepNext/>
        <w:jc w:val="left"/>
      </w:pPr>
      <w:r>
        <w:rPr>
          <w:rFonts w:ascii="Times New Roman" w:hAnsi="Times New Roman" w:eastAsia="Times New Roman" w:cs="Times New Roman"/>
          <w:b/>
          <w:i w:val="0"/>
          <w:color w:val="000000"/>
          <w:sz w:val="28"/>
        </w:rPr>
        <w:t xml:space="preserve">1.3 Resume parsing and job-description analysis</w:t>
      </w:r>
    </w:p>
    <w:p>
      <w:pPr>
        <w:pStyle w:val="FirstParagraph"/>
        <w:spacing w:line="312" w:lineRule="auto" w:after="80"/>
        <w:jc w:val="both"/>
      </w:pPr>
      <w:r>
        <w:rPr>
          <w:rFonts w:ascii="Times New Roman" w:hAnsi="Times New Roman" w:eastAsia="Times New Roman" w:cs="Times New Roman"/>
          <w:color w:val="000000"/>
          <w:sz w:val="24"/>
        </w:rPr>
        <w:t xml:space="preserve">Resume matching starts with structure extraction from free-form text. Early resume parsers used regular expressions and section-header dictionaries to identify names, dates, education, experience, and skills [14]. Such parsers are brittle against unusual formatting but remain valuable as deterministic, inspectable baselines.</w:t>
      </w:r>
    </w:p>
    <w:p>
      <w:pPr>
        <w:pStyle w:val="BodyText"/>
        <w:spacing w:line="312" w:lineRule="auto" w:after="80"/>
        <w:ind w:firstLine="283"/>
        <w:jc w:val="both"/>
      </w:pPr>
      <w:r>
        <w:rPr>
          <w:rFonts w:ascii="Times New Roman" w:hAnsi="Times New Roman" w:eastAsia="Times New Roman" w:cs="Times New Roman"/>
          <w:color w:val="000000"/>
          <w:sz w:val="24"/>
        </w:rPr>
        <w:t xml:space="preserve">Modern parsers rely more heavily on natural-language processing. Named-entity-recognition models extract organisations, dates, and skills; transformer models improve contextual interpretation of ambiguous phrases [4]. Resume2Vec [18] reports a 15.85% improvement in normalised discounted cumulative gain over a non-contextual ATS baseline by using resume embeddings.</w:t>
      </w:r>
    </w:p>
    <w:p>
      <w:pPr>
        <w:pStyle w:val="BodyText"/>
        <w:spacing w:line="312" w:lineRule="auto" w:after="80"/>
        <w:ind w:firstLine="283"/>
        <w:jc w:val="both"/>
      </w:pPr>
      <w:r>
        <w:rPr>
          <w:rFonts w:ascii="Times New Roman" w:hAnsi="Times New Roman" w:eastAsia="Times New Roman" w:cs="Times New Roman"/>
          <w:color w:val="000000"/>
          <w:sz w:val="24"/>
        </w:rPr>
        <w:t xml:space="preserve">Job-description analysis is the demand-side counterpart. Recent work links job postings to standardised taxonomies such as ESCO, the European multilingual classification [8], and O*NET. This normalisation lets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“JavaScript”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“JS”</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“ECMAScript”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resolve to the same skill. The literature includes top-down ESCO matching and model-based approaches such as JobBERT, ESCOXLM-R, and LLM-assisted skill extraction [9, 10, 11, 12, 13]. The system implemented here adopts a top-down strategy: a curated ESCO subset is bundled with the application and used to normalise skills on both sides of the match.</w:t>
      </w:r>
    </w:p>
    <w:bookmarkEnd w:id="19"/>
    <w:bookmarkStart w:id="20" w:name="Xa6a123f0eef37d7de42a3068fa80ba2182618c4"/>
    <w:p>
      <w:pPr>
        <w:pStyle w:val="Heading2"/>
        <w:keepNext/>
        <w:jc w:val="left"/>
      </w:pPr>
      <w:r>
        <w:rPr>
          <w:rFonts w:ascii="Times New Roman" w:hAnsi="Times New Roman" w:eastAsia="Times New Roman" w:cs="Times New Roman"/>
          <w:b/>
          <w:i w:val="0"/>
          <w:color w:val="000000"/>
          <w:sz w:val="28"/>
        </w:rPr>
        <w:t xml:space="preserve">1.4 Heuristic and language-model scoring approaches</w:t>
      </w:r>
    </w:p>
    <w:p>
      <w:pPr>
        <w:pStyle w:val="FirstParagraph"/>
        <w:spacing w:line="312" w:lineRule="auto" w:after="80"/>
        <w:jc w:val="both"/>
      </w:pPr>
      <w:r>
        <w:rPr>
          <w:rFonts w:ascii="Times New Roman" w:hAnsi="Times New Roman" w:eastAsia="Times New Roman" w:cs="Times New Roman"/>
          <w:color w:val="000000"/>
          <w:sz w:val="24"/>
        </w:rPr>
        <w:t xml:space="preserve">The central design tension addressed by this thesis is the choice between two families of methods for scoring the alignment between a resume and a job description.</w:t>
      </w:r>
    </w:p>
    <w:p>
      <w:pPr>
        <w:pStyle w:val="BodyText"/>
        <w:spacing w:line="312" w:lineRule="auto" w:after="80"/>
        <w:ind w:firstLine="283"/>
        <w:jc w:val="both"/>
      </w:pPr>
      <w:r>
        <w:rPr>
          <w:rFonts w:ascii="Times New Roman" w:hAnsi="Times New Roman" w:eastAsia="Times New Roman" w:cs="Times New Roman"/>
          <w:color w:val="000000"/>
          <w:sz w:val="24"/>
        </w:rPr>
        <w:t xml:space="preserve">The first family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heuristic</w:t>
      </w:r>
      <w:r>
        <w:rPr>
          <w:rFonts w:ascii="Times New Roman" w:hAnsi="Times New Roman" w:eastAsia="Times New Roman" w:cs="Times New Roman"/>
          <w:color w:val="000000"/>
          <w:sz w:val="24"/>
        </w:rPr>
        <w:t xml:space="preserve">: classical information-retrieval techniques that rely on statistical regularities of text. The foundational methods in this family,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TF–IDF</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[5]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BM25</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[6], weight individual terms by how distinctive they are within a corpus, so that a rare technical skill counts for more than a common word. Fuzzy-matching algorithms based on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Levenshtein edit distance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[7] absorb minor surface variation, allowing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“Postgres”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“PostgreSQL”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register as the same term. Skill-taxonomy lookups against ESCO or O</w:t>
      </w:r>
      <w:r>
        <w:rPr>
          <w:rFonts w:ascii="Times New Roman" w:hAnsi="Times New Roman" w:eastAsia="Times New Roman" w:cs="Times New Roman"/>
          <w:i/>
          <w:iCs/>
          <w:color w:val="000000"/>
          <w:sz w:val="24"/>
        </w:rPr>
        <w:t xml:space="preserve">NET [8, 9] provide the normalisation step described in the previous section. Section-weighted feature extraction recognises that a skill listed in a dedicated</w:t>
      </w:r>
      <w:r>
        <w:rPr>
          <w:rFonts w:ascii="Times New Roman" w:hAnsi="Times New Roman" w:eastAsia="Times New Roman" w:cs="Times New Roman"/>
          <w:i/>
          <w:iCs/>
          <w:color w:val="000000"/>
          <w:sz w:val="24"/>
        </w:rPr>
        <w:t xml:space="preserve"> </w:t>
      </w:r>
      <w:r>
        <w:rPr>
          <w:rFonts w:ascii="Times New Roman" w:hAnsi="Times New Roman" w:eastAsia="Times New Roman" w:cs="Times New Roman"/>
          <w:color w:val="000000"/>
          <w:sz w:val="24"/>
        </w:rP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milliseconds on commodity hardware. The defendable claim, supported by decades of information-retrieval research, is that these techniques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already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capture most of what a recruiter scans for during the first pass over a resume.</w:t>
      </w:r>
    </w:p>
    <w:p>
      <w:pPr>
        <w:pStyle w:val="BodyText"/>
        <w:spacing w:line="312" w:lineRule="auto" w:after="80"/>
        <w:ind w:firstLine="283"/>
        <w:jc w:val="both"/>
      </w:pPr>
      <w:r>
        <w:rPr>
          <w:rFonts w:ascii="Times New Roman" w:hAnsi="Times New Roman" w:eastAsia="Times New Roman" w:cs="Times New Roman"/>
          <w:color w:val="000000"/>
          <w:sz w:val="24"/>
        </w:rPr>
        <w:t xml:space="preserve">The second family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language-model</w:t>
      </w:r>
      <w:r>
        <w:rPr>
          <w:rFonts w:ascii="Times New Roman" w:hAnsi="Times New Roman" w:eastAsia="Times New Roman" w:cs="Times New Roman"/>
          <w:color w:val="000000"/>
          <w:sz w:val="24"/>
        </w:rPr>
        <w:t xml:space="preserve">: large-language-model (LLM) services that read the resume and the job description as natural language, reason over them, and emit structured output describing the alignment. Recent research demonstrates that LLM-based agents reduce the time-to-decision in resume screening by an order of magnitude relative to manual review [16, 17, 19] and produce qualitatively richer feedback than keyword-overlap baselines. Resume2Vec [18] documents the same effect on a ranking task. The cost of these methods is a per-call charge to a third-party API, latency on the order of one to several seconds per analysis, and an opaque reasoning process that is difficult to audit.</w:t>
      </w:r>
    </w:p>
    <w:p>
      <w:pPr>
        <w:pStyle w:val="BodyText"/>
        <w:spacing w:line="312" w:lineRule="auto" w:after="80"/>
        <w:ind w:firstLine="283"/>
        <w:jc w:val="both"/>
      </w:pPr>
      <w:r>
        <w:rPr>
          <w:rFonts w:ascii="Times New Roman" w:hAnsi="Times New Roman" w:eastAsia="Times New Roman" w:cs="Times New Roman"/>
          <w:color w:val="000000"/>
          <w:sz w:val="24"/>
        </w:rPr>
        <w:t xml:space="preserve">This dichotomy is the foundation of the comparative study reported in Chapter 4. The system described in this thesis exposes both modes through a single user-facing interface; an administrator can switch the analytical core between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fully heuristic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blended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(heuristic plus language model, weighted) at runtime, and the same input is then scored by both methods on demand. The research question is not whether one approach is universally better (both have well-understood failure modes) but rather: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deliberately within-set framing is important; the benchmark and its construction limits are documented in Section 4.1.4.</w:t>
      </w:r>
    </w:p>
    <w:p>
      <w:pPr>
        <w:pStyle w:val="BodyText"/>
        <w:spacing w:line="312" w:lineRule="auto" w:after="80"/>
        <w:ind w:firstLine="283"/>
        <w:jc w:val="both"/>
      </w:pPr>
      <w:r>
        <w:rPr>
          <w:rFonts w:ascii="Times New Roman" w:hAnsi="Times New Roman" w:eastAsia="Times New Roman" w:cs="Times New Roman"/>
          <w:color w:val="000000"/>
          <w:sz w:val="24"/>
        </w:rP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designed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after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blended pipeline already existed; this sequencing shaped the heuristic toward the specific decisions the language model was already making in production rather than toward an idealised retrieval-research baseline, and Chapter 4 treats the resulting design coupling as a disclosed validity threat rather than a hidden one.</w:t>
      </w:r>
    </w:p>
    <w:p>
      <w:pPr>
        <w:pStyle w:val="BodyText"/>
        <w:spacing w:line="312" w:lineRule="auto" w:after="80"/>
        <w:ind w:firstLine="283"/>
        <w:jc w:val="both"/>
      </w:pPr>
      <w:r>
        <w:rPr>
          <w:rFonts w:ascii="Times New Roman" w:hAnsi="Times New Roman" w:eastAsia="Times New Roman" w:cs="Times New Roman"/>
          <w:color w:val="000000"/>
          <w:sz w:val="24"/>
        </w:rPr>
        <w:t xml:space="preserve">The value of the comparison is operational as well as scientific. If the heuristic preserves useful ranking behaviour, it can act as a low-cost fallback when the LLM is unavailable, as a live demonstration mode during the diploma defence, and as a high-volume preview path that does not accumulate per-call inference cost. If it fails, the system still benefits from the blended mode, but the fallback must then be framed only as an emergency response.</w:t>
      </w:r>
    </w:p>
    <w:p>
      <w:pPr>
        <w:pStyle w:val="BodyText"/>
        <w:spacing w:line="312" w:lineRule="auto" w:after="80"/>
        <w:ind w:firstLine="283"/>
        <w:jc w:val="both"/>
      </w:pPr>
      <w:r>
        <w:rPr>
          <w:rFonts w:ascii="Times New Roman" w:hAnsi="Times New Roman" w:eastAsia="Times New Roman" w:cs="Times New Roman"/>
          <w:color w:val="000000"/>
          <w:sz w:val="24"/>
        </w:rPr>
        <w:t xml:space="preserve">The dual-mode design followed from a more pragmatic motivation than would have been predicted at project start.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retry-with-jitter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fallback policy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p>
      <w:r>
        <w:br w:type="page"/>
      </w:r>
    </w:p>
    <w:bookmarkEnd w:id="20"/>
    <w:bookmarkStart w:id="21" w:name="purpose-of-the-thesis"/>
    <w:p>
      <w:pPr>
        <w:pStyle w:val="Heading2"/>
        <w:keepNext/>
        <w:jc w:val="left"/>
      </w:pPr>
      <w:r>
        <w:rPr>
          <w:rFonts w:ascii="Times New Roman" w:hAnsi="Times New Roman" w:eastAsia="Times New Roman" w:cs="Times New Roman"/>
          <w:b/>
          <w:i w:val="0"/>
          <w:color w:val="000000"/>
          <w:sz w:val="28"/>
        </w:rPr>
        <w:t xml:space="preserve">1.5 Purpose of the thesis</w:t>
      </w:r>
    </w:p>
    <w:p>
      <w:pPr>
        <w:pStyle w:val="FirstParagraph"/>
        <w:spacing w:line="312" w:lineRule="auto" w:after="80"/>
        <w:jc w:val="both"/>
      </w:pPr>
      <w:r>
        <w:rPr>
          <w:rFonts w:ascii="Times New Roman" w:hAnsi="Times New Roman" w:eastAsia="Times New Roman" w:cs="Times New Roman"/>
          <w:color w:val="000000"/>
          <w:sz w:val="24"/>
        </w:rPr>
        <w:t xml:space="preserve">The objective of the thesis is to develop and evaluate a system that helps users choose suitable career paths based on their skills, experience, and current job-market context, generating personalised suggestions through a combination of classical information-retrieval methods and large-language-model inference.</w:t>
      </w:r>
    </w:p>
    <w:p>
      <w:pPr>
        <w:pStyle w:val="BodyText"/>
        <w:spacing w:line="312" w:lineRule="auto" w:after="80"/>
        <w:ind w:firstLine="283"/>
        <w:jc w:val="both"/>
      </w:pPr>
      <w:r>
        <w:rPr>
          <w:rFonts w:ascii="Times New Roman" w:hAnsi="Times New Roman" w:eastAsia="Times New Roman" w:cs="Times New Roman"/>
          <w:color w:val="000000"/>
          <w:sz w:val="24"/>
        </w:rPr>
        <w:t xml:space="preserve">The scope follows the application approved in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Archive of Diploma Theses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on 3 February 2026 and has two aspects.</w:t>
      </w:r>
    </w:p>
    <w:p>
      <w:pPr>
        <w:pStyle w:val="BodyText"/>
        <w:spacing w:line="312" w:lineRule="auto" w:after="80"/>
        <w:ind w:firstLine="283"/>
        <w:jc w:val="both"/>
      </w:pPr>
      <w:r>
        <w:rPr>
          <w:rFonts w:ascii="Times New Roman" w:hAnsi="Times New Roman" w:eastAsia="Times New Roman" w:cs="Times New Roman"/>
          <w:color w:val="000000"/>
          <w:sz w:val="24"/>
        </w:rPr>
        <w:t xml:space="preserve">The</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engineering aspect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 deployed web application integrating six tools: Resume Analyzer, Job Match, Career Path, Cover Letter, Interview Q&amp;A, and Portfolio Planner. The implementation uses a Python/FastAPI backend, a React/TanStack Start frontend, PostgreSQL persistence for users and tool-run history, Google Vertex AI Gemini 2.5 Flash for LLM inference, Railway deployment, and operational monitoring through Railway metrics and Sentry.</w:t>
      </w:r>
    </w:p>
    <w:p>
      <w:pPr>
        <w:pStyle w:val="BodyText"/>
        <w:spacing w:line="312" w:lineRule="auto" w:after="80"/>
        <w:ind w:firstLine="283"/>
        <w:jc w:val="both"/>
      </w:pPr>
      <w:r>
        <w:rPr>
          <w:rFonts w:ascii="Times New Roman" w:hAnsi="Times New Roman" w:eastAsia="Times New Roman" w:cs="Times New Roman"/>
          <w:color w:val="000000"/>
          <w:sz w:val="24"/>
        </w:rPr>
        <w:t xml:space="preserve">The</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research aspect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 controlled comparison of two scoring modes. The blended mode combines heuristic and LLM outputs with 40% / 60% weighting. The fully heuristic mode uses TF–IDF/BM25 keyword evidence, ESCO-aligned normalisation, fuzzy matching, section-weighted features, quantification detection, and action-verb scoring. Both modes are evaluated on a synthetic single-author benchmark of 100 resume/job-description pairs using score agreement, distribution shape, latency, and per-call cost.</w:t>
      </w:r>
    </w:p>
    <w:p>
      <w:pPr>
        <w:pStyle w:val="BodyText"/>
        <w:spacing w:line="312" w:lineRule="auto" w:after="80"/>
        <w:ind w:firstLine="283"/>
        <w:jc w:val="both"/>
      </w:pPr>
      <w:r>
        <w:rPr>
          <w:rFonts w:ascii="Times New Roman" w:hAnsi="Times New Roman" w:eastAsia="Times New Roman" w:cs="Times New Roman"/>
          <w:color w:val="000000"/>
          <w:sz w:val="24"/>
        </w:rPr>
        <w:t xml:space="preserve">The thesis does not claim that one mode is universally superior. Its design answer is to keep both modes available: the heuristic mode offers a deterministic fallback when LLM access is unavailable or insufficiently auditable, while the blended mode preserves richer prose and role-fit reasoning.</w:t>
      </w:r>
    </w:p>
    <w:p>
      <w:pPr>
        <w:pStyle w:val="BodyText"/>
        <w:spacing w:line="312" w:lineRule="auto" w:after="80"/>
        <w:ind w:firstLine="283"/>
        <w:jc w:val="both"/>
      </w:pPr>
      <w:r>
        <w:rPr>
          <w:rFonts w:ascii="Times New Roman" w:hAnsi="Times New Roman" w:eastAsia="Times New Roman" w:cs="Times New Roman"/>
          <w:color w:val="000000"/>
          <w:sz w:val="24"/>
        </w:rPr>
        <w:t xml:space="preserve">This dual-mode design also protects the system against two deployment constraints. Budget-limited environments may prefer a local deterministic path for high-volume screening, while audit-sensitive environments may require explanations traceable to fixed scoring rules. The blended path remains the default because it produces richer guidance, but the deterministic path gives the system a defendable degraded mode.</w:t>
      </w:r>
    </w:p>
    <w:p>
      <w:pPr>
        <w:pStyle w:val="BodyText"/>
        <w:spacing w:line="312" w:lineRule="auto" w:after="80"/>
        <w:ind w:firstLine="283"/>
        <w:jc w:val="both"/>
      </w:pPr>
      <w:r>
        <w:rPr>
          <w:rFonts w:ascii="Times New Roman" w:hAnsi="Times New Roman" w:eastAsia="Times New Roman" w:cs="Times New Roman"/>
          <w:color w:val="000000"/>
          <w:sz w:val="24"/>
        </w:rPr>
        <w:t xml:space="preserve">The thesis therefore evaluates the system at two levels. At the product level, success means that six career-support tools operate around one resume representation and persist their results in a coherent workflow. At the analytical level, success means that the score-comparison experiment is reproducible, that the heuristic baseline is specified clearly enough to audit, and that the reported limits prevent the result from being overgeneralised.</w:t>
      </w:r>
    </w:p>
    <w:bookmarkEnd w:id="21"/>
    <w:bookmarkStart w:id="22" w:name="structure-of-the-thesis"/>
    <w:p>
      <w:pPr>
        <w:pStyle w:val="Heading2"/>
        <w:keepNext/>
        <w:jc w:val="left"/>
      </w:pPr>
      <w:r>
        <w:rPr>
          <w:rFonts w:ascii="Times New Roman" w:hAnsi="Times New Roman" w:eastAsia="Times New Roman" w:cs="Times New Roman"/>
          <w:b/>
          <w:i w:val="0"/>
          <w:color w:val="000000"/>
          <w:sz w:val="28"/>
        </w:rPr>
        <w:t xml:space="preserve">1.6 Structure of the thesis</w:t>
      </w:r>
    </w:p>
    <w:p>
      <w:pPr>
        <w:pStyle w:val="FirstParagraph"/>
        <w:spacing w:line="312" w:lineRule="auto" w:after="80"/>
        <w:jc w:val="both"/>
      </w:pPr>
      <w:r>
        <w:rPr>
          <w:rFonts w:ascii="Times New Roman" w:hAnsi="Times New Roman" w:eastAsia="Times New Roman" w:cs="Times New Roman"/>
          <w:color w:val="000000"/>
          <w:sz w:val="24"/>
        </w:rPr>
        <w:t xml:space="preserve">Chapter 2 describes the system architecture: requirements, technology stack, backend layering, frontend routing and state, persistence, security, and Railway deployment.</w:t>
      </w:r>
    </w:p>
    <w:p>
      <w:pPr>
        <w:pStyle w:val="BodyText"/>
        <w:spacing w:line="312" w:lineRule="auto" w:after="80"/>
        <w:ind w:firstLine="283"/>
        <w:jc w:val="both"/>
      </w:pPr>
      <w:r>
        <w:rPr>
          <w:rFonts w:ascii="Times New Roman" w:hAnsi="Times New Roman" w:eastAsia="Times New Roman" w:cs="Times New Roman"/>
          <w:color w:val="000000"/>
          <w:sz w:val="24"/>
        </w:rPr>
        <w:t xml:space="preserve">Chapter 3 describes the six tools and the shared implementation patterns: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run_tool_pipeline</w:t>
      </w:r>
      <w:r>
        <w:rPr>
          <w:rFonts w:ascii="Times New Roman" w:hAnsi="Times New Roman" w:eastAsia="Times New Roman" w:cs="Times New Roman"/>
          <w:color w:val="000000"/>
          <w:sz w:val="24"/>
        </w:rPr>
        <w:t xml:space="preserve">, prompt construction, structured-output validation, caching, retry behaviour, and heuristic fallback.</w:t>
      </w:r>
    </w:p>
    <w:p>
      <w:pPr>
        <w:pStyle w:val="BodyText"/>
        <w:spacing w:line="312" w:lineRule="auto" w:after="80"/>
        <w:ind w:firstLine="283"/>
        <w:jc w:val="both"/>
      </w:pPr>
      <w:r>
        <w:rPr>
          <w:rFonts w:ascii="Times New Roman" w:hAnsi="Times New Roman" w:eastAsia="Times New Roman" w:cs="Times New Roman"/>
          <w:color w:val="000000"/>
          <w:sz w:val="24"/>
        </w:rPr>
        <w:t xml:space="preserve">Chapter 4 presents the comparative study. It defines the synthetic dataset and controls, specifies the strong heuristic v2, reports agreement, distribution, latency, cost, and ablation results, and discusses limitations.</w:t>
      </w:r>
    </w:p>
    <w:p>
      <w:pPr>
        <w:pStyle w:val="BodyText"/>
        <w:spacing w:line="312" w:lineRule="auto" w:after="80"/>
        <w:ind w:firstLine="283"/>
        <w:jc w:val="both"/>
      </w:pPr>
      <w:r>
        <w:rPr>
          <w:rFonts w:ascii="Times New Roman" w:hAnsi="Times New Roman" w:eastAsia="Times New Roman" w:cs="Times New Roman"/>
          <w:color w:val="000000"/>
          <w:sz w:val="24"/>
        </w:rPr>
        <w:t xml:space="preserve">Chapter 5 concludes the thesis by summarising the engineering and empirical contributions, restating the limitations, and identifying future work: Polish-language ESCO support, a sentence-transformer intermediate tier [20, 21], and retrieval-augmented grounding for LLM outputs [25].</w:t>
      </w:r>
    </w:p>
    <w:p>
      <w:pPr>
        <w:pStyle w:val="BodyText"/>
        <w:spacing w:line="312" w:lineRule="auto" w:after="80"/>
        <w:ind w:firstLine="283"/>
        <w:jc w:val="both"/>
      </w:pPr>
      <w:r>
        <w:rPr>
          <w:rFonts w:ascii="Times New Roman" w:hAnsi="Times New Roman" w:eastAsia="Times New Roman" w:cs="Times New Roman"/>
          <w:color w:val="000000"/>
          <w:sz w:val="24"/>
        </w:rPr>
        <w:t xml:space="preserve">The bibliography lists the cited works. Appendix A provides representative source listings, Appendix B documents the synthetic dataset, Appendix C shows production screenshots, and Appendix D records the backend configuration reference.</w:t>
      </w:r>
    </w:p>
    <w:bookmarkEnd w:id="22"/>
    <w:bookmarkEnd w:id="23"/>
    <w:bookmarkStart w:id="49" w:name="chapter-2-system-architecture"/>
    <w:p>
      <w:pPr>
        <w:pStyle w:val="Heading1"/>
        <w:keepNext/>
        <w:pageBreakBefore/>
        <w:spacing w:before="480" w:after="240"/>
        <w:jc w:val="left"/>
      </w:pPr>
      <w:r>
        <w:rPr>
          <w:rFonts w:ascii="Times New Roman" w:hAnsi="Times New Roman" w:eastAsia="Times New Roman" w:cs="Times New Roman"/>
          <w:b/>
          <w:i w:val="0"/>
          <w:color w:val="000000"/>
          <w:sz w:val="36"/>
        </w:rPr>
        <w:t xml:space="preserve">Chapter 2 — System architecture</w:t>
      </w:r>
    </w:p>
    <w:p>
      <w:pPr>
        <w:pStyle w:val="FirstParagraph"/>
        <w:spacing w:line="312" w:lineRule="auto" w:after="80"/>
        <w:jc w:val="both"/>
      </w:pPr>
      <w:r>
        <w:rPr>
          <w:rFonts w:ascii="Times New Roman" w:hAnsi="Times New Roman" w:eastAsia="Times New Roman" w:cs="Times New Roman"/>
          <w:color w:val="000000"/>
          <w:sz w:val="24"/>
        </w:rP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26" w:name="X543fc3ee69d8b9eebfbf21368042f80b38ec856"/>
    <w:p>
      <w:pPr>
        <w:pStyle w:val="Heading2"/>
        <w:keepNext/>
        <w:jc w:val="left"/>
      </w:pPr>
      <w:r>
        <w:rPr>
          <w:rFonts w:ascii="Times New Roman" w:hAnsi="Times New Roman" w:eastAsia="Times New Roman" w:cs="Times New Roman"/>
          <w:b/>
          <w:i w:val="0"/>
          <w:color w:val="000000"/>
          <w:sz w:val="28"/>
        </w:rPr>
        <w:t xml:space="preserve">2.1 Functional and non-functional requirements</w:t>
      </w:r>
    </w:p>
    <w:p>
      <w:pPr>
        <w:pStyle w:val="FirstParagraph"/>
        <w:spacing w:line="312" w:lineRule="auto" w:after="80"/>
        <w:jc w:val="both"/>
      </w:pPr>
      <w:r>
        <w:rPr>
          <w:rFonts w:ascii="Times New Roman" w:hAnsi="Times New Roman" w:eastAsia="Times New Roman" w:cs="Times New Roman"/>
          <w:color w:val="000000"/>
          <w:sz w:val="24"/>
        </w:rPr>
        <w:t xml:space="preserve">The system was designed to satisfy six functional requirements, each corresponding to one of the user-facing tools, and seven non-functional requirements that constrain how those tools are delivered.</w:t>
      </w:r>
    </w:p>
    <w:bookmarkStart w:id="24" w:name="functional-requirements"/>
    <w:p>
      <w:pPr>
        <w:pStyle w:val="Heading3"/>
        <w:keepNext/>
        <w:jc w:val="left"/>
      </w:pPr>
      <w:r>
        <w:rPr>
          <w:rFonts w:ascii="Times New Roman" w:hAnsi="Times New Roman" w:eastAsia="Times New Roman" w:cs="Times New Roman"/>
          <w:b/>
          <w:i/>
          <w:color w:val="000000"/>
          <w:sz w:val="24"/>
        </w:rPr>
        <w:t xml:space="preserve">2.1.1 Functional requirements</w:t>
      </w:r>
    </w:p>
    <w:p>
      <w:pPr>
        <w:pStyle w:val="FirstParagraph"/>
        <w:spacing w:line="312" w:lineRule="auto" w:after="80"/>
        <w:jc w:val="both"/>
      </w:pPr>
      <w:r>
        <w:rPr>
          <w:rFonts w:ascii="Times New Roman" w:hAnsi="Times New Roman" w:eastAsia="Times New Roman" w:cs="Times New Roman"/>
          <w:color w:val="000000"/>
          <w:sz w:val="24"/>
        </w:rPr>
        <w:t xml:space="preserve">The functional requirements are summarised in Table 2.1; each row corresponds to one of the six user-facing tools whose implementation is described in Chapter 3.</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2.1: Functional requirements F1–F6, one per user-facing tool.</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680"/>
        <w:gridCol w:w="1644"/>
        <w:gridCol w:w="6520"/>
      </w:tblGrid>
      <w:tr>
        <w:trPr>
          <w:tblHeader w:val="on"/>
        </w:trPr>
        <w:tc>
          <w:tcPr>
            <w:tcW w:type="dxa" w:w="68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ID</w:t>
            </w:r>
          </w:p>
        </w:tc>
        <w:tc>
          <w:tcPr>
            <w:tcW w:type="dxa" w:w="164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Tool</w:t>
            </w:r>
          </w:p>
        </w:tc>
        <w:tc>
          <w:tcPr>
            <w:tcW w:type="dxa" w:w="652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Required behaviour</w:t>
            </w:r>
          </w:p>
        </w:tc>
      </w:tr>
      <w:tr>
        <w:tc>
          <w:tcPr>
            <w:tcW w:type="dxa" w:w="68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F1</w:t>
            </w:r>
          </w:p>
        </w:tc>
        <w:tc>
          <w:tcPr>
            <w:tcW w:type="dxa" w:w="164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Resume Analyzer</w:t>
            </w:r>
          </w:p>
        </w:tc>
        <w:tc>
          <w:tcPr>
            <w:tcW w:type="dxa" w:w="652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free-text or uploaded resume, return a structured assessment with overall score, per-category sub-scores, identified issues, prioritised actions, and detected strengths.</w:t>
            </w:r>
          </w:p>
        </w:tc>
      </w:tr>
      <w:tr>
        <w:tc>
          <w:tcPr>
            <w:tcW w:type="dxa" w:w="68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F2</w:t>
            </w:r>
          </w:p>
        </w:tc>
        <w:tc>
          <w:tcPr>
            <w:tcW w:type="dxa" w:w="164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Job Match</w:t>
            </w:r>
          </w:p>
        </w:tc>
        <w:tc>
          <w:tcPr>
            <w:tcW w:type="dxa" w:w="652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resume and a job description (text or URL), return a match score, matched keywords, missing keywords, a recruiter-style verdict, and a list of evidence-grounded action items.</w:t>
            </w:r>
          </w:p>
        </w:tc>
      </w:tr>
      <w:tr>
        <w:tc>
          <w:tcPr>
            <w:tcW w:type="dxa" w:w="68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F3</w:t>
            </w:r>
          </w:p>
        </w:tc>
        <w:tc>
          <w:tcPr>
            <w:tcW w:type="dxa" w:w="164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Career Path</w:t>
            </w:r>
          </w:p>
        </w:tc>
        <w:tc>
          <w:tcPr>
            <w:tcW w:type="dxa" w:w="652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resume and optional preferences, return a ranked list of suggested career paths with rationale, requisite skills, and a notional progression timeline.</w:t>
            </w:r>
          </w:p>
        </w:tc>
      </w:tr>
      <w:tr>
        <w:tc>
          <w:tcPr>
            <w:tcW w:type="dxa" w:w="68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F4</w:t>
            </w:r>
          </w:p>
        </w:tc>
        <w:tc>
          <w:tcPr>
            <w:tcW w:type="dxa" w:w="164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Cover Letter</w:t>
            </w:r>
          </w:p>
        </w:tc>
        <w:tc>
          <w:tcPr>
            <w:tcW w:type="dxa" w:w="652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resume and a job description, return a tailored cover letter with explicit structural sections that the user can copy and adapt.</w:t>
            </w:r>
          </w:p>
        </w:tc>
      </w:tr>
      <w:tr>
        <w:tc>
          <w:tcPr>
            <w:tcW w:type="dxa" w:w="68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F5</w:t>
            </w:r>
          </w:p>
        </w:tc>
        <w:tc>
          <w:tcPr>
            <w:tcW w:type="dxa" w:w="164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Interview Q&amp;A</w:t>
            </w:r>
          </w:p>
        </w:tc>
        <w:tc>
          <w:tcPr>
            <w:tcW w:type="dxa" w:w="652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resume and a job description, return a curated list of likely interview questions clustered by category (behavioural, technical, role-specific), each with a coaching note.</w:t>
            </w:r>
          </w:p>
        </w:tc>
      </w:tr>
      <w:tr>
        <w:tc>
          <w:tcPr>
            <w:tcW w:type="dxa" w:w="68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F6</w:t>
            </w:r>
          </w:p>
        </w:tc>
        <w:tc>
          <w:tcPr>
            <w:tcW w:type="dxa" w:w="164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Portfolio Planner</w:t>
            </w:r>
          </w:p>
        </w:tc>
        <w:tc>
          <w:tcPr>
            <w:tcW w:type="dxa" w:w="652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resume and a target role, return a prioritised list of skill gaps and concrete artefact ideas (project briefs, contributions, certifications) that would close those gaps.</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Three workflow constraints apply across all six tools. The same uploaded resume must serve as input across every tool without re-entry. Tool runs must be re-runnable: regeneration must produce a new history record rather than overwriting the original, so that a user can iterate without losing earlier output. A previously generated result must be referenceable as context when invoking another tool, so that a Cover Letter run can consume a Job Match result and an Interview Q&amp;A run can consume a Resume Analyzer result without manual copy-pasting between tools.</w:t>
      </w:r>
    </w:p>
    <w:bookmarkEnd w:id="24"/>
    <w:bookmarkStart w:id="25" w:name="non-functional-requirements"/>
    <w:p>
      <w:pPr>
        <w:pStyle w:val="Heading3"/>
        <w:keepNext/>
        <w:jc w:val="left"/>
      </w:pPr>
      <w:r>
        <w:rPr>
          <w:rFonts w:ascii="Times New Roman" w:hAnsi="Times New Roman" w:eastAsia="Times New Roman" w:cs="Times New Roman"/>
          <w:b/>
          <w:i/>
          <w:color w:val="000000"/>
          <w:sz w:val="24"/>
        </w:rPr>
        <w:t xml:space="preserve">2.1.2 Non-functional requirements</w:t>
      </w:r>
    </w:p>
    <w:p>
      <w:pPr>
        <w:pStyle w:val="FirstParagraph"/>
        <w:spacing w:line="312" w:lineRule="auto" w:after="80"/>
        <w:jc w:val="both"/>
      </w:pPr>
      <w:r>
        <w:rPr>
          <w:rFonts w:ascii="Times New Roman" w:hAnsi="Times New Roman" w:eastAsia="Times New Roman" w:cs="Times New Roman"/>
          <w:color w:val="000000"/>
          <w:sz w:val="24"/>
        </w:rPr>
        <w:t xml:space="preserve">The non-functional requirements were derived from the practical constraints of a single-developer, thesis-scoped deployment.</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N1 (Latency).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Two targets are stated separately because the analytical core supports two scoring modes (Section 4.2.9) whose cost models differ by two orders of magnitude.</w:t>
      </w:r>
    </w:p>
    <w:p>
      <w:pPr>
        <w:pStyle w:val="Compact"/>
        <w:numPr>
          <w:ilvl w:val="1"/>
          <w:numId w:val="1002"/>
        </w:numPr>
        <w:spacing w:line="312" w:lineRule="auto" w:after="80"/>
        <w:ind w:firstLine="283"/>
        <w:jc w:val="both"/>
      </w:pPr>
      <w:r>
        <w:rPr>
          <w:rFonts w:ascii="Times New Roman" w:hAnsi="Times New Roman" w:eastAsia="Times New Roman" w:cs="Times New Roman"/>
          <w:b/>
          <w:bCs/>
          <w:color w:val="000000"/>
          <w:sz w:val="24"/>
        </w:rPr>
        <w:t xml:space="preserve">N1a (heuristic-only path):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end-to-end tool latency at the 95th percentile under nominal load should remain below 50 ms; everything in the path is local string processing on commodity hardware.</w:t>
      </w:r>
    </w:p>
    <w:p>
      <w:pPr>
        <w:pStyle w:val="Compact"/>
        <w:numPr>
          <w:ilvl w:val="1"/>
          <w:numId w:val="1002"/>
        </w:numPr>
        <w:spacing w:line="312" w:lineRule="auto" w:after="80"/>
        <w:ind w:firstLine="283"/>
        <w:jc w:val="both"/>
      </w:pPr>
      <w:r>
        <w:rPr>
          <w:rFonts w:ascii="Times New Roman" w:hAnsi="Times New Roman" w:eastAsia="Times New Roman" w:cs="Times New Roman"/>
          <w:b/>
          <w:bCs/>
          <w:color w:val="000000"/>
          <w:sz w:val="24"/>
        </w:rPr>
        <w:t xml:space="preserve">N1b (blended LLM path):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N2 (Cost ceiling).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N3 (Availability).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degraded but useful service is preferred over a hard failure. When the LLM call fails or times out, analytical tools (Resume, Job Match) fall back to a heuristic-only response and surface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confidence_note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the user. Generative tools (Cover Letter, Interview Q&amp;A) fail loudly with a structured error rather than producing fabricated content.</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N4 (Auditability).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N5 (Privacy).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N6 (Single deployment surface).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N7 (Demonstrability).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p>
      <w:pPr>
        <w:pStyle w:val="FirstParagraph"/>
        <w:spacing w:line="312" w:lineRule="auto" w:after="80"/>
        <w:ind w:firstLine="283"/>
        <w:jc w:val="both"/>
      </w:pPr>
      <w:r>
        <w:rPr>
          <w:rFonts w:ascii="Times New Roman" w:hAnsi="Times New Roman" w:eastAsia="Times New Roman" w:cs="Times New Roman"/>
          <w:color w:val="000000"/>
          <w:sz w:val="24"/>
        </w:rPr>
        <w:t xml:space="preserve">The latency requirement N1 was split into N1a and N1b after measurement. An earlier single cold-path target below five seconds did not match the observed behaviour of structured LLM calls, which the comparative study in Chapter 4 confirms run for tens of seconds rather than under five. Separating the two targets keeps the requirement honest: the heuristic path is evaluated as local computation whose latency is fully under the application’s control, while the blended path is evaluated as an upstream-service workflow whose tail latency is governed by the third-party inference provider and absorbed by the retry policy described in Section 3.1.1.</w:t>
      </w:r>
    </w:p>
    <w:bookmarkEnd w:id="25"/>
    <w:bookmarkEnd w:id="26"/>
    <w:bookmarkStart w:id="27" w:name="technology-stack-and-rationale"/>
    <w:p>
      <w:pPr>
        <w:pStyle w:val="Heading2"/>
        <w:keepNext/>
        <w:jc w:val="left"/>
      </w:pPr>
      <w:r>
        <w:rPr>
          <w:rFonts w:ascii="Times New Roman" w:hAnsi="Times New Roman" w:eastAsia="Times New Roman" w:cs="Times New Roman"/>
          <w:b/>
          <w:i w:val="0"/>
          <w:color w:val="000000"/>
          <w:sz w:val="28"/>
        </w:rPr>
        <w:t xml:space="preserve">2.2 Technology stack and rationale</w:t>
      </w:r>
    </w:p>
    <w:p>
      <w:pPr>
        <w:pStyle w:val="FirstParagraph"/>
        <w:spacing w:line="312" w:lineRule="auto" w:after="80"/>
        <w:jc w:val="both"/>
      </w:pPr>
      <w:r>
        <w:rPr>
          <w:rFonts w:ascii="Times New Roman" w:hAnsi="Times New Roman" w:eastAsia="Times New Roman" w:cs="Times New Roman"/>
          <w:color w:val="000000"/>
          <w:sz w:val="24"/>
        </w:rPr>
        <w:t xml:space="preserve">The technology stack is summarised in Table 2.2.</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2.2: System technology stack. Rationale entries record the specific property of each choice that makes it suitable for the thesis-scope deployment.</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154"/>
        <w:gridCol w:w="2381"/>
        <w:gridCol w:w="4309"/>
      </w:tblGrid>
      <w:tr>
        <w:trPr>
          <w:tblHeader w:val="on"/>
        </w:trPr>
        <w:tc>
          <w:tcPr>
            <w:tcW w:type="dxa" w:w="215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Layer</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Choice</w:t>
            </w:r>
          </w:p>
        </w:tc>
        <w:tc>
          <w:tcPr>
            <w:tcW w:type="dxa" w:w="430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Rationale</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Backend framework</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FastAPI 0.115</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Python-native, asynchronous, automatic OpenAPI generation, Pydantic-driven schema validation.</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ORM and migrations</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SQLAlchemy 2.0 + Alembic</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Mature, type-safe in 2.0, integrates with FastAPI’s dependency injection.</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Database</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PostgreSQL 16 (Railway managed)</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Single-node managed Postgres is sufficient for the workload; no sharding required.</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LLM provider</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Google Vertex AI Gemini 2.5 Flash</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Lowest cost per 1 M tokens in the production-quality tier at the time of selection; native asynchronous client; reliable structured-output mode.</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Frontend framework</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React 19</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Concurrent rendering, automatic batching, and the most mature component ecosystem.</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Routing</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TanStack Router via TanStack Start</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File-based routes, type-safe links, search-param state co-location.</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Build tool</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Vite 7</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Sub-second hot module replacement during development.</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Styling</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Tailwind 4 + Radix UI primitives</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Utility-first CSS without a parallel design-token system; Radix provides accessibility-correct primitives for menus, dialogs, and toggles.</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Animation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Framer Motion</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Declarative timeline animations for the input page heroes.</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Authentication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JWT in HttpOnly cookies + Google OAuth (authlib)</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No client-readable tokens; standard refresh-rotation pattern.</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Transactional email</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Resend</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Used only for password-reset emails (no welcome or marketing email is sent in V1).</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Hosting</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Railway (backend, frontend, Postgres)</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Single dashboard, single billing relationship, native GitHub deploy hooks.</w:t>
            </w:r>
          </w:p>
        </w:tc>
      </w:tr>
      <w:tr>
        <w:tc>
          <w:tcPr>
            <w:tcW w:type="dxa" w:w="215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Observability</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Railway built-in metrics + Sentry free tier</w:t>
            </w:r>
          </w:p>
        </w:tc>
        <w:tc>
          <w:tcPr>
            <w:tcW w:type="dxa" w:w="430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Sufficient for thesis-scope traffic; can be extended to a paid tier without code changes.</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Two stack decisions deserve explicit defence because either could plausibly have been made differently.</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Why FastAPI rather than a Node/TypeScript backend.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(Python’s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difflib</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unicodedata</w:t>
      </w:r>
      <w:r>
        <w:rPr>
          <w:rFonts w:ascii="Times New Roman" w:hAnsi="Times New Roman" w:eastAsia="Times New Roman" w:cs="Times New Roman"/>
          <w:color w:val="000000"/>
          <w:sz w:val="24"/>
        </w:rPr>
        <w:t xml:space="preserve">, and the optional</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rapidfuzz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scikit-learn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ecosystems available if the heuristic is later extended)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Why TanStack Start rather than Next.js.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spacing w:line="312" w:lineRule="auto" w:after="80"/>
        <w:ind w:firstLine="283"/>
        <w:jc w:val="both"/>
      </w:pPr>
      <w:r>
        <w:rPr>
          <w:rFonts w:ascii="Times New Roman" w:hAnsi="Times New Roman" w:eastAsia="Times New Roman" w:cs="Times New Roman"/>
          <w:color w:val="000000"/>
          <w:sz w:val="24"/>
        </w:rP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tool_/result/$historyId.tsx</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would have required substantially more glue in a Next.js setup.</w:t>
      </w:r>
    </w:p>
    <w:p>
      <w:pPr>
        <w:pStyle w:val="BodyText"/>
        <w:spacing w:line="312" w:lineRule="auto" w:after="80"/>
        <w:ind w:firstLine="283"/>
        <w:jc w:val="both"/>
      </w:pPr>
      <w:r>
        <w:rPr>
          <w:rFonts w:ascii="Times New Roman" w:hAnsi="Times New Roman" w:eastAsia="Times New Roman" w:cs="Times New Roman"/>
          <w:color w:val="000000"/>
          <w:sz w:val="24"/>
        </w:rPr>
        <w:t xml:space="preserve">The deployment stack reflects the thesis boundary. Railway provides enough operational structure for a live system without requiring a separate platform-engineering layer. PostgreSQL is used instead of a document store because tool history, users, regeneration chains, and workspaces are relational by nature. Sentry and Railway metrics are sufficient for defect investigation at thesis traffic levels.</w:t>
      </w:r>
    </w:p>
    <w:bookmarkEnd w:id="27"/>
    <w:bookmarkStart w:id="38" w:name="backend-architecture"/>
    <w:p>
      <w:pPr>
        <w:pStyle w:val="Heading2"/>
        <w:keepNext/>
        <w:jc w:val="left"/>
      </w:pPr>
      <w:r>
        <w:rPr>
          <w:rFonts w:ascii="Times New Roman" w:hAnsi="Times New Roman" w:eastAsia="Times New Roman" w:cs="Times New Roman"/>
          <w:b/>
          <w:i w:val="0"/>
          <w:color w:val="000000"/>
          <w:sz w:val="28"/>
        </w:rPr>
        <w:t xml:space="preserve">2.3 Backend architecture</w:t>
      </w:r>
    </w:p>
    <w:p>
      <w:pPr>
        <w:pStyle w:val="FirstParagraph"/>
        <w:spacing w:line="312" w:lineRule="auto" w:after="80"/>
        <w:jc w:val="both"/>
      </w:pPr>
      <w:r>
        <w:rPr>
          <w:rFonts w:ascii="Times New Roman" w:hAnsi="Times New Roman" w:eastAsia="Times New Roman" w:cs="Times New Roman"/>
          <w:color w:val="000000"/>
          <w:sz w:val="24"/>
        </w:rPr>
        <w:t xml:space="preserve">The backend is structured in four horizontal layers (Figure 2.1).</w:t>
      </w:r>
    </w:p>
    <w:p>
      <w:pPr>
        <w:pStyle w:val="CaptionedFigure"/>
        <w:keepNext/>
        <w:spacing w:before="60" w:after="40"/>
        <w:jc w:val="center"/>
      </w:pPr>
      <w:r>
        <w:drawing>
          <wp:inline>
            <wp:extent cx="4031999" cy="2911999"/>
            <wp:effectExtent b="0" l="0" r="0" t="0"/>
            <wp:docPr descr="Figure 2.1: Backend layered architecture. The FastAPI surface (routers and schemas) delegates to a service layer that runs every analytical tool through the shared run_tool_pipeline, which in turn invokes the heuristic prepass, the LLM gateway (Vertex AI Gemini 2.5 Flash via ai_client.py), and the persistence layer (SQLAlchemy 2.0 + Alembic over PostgreSQL)." title="" id="29" name="Picture"/>
            <a:graphic>
              <a:graphicData uri="http://schemas.openxmlformats.org/drawingml/2006/picture">
                <pic:pic>
                  <pic:nvPicPr>
                    <pic:cNvPr descr="figures/v2/figure-2-1.png" id="30" name="Picture"/>
                    <pic:cNvPicPr>
                      <a:picLocks noChangeArrowheads="1" noChangeAspect="1"/>
                    </pic:cNvPicPr>
                  </pic:nvPicPr>
                  <pic:blipFill>
                    <a:blip r:embed="rId28"/>
                    <a:stretch>
                      <a:fillRect/>
                    </a:stretch>
                  </pic:blipFill>
                  <pic:spPr bwMode="auto">
                    <a:xfrm>
                      <a:off x="0" y="0"/>
                      <a:ext cx="4031999" cy="2911999"/>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2.1: Backend layered architecture. The FastAPI surface (routers and schemas) delegates to a service layer that runs every analytical tool through the shared</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run_tool_pipeline</w:t>
      </w:r>
      <w:r>
        <w:rPr>
          <w:rFonts w:ascii="Times New Roman" w:hAnsi="Times New Roman" w:eastAsia="Times New Roman" w:cs="Times New Roman"/>
          <w:i/>
          <w:color w:val="000000"/>
          <w:sz w:val="24"/>
        </w:rPr>
        <w:t xml:space="preserve">, which in turn invokes the heuristic prepass, the LLM gateway (Vertex AI Gemini 2.5 Flash via</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ai_client.py</w:t>
      </w:r>
      <w:r>
        <w:rPr>
          <w:rFonts w:ascii="Times New Roman" w:hAnsi="Times New Roman" w:eastAsia="Times New Roman" w:cs="Times New Roman"/>
          <w:i/>
          <w:color w:val="000000"/>
          <w:sz w:val="24"/>
        </w:rPr>
        <w:t xml:space="preserve">), and the persistence layer (SQLAlchemy 2.0 + Alembic over PostgreSQL).</w:t>
      </w:r>
    </w:p>
    <w:bookmarkStart w:id="31" w:name="routers"/>
    <w:p>
      <w:pPr>
        <w:pStyle w:val="Heading3"/>
        <w:keepNext/>
        <w:jc w:val="left"/>
      </w:pPr>
      <w:r>
        <w:rPr>
          <w:rFonts w:ascii="Times New Roman" w:hAnsi="Times New Roman" w:eastAsia="Times New Roman" w:cs="Times New Roman"/>
          <w:b/>
          <w:i/>
          <w:color w:val="000000"/>
          <w:sz w:val="24"/>
        </w:rPr>
        <w:t xml:space="preserve">2.3.1 Routers</w:t>
      </w:r>
    </w:p>
    <w:p>
      <w:pPr>
        <w:pStyle w:val="FirstParagraph"/>
        <w:spacing w:line="312" w:lineRule="auto" w:after="80"/>
        <w:jc w:val="both"/>
      </w:pPr>
      <w:r>
        <w:rPr>
          <w:rFonts w:ascii="Times New Roman" w:hAnsi="Times New Roman" w:eastAsia="Times New Roman" w:cs="Times New Roman"/>
          <w:color w:val="000000"/>
          <w:sz w:val="24"/>
        </w:rPr>
        <w:t xml:space="preserve">Each domain has its own router file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app/routers/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auth</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google_auth</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job_match</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career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cover_letter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interview</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portfolio</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history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files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admin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health</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telemetry</w:t>
      </w:r>
      <w:r>
        <w:rPr>
          <w:rFonts w:ascii="Times New Roman" w:hAnsi="Times New Roman" w:eastAsia="Times New Roman" w:cs="Times New Roman"/>
          <w:color w:val="000000"/>
          <w:sz w:val="24"/>
        </w:rPr>
        <w:t xml:space="preserve">. All routers are mounted under the API prefix</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/api/v1</w:t>
      </w:r>
      <w:r>
        <w:rPr>
          <w:rFonts w:ascii="Times New Roman" w:hAnsi="Times New Roman" w:eastAsia="Times New Roman" w:cs="Times New Roman"/>
          <w:color w:val="000000"/>
          <w:sz w:val="24"/>
        </w:rPr>
        <w:t xml:space="preserve">. Routers are deliberately thin: they parse and validate the request body via the corresponding Pydantic schema, resolve dependencies (current user, database session), invoke the relevant service function, and return the response. Keeping routers thin makes the tool services and the shared pipeline the main units of behaviour, and means that a new endpoint typically requires only a new prompt module and a service function rather than any router-level plumbing.</w:t>
      </w:r>
    </w:p>
    <w:bookmarkEnd w:id="31"/>
    <w:bookmarkStart w:id="35" w:name="the-shared-tool-pipeline"/>
    <w:p>
      <w:pPr>
        <w:pStyle w:val="Heading3"/>
        <w:keepNext/>
        <w:jc w:val="left"/>
      </w:pPr>
      <w:r>
        <w:rPr>
          <w:rFonts w:ascii="Times New Roman" w:hAnsi="Times New Roman" w:eastAsia="Times New Roman" w:cs="Times New Roman"/>
          <w:b/>
          <w:i/>
          <w:color w:val="000000"/>
          <w:sz w:val="24"/>
        </w:rPr>
        <w:t xml:space="preserve">2.3.2 The shared tool pipeline</w:t>
      </w:r>
    </w:p>
    <w:p>
      <w:pPr>
        <w:pStyle w:val="FirstParagraph"/>
        <w:spacing w:line="312" w:lineRule="auto" w:after="80"/>
        <w:jc w:val="both"/>
      </w:pPr>
      <w:r>
        <w:rPr>
          <w:rFonts w:ascii="Times New Roman" w:hAnsi="Times New Roman" w:eastAsia="Times New Roman" w:cs="Times New Roman"/>
          <w:color w:val="000000"/>
          <w:sz w:val="24"/>
        </w:rPr>
        <w:t xml:space="preserve">The six functional tools share a single cross-cutting pipeline implemented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services/tool_pipeline.py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exposed as the asynchronous function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run_tool_pipeline(...)</w:t>
      </w:r>
      <w:r>
        <w:rPr>
          <w:rFonts w:ascii="Times New Roman" w:hAnsi="Times New Roman" w:eastAsia="Times New Roman" w:cs="Times New Roman"/>
          <w:color w:val="000000"/>
          <w:sz w:val="24"/>
        </w:rPr>
        <w:t xml:space="preserve">. Every tool router invokes this pipeline rather than calling the tool service directly. The pipeline has six stages, executed in order (Figure 2.2):</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Sanitise.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resume text, the job description (if any), and any feedback string are passed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sanitize_user_input</w:t>
      </w:r>
      <w:r>
        <w:rPr>
          <w:rFonts w:ascii="Times New Roman" w:hAnsi="Times New Roman" w:eastAsia="Times New Roman" w:cs="Times New Roman"/>
          <w:color w:val="000000"/>
          <w:sz w:val="24"/>
        </w:rPr>
        <w:t xml:space="preserve">, which strips control characters, normalises whitespace, and bounds the input length. This is a defence-in-depth measure against prompt-injection-style payloads embedded in resumes.</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Cache lookup.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Service call.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tool-specific service function is invoked. Each tool service is a coroutine that returns a fully populated response dictionary.</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Persistence.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result is persisted as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Response assembly.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unified response shape is built from the persisted record, including the history identifier and the access mode.</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Observability.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structured event is emitted on start, success, and failure, including the tool name, access mode, duration, and the error category if applicable. These events feed both the Sentry breadcrumb trail and the operator-facing metrics.</w:t>
      </w:r>
    </w:p>
    <w:p>
      <w:pPr>
        <w:pStyle w:val="CaptionedFigure"/>
        <w:keepNext/>
        <w:spacing w:before="60" w:after="40"/>
        <w:jc w:val="center"/>
      </w:pPr>
      <w:r>
        <w:drawing>
          <wp:inline>
            <wp:extent cx="4031999" cy="2911999"/>
            <wp:effectExtent b="0" l="0" r="0" t="0"/>
            <wp:docPr descr="Figure 2.2: Tool pipeline (run_tool_pipelin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 title="" id="33" name="Picture"/>
            <a:graphic>
              <a:graphicData uri="http://schemas.openxmlformats.org/drawingml/2006/picture">
                <pic:pic>
                  <pic:nvPicPr>
                    <pic:cNvPr descr="figures/v2/figure-2-2.png" id="34" name="Picture"/>
                    <pic:cNvPicPr>
                      <a:picLocks noChangeArrowheads="1" noChangeAspect="1"/>
                    </pic:cNvPicPr>
                  </pic:nvPicPr>
                  <pic:blipFill>
                    <a:blip r:embed="rId32"/>
                    <a:stretch>
                      <a:fillRect/>
                    </a:stretch>
                  </pic:blipFill>
                  <pic:spPr bwMode="auto">
                    <a:xfrm>
                      <a:off x="0" y="0"/>
                      <a:ext cx="4031999" cy="2911999"/>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2.2: Tool pipeline (</w:t>
      </w:r>
      <w:r>
        <w:rPr>
          <w:rStyle w:val="VerbatimChar"/>
          <w:rFonts w:ascii="Times New Roman" w:hAnsi="Times New Roman" w:eastAsia="Times New Roman" w:cs="Times New Roman"/>
          <w:i/>
          <w:color w:val="000000"/>
          <w:sz w:val="24"/>
        </w:rPr>
        <w:t xml:space="preserve">run_tool_pipeline</w:t>
      </w:r>
      <w:r>
        <w:rPr>
          <w:rFonts w:ascii="Times New Roman" w:hAnsi="Times New Roman" w:eastAsia="Times New Roman" w:cs="Times New Roman"/>
          <w:i/>
          <w:color w:val="000000"/>
          <w:sz w:val="24"/>
        </w:rPr>
        <w:t xml:space="preserv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w:t>
      </w:r>
    </w:p>
    <w:p>
      <w:pPr>
        <w:pStyle w:val="BodyText"/>
        <w:spacing w:line="312" w:lineRule="auto" w:after="80"/>
        <w:ind w:firstLine="283"/>
        <w:jc w:val="both"/>
      </w:pPr>
      <w:r>
        <w:rPr>
          <w:rFonts w:ascii="Times New Roman" w:hAnsi="Times New Roman" w:eastAsia="Times New Roman" w:cs="Times New Roman"/>
          <w:color w:val="000000"/>
          <w:sz w:val="24"/>
        </w:rP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spacing w:line="312" w:lineRule="auto" w:after="80"/>
        <w:ind w:firstLine="283"/>
        <w:jc w:val="both"/>
      </w:pPr>
      <w:r>
        <w:rPr>
          <w:rFonts w:ascii="Times New Roman" w:hAnsi="Times New Roman" w:eastAsia="Times New Roman" w:cs="Times New Roman"/>
          <w:color w:val="000000"/>
          <w:sz w:val="24"/>
        </w:rP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run_tool_pipeline</w:t>
      </w:r>
      <w:r>
        <w:rPr>
          <w:rFonts w:ascii="Times New Roman" w:hAnsi="Times New Roman" w:eastAsia="Times New Roman" w:cs="Times New Roman"/>
          <w:color w:val="000000"/>
          <w:sz w:val="24"/>
        </w:rPr>
        <w:t xml:space="preserve">. That refactor is small in lines but is the single architectural change that has saved the most engineering effort across the project; it is also the reason why the regeneration path needed no special-case handling, because regeneration is just another pipeline call with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parent_run_id</w:t>
      </w:r>
      <w:r>
        <w:rPr>
          <w:rFonts w:ascii="Times New Roman" w:hAnsi="Times New Roman" w:eastAsia="Times New Roman" w:cs="Times New Roman"/>
          <w:color w:val="000000"/>
          <w:sz w:val="24"/>
        </w:rPr>
        <w:t xml:space="preserve">, optional feedback, and the same persistence contract.</w:t>
      </w:r>
    </w:p>
    <w:bookmarkEnd w:id="35"/>
    <w:bookmarkStart w:id="36" w:name="tool-services-and-prompt-builders"/>
    <w:p>
      <w:pPr>
        <w:pStyle w:val="Heading3"/>
        <w:keepNext/>
        <w:jc w:val="left"/>
      </w:pPr>
      <w:r>
        <w:rPr>
          <w:rFonts w:ascii="Times New Roman" w:hAnsi="Times New Roman" w:eastAsia="Times New Roman" w:cs="Times New Roman"/>
          <w:b/>
          <w:i/>
          <w:color w:val="000000"/>
          <w:sz w:val="24"/>
        </w:rPr>
        <w:t xml:space="preserve">2.3.3 Tool services and prompt builders</w:t>
      </w:r>
    </w:p>
    <w:p>
      <w:pPr>
        <w:pStyle w:val="FirstParagraph"/>
        <w:spacing w:line="312" w:lineRule="auto" w:after="80"/>
        <w:jc w:val="both"/>
      </w:pPr>
      <w:r>
        <w:rPr>
          <w:rFonts w:ascii="Times New Roman" w:hAnsi="Times New Roman" w:eastAsia="Times New Roman" w:cs="Times New Roman"/>
          <w:color w:val="000000"/>
          <w:sz w:val="24"/>
        </w:rPr>
        <w:t xml:space="preserve">The body of each tool’s logic lives in two files: a service module (</w:t>
      </w:r>
      <w:r>
        <w:rPr>
          <w:rStyle w:val="VerbatimChar"/>
          <w:rFonts w:ascii="Times New Roman" w:hAnsi="Times New Roman" w:eastAsia="Times New Roman" w:cs="Times New Roman"/>
          <w:color w:val="000000"/>
          <w:sz w:val="24"/>
        </w:rPr>
        <w:t xml:space="preserve">services/&lt;tool&gt;_*.py</w:t>
      </w:r>
      <w:r>
        <w:rPr>
          <w:rFonts w:ascii="Times New Roman" w:hAnsi="Times New Roman" w:eastAsia="Times New Roman" w:cs="Times New Roman"/>
          <w:color w:val="000000"/>
          <w:sz w:val="24"/>
        </w:rPr>
        <w:t xml:space="preserve">) and a prompt module (</w:t>
      </w:r>
      <w:r>
        <w:rPr>
          <w:rStyle w:val="VerbatimChar"/>
          <w:rFonts w:ascii="Times New Roman" w:hAnsi="Times New Roman" w:eastAsia="Times New Roman" w:cs="Times New Roman"/>
          <w:color w:val="000000"/>
          <w:sz w:val="24"/>
        </w:rPr>
        <w:t xml:space="preserve">prompts/&lt;tool&gt;.py</w:t>
      </w:r>
      <w:r>
        <w:rPr>
          <w:rFonts w:ascii="Times New Roman" w:hAnsi="Times New Roman" w:eastAsia="Times New Roman" w:cs="Times New Roman"/>
          <w:color w:val="000000"/>
          <w:sz w:val="24"/>
        </w:rPr>
        <w:t xml:space="preserve">). The service module orchestrates the heuristic prepass, builds the prompt by delegating to the prompt module, calls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services/ai_client.py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obtain a validated JSON response from Gemini, and post-processes the result. The prompt module is responsible only for assembling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system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messages from the inputs and the heuristic prepass. Splitting these responsibilities keeps the prompt content under version control without coupling it to the service-orchestration code.</w:t>
      </w:r>
    </w:p>
    <w:p>
      <w:pPr>
        <w:pStyle w:val="BodyText"/>
        <w:spacing w:line="312" w:lineRule="auto" w:after="80"/>
        <w:ind w:firstLine="283"/>
        <w:jc w:val="both"/>
      </w:pPr>
      <w:r>
        <w:rPr>
          <w:rFonts w:ascii="Times New Roman" w:hAnsi="Times New Roman" w:eastAsia="Times New Roman" w:cs="Times New Roman"/>
          <w:color w:val="000000"/>
          <w:sz w:val="24"/>
        </w:rPr>
        <w:t xml:space="preserve">The service modules are also where mode-specific behaviour is isolated. Analytical services can return a heuristic-only response when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SCORING_MODE=heuristic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set in the runtime configuration (Section 4.2.9) or when the LLM path fails after exhausting the retry policy described in Section 3.1.1. Generative services do not attempt a heuristic substitute, because a deterministic cover letter or interview answer would be misleading; instead they raise a structured error that the frontend renders as a retry-able failure state.</w:t>
      </w:r>
    </w:p>
    <w:bookmarkEnd w:id="36"/>
    <w:bookmarkStart w:id="37" w:name="the-heuristic-prepass"/>
    <w:p>
      <w:pPr>
        <w:pStyle w:val="Heading3"/>
        <w:keepNext/>
        <w:jc w:val="left"/>
      </w:pPr>
      <w:r>
        <w:rPr>
          <w:rFonts w:ascii="Times New Roman" w:hAnsi="Times New Roman" w:eastAsia="Times New Roman" w:cs="Times New Roman"/>
          <w:b/>
          <w:i/>
          <w:color w:val="000000"/>
          <w:sz w:val="24"/>
        </w:rPr>
        <w:t xml:space="preserve">2.3.4 The heuristic prepass</w:t>
      </w:r>
    </w:p>
    <w:p>
      <w:pPr>
        <w:pStyle w:val="FirstParagraph"/>
        <w:spacing w:line="312" w:lineRule="auto" w:after="80"/>
        <w:jc w:val="both"/>
      </w:pPr>
      <w:r>
        <w:rPr>
          <w:rFonts w:ascii="Times New Roman" w:hAnsi="Times New Roman" w:eastAsia="Times New Roman" w:cs="Times New Roman"/>
          <w:color w:val="000000"/>
          <w:sz w:val="24"/>
        </w:rPr>
        <w:t xml:space="preserve">For tools that produce a numerical score (Resume Analyzer and Job Match)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locked payload</w:t>
      </w:r>
      <w:r>
        <w:rPr>
          <w:rFonts w:ascii="Times New Roman" w:hAnsi="Times New Roman" w:eastAsia="Times New Roman" w:cs="Times New Roman"/>
          <w:color w:val="000000"/>
          <w:sz w:val="24"/>
        </w:rPr>
        <w:t xml:space="preserve">: text the LLM is instructed to use as authoritative ground truth rather than to overwrite. This has two effects: it stabilises the LLM’s score against prompt-perturbation noise, and it makes the heuristic-only fallback (and the fully-heuristic mode reported in Chapter 4) implementable without a parallel codepath, because disabling the LLM call leaves the prepass payload as the response on its own.</w:t>
      </w:r>
    </w:p>
    <w:p>
      <w:r>
        <w:br w:type="page"/>
      </w:r>
    </w:p>
    <w:bookmarkEnd w:id="37"/>
    <w:bookmarkEnd w:id="38"/>
    <w:bookmarkStart w:id="42" w:name="frontend-architecture"/>
    <w:p>
      <w:pPr>
        <w:pStyle w:val="Heading2"/>
        <w:keepNext/>
        <w:jc w:val="left"/>
      </w:pPr>
      <w:r>
        <w:rPr>
          <w:rFonts w:ascii="Times New Roman" w:hAnsi="Times New Roman" w:eastAsia="Times New Roman" w:cs="Times New Roman"/>
          <w:b/>
          <w:i w:val="0"/>
          <w:color w:val="000000"/>
          <w:sz w:val="28"/>
        </w:rPr>
        <w:t xml:space="preserve">2.4 Frontend architecture</w:t>
      </w:r>
    </w:p>
    <w:p>
      <w:pPr>
        <w:pStyle w:val="FirstParagraph"/>
        <w:spacing w:line="312" w:lineRule="auto" w:after="80"/>
        <w:jc w:val="both"/>
      </w:pPr>
      <w:r>
        <w:rPr>
          <w:rFonts w:ascii="Times New Roman" w:hAnsi="Times New Roman" w:eastAsia="Times New Roman" w:cs="Times New Roman"/>
          <w:color w:val="000000"/>
          <w:sz w:val="24"/>
        </w:rPr>
        <w:t xml:space="preserve">The frontend is a single-page application served from a Railway service that lives in the same Railway project as the backend service; both share one external hostname through path-based routing (the backend handles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w:t>
      </w:r>
      <w:r>
        <w:rPr>
          <w:rFonts w:ascii="Times New Roman" w:hAnsi="Times New Roman" w:eastAsia="Times New Roman" w:cs="Times New Roman"/>
          <w:color w:val="000000"/>
          <w:sz w:val="24"/>
        </w:rPr>
        <w:t xml:space="preserve">, the frontend handles everything else). The deployment topology is described in detail in Section 2.7.</w:t>
      </w:r>
    </w:p>
    <w:bookmarkStart w:id="39" w:name="route-structure"/>
    <w:p>
      <w:pPr>
        <w:pStyle w:val="Heading3"/>
        <w:keepNext/>
        <w:jc w:val="left"/>
      </w:pPr>
      <w:r>
        <w:rPr>
          <w:rFonts w:ascii="Times New Roman" w:hAnsi="Times New Roman" w:eastAsia="Times New Roman" w:cs="Times New Roman"/>
          <w:b/>
          <w:i/>
          <w:color w:val="000000"/>
          <w:sz w:val="24"/>
        </w:rPr>
        <w:t xml:space="preserve">2.4.1 Route structure</w:t>
      </w:r>
    </w:p>
    <w:p>
      <w:pPr>
        <w:pStyle w:val="FirstParagraph"/>
        <w:spacing w:line="312" w:lineRule="auto" w:after="80"/>
        <w:jc w:val="both"/>
      </w:pPr>
      <w:r>
        <w:rPr>
          <w:rFonts w:ascii="Times New Roman" w:hAnsi="Times New Roman" w:eastAsia="Times New Roman" w:cs="Times New Roman"/>
          <w:color w:val="000000"/>
          <w:sz w:val="24"/>
        </w:rPr>
        <w:t xml:space="preserve">Routes live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frontend/src/routes/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are file-based. The route tree is generated at build time by TanStack Router. Each tool has a pair of routes:</w:t>
      </w:r>
    </w:p>
    <w:p>
      <w:pPr>
        <w:pStyle w:val="Compact"/>
        <w:numPr>
          <w:ilvl w:val="0"/>
          <w:numId w:val="1004"/>
        </w:numPr>
        <w:spacing w:line="312" w:lineRule="auto" w:after="80"/>
        <w:ind w:firstLine="283"/>
        <w:jc w:val="both"/>
      </w:pPr>
      <w:r>
        <w:rPr>
          <w:rFonts w:ascii="Times New Roman" w:hAnsi="Times New Roman" w:eastAsia="Times New Roman" w:cs="Times New Roman"/>
          <w:color w:val="000000"/>
          <w:sz w:val="24"/>
        </w:rPr>
        <w:t xml:space="preserve">An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input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route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/&lt;tool&gt;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 example,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/job-match</w:t>
      </w:r>
      <w:r>
        <w:rPr>
          <w:rFonts w:ascii="Times New Roman" w:hAnsi="Times New Roman" w:eastAsia="Times New Roman" w:cs="Times New Roman"/>
          <w:color w:val="000000"/>
          <w:sz w:val="24"/>
        </w:rPr>
        <w:t xml:space="preserve">); this workspace page contains the resume input, the job-description input where applicable, and per-tool animation, copy, and chips.</w:t>
      </w:r>
    </w:p>
    <w:p>
      <w:pPr>
        <w:pStyle w:val="Compact"/>
        <w:numPr>
          <w:ilvl w:val="0"/>
          <w:numId w:val="1004"/>
        </w:numPr>
        <w:spacing w:line="312" w:lineRule="auto" w:after="80"/>
        <w:ind w:firstLine="283"/>
        <w:jc w:val="both"/>
      </w:pPr>
      <w:r>
        <w:rPr>
          <w:rFonts w:ascii="Times New Roman" w:hAnsi="Times New Roman" w:eastAsia="Times New Roman" w:cs="Times New Roman"/>
          <w:color w:val="000000"/>
          <w:sz w:val="24"/>
        </w:rPr>
        <w:t xml:space="preserve">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result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route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/&lt;tool&gt;_/result/$historyId</w:t>
      </w:r>
      <w:r>
        <w:rPr>
          <w:rFonts w:ascii="Times New Roman" w:hAnsi="Times New Roman" w:eastAsia="Times New Roman" w:cs="Times New Roman"/>
          <w:color w:val="000000"/>
          <w:sz w:val="24"/>
        </w:rPr>
        <w:t xml:space="preserve">, the page rendered after a tool run completes. The route segment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_/</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declares a layout split, and the dynamic segment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$historyId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persistent identifier of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record on the backend.</w:t>
      </w:r>
    </w:p>
    <w:p>
      <w:pPr>
        <w:pStyle w:val="FirstParagraph"/>
        <w:spacing w:line="312" w:lineRule="auto" w:after="80"/>
        <w:ind w:firstLine="283"/>
        <w:jc w:val="both"/>
      </w:pPr>
      <w:r>
        <w:rPr>
          <w:rFonts w:ascii="Times New Roman" w:hAnsi="Times New Roman" w:eastAsia="Times New Roman" w:cs="Times New Roman"/>
          <w:color w:val="000000"/>
          <w:sz w:val="24"/>
        </w:rPr>
        <w:t xml:space="preserve">In addition, routes exist for the dashboard, account settings, login, password reset, history, and the small admin surface introduced in Chapter 4 for the runtime scoring-mode toggle.</w:t>
      </w:r>
    </w:p>
    <w:bookmarkEnd w:id="39"/>
    <w:bookmarkStart w:id="40" w:name="state-management"/>
    <w:p>
      <w:pPr>
        <w:pStyle w:val="Heading3"/>
        <w:keepNext/>
        <w:jc w:val="left"/>
      </w:pPr>
      <w:r>
        <w:rPr>
          <w:rFonts w:ascii="Times New Roman" w:hAnsi="Times New Roman" w:eastAsia="Times New Roman" w:cs="Times New Roman"/>
          <w:b/>
          <w:i/>
          <w:color w:val="000000"/>
          <w:sz w:val="24"/>
        </w:rPr>
        <w:t xml:space="preserve">2.4.2 State management</w:t>
      </w:r>
    </w:p>
    <w:p>
      <w:pPr>
        <w:pStyle w:val="FirstParagraph"/>
        <w:spacing w:line="312" w:lineRule="auto" w:after="80"/>
        <w:jc w:val="both"/>
      </w:pPr>
      <w:r>
        <w:rPr>
          <w:rFonts w:ascii="Times New Roman" w:hAnsi="Times New Roman" w:eastAsia="Times New Roman" w:cs="Times New Roman"/>
          <w:color w:val="000000"/>
          <w:sz w:val="24"/>
        </w:rPr>
        <w:t xml:space="preserve">Application state is partitioned into three scopes.</w:t>
      </w:r>
    </w:p>
    <w:p>
      <w:pPr>
        <w:pStyle w:val="Compact"/>
        <w:numPr>
          <w:ilvl w:val="0"/>
          <w:numId w:val="1005"/>
        </w:numPr>
        <w:spacing w:line="312" w:lineRule="auto" w:after="80"/>
        <w:ind w:firstLine="283"/>
        <w:jc w:val="both"/>
      </w:pPr>
      <w:r>
        <w:rPr>
          <w:rFonts w:ascii="Times New Roman" w:hAnsi="Times New Roman" w:eastAsia="Times New Roman" w:cs="Times New Roman"/>
          <w:b/>
          <w:bCs/>
          <w:color w:val="000000"/>
          <w:sz w:val="24"/>
        </w:rPr>
        <w:t xml:space="preserve">Server 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(anything that originates from the backend)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spacing w:line="312" w:lineRule="auto" w:after="80"/>
        <w:ind w:firstLine="283"/>
        <w:jc w:val="both"/>
      </w:pPr>
      <w:r>
        <w:rPr>
          <w:rFonts w:ascii="Times New Roman" w:hAnsi="Times New Roman" w:eastAsia="Times New Roman" w:cs="Times New Roman"/>
          <w:b/>
          <w:bCs/>
          <w:color w:val="000000"/>
          <w:sz w:val="24"/>
        </w:rPr>
        <w:t xml:space="preserve">Workflow 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resume text being carried between tools and the most recent tool result the user is referencing) is held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sessionStorage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read through small custom hooks (</w:t>
      </w:r>
      <w:r>
        <w:rPr>
          <w:rStyle w:val="VerbatimChar"/>
          <w:rFonts w:ascii="Times New Roman" w:hAnsi="Times New Roman" w:eastAsia="Times New Roman" w:cs="Times New Roman"/>
          <w:color w:val="000000"/>
          <w:sz w:val="24"/>
        </w:rPr>
        <w:t xml:space="preserve">useResumeCarry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useSession</w:t>
      </w:r>
      <w:r>
        <w:rPr>
          <w:rFonts w:ascii="Times New Roman" w:hAnsi="Times New Roman" w:eastAsia="Times New Roman" w:cs="Times New Roman"/>
          <w:color w:val="000000"/>
          <w:sz w:val="24"/>
        </w:rPr>
        <w:t xml:space="preserve">). Workflow state is tab-scoped by design: opening the same site in a second tab does not share workflow context, which prevents accidental cross-talk between unrelated tool runs.</w:t>
      </w:r>
    </w:p>
    <w:p>
      <w:pPr>
        <w:pStyle w:val="Compact"/>
        <w:numPr>
          <w:ilvl w:val="0"/>
          <w:numId w:val="1005"/>
        </w:numPr>
        <w:spacing w:line="312" w:lineRule="auto" w:after="80"/>
        <w:ind w:firstLine="283"/>
        <w:jc w:val="both"/>
      </w:pPr>
      <w:r>
        <w:rPr>
          <w:rFonts w:ascii="Times New Roman" w:hAnsi="Times New Roman" w:eastAsia="Times New Roman" w:cs="Times New Roman"/>
          <w:b/>
          <w:bCs/>
          <w:color w:val="000000"/>
          <w:sz w:val="24"/>
        </w:rPr>
        <w:t xml:space="preserve">Component 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(input values, sheet open/closed flags, animation timing) is local to each component and uses standard React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useReducer</w:t>
      </w:r>
      <w:r>
        <w:rPr>
          <w:rFonts w:ascii="Times New Roman" w:hAnsi="Times New Roman" w:eastAsia="Times New Roman" w:cs="Times New Roman"/>
          <w:color w:val="000000"/>
          <w:sz w:val="24"/>
        </w:rPr>
        <w:t xml:space="preserve">.</w:t>
      </w:r>
    </w:p>
    <w:bookmarkEnd w:id="40"/>
    <w:bookmarkStart w:id="41" w:name="layout-shell-and-navigation"/>
    <w:p>
      <w:pPr>
        <w:pStyle w:val="Heading3"/>
        <w:keepNext/>
        <w:jc w:val="left"/>
      </w:pPr>
      <w:r>
        <w:rPr>
          <w:rFonts w:ascii="Times New Roman" w:hAnsi="Times New Roman" w:eastAsia="Times New Roman" w:cs="Times New Roman"/>
          <w:b/>
          <w:i/>
          <w:color w:val="000000"/>
          <w:sz w:val="24"/>
        </w:rPr>
        <w:t xml:space="preserve">2.4.3 Layout shell and navigation</w:t>
      </w:r>
    </w:p>
    <w:p>
      <w:pPr>
        <w:pStyle w:val="FirstParagraph"/>
        <w:spacing w:line="312" w:lineRule="auto" w:after="80"/>
        <w:jc w:val="both"/>
      </w:pPr>
      <w:r>
        <w:rPr>
          <w:rFonts w:ascii="Times New Roman" w:hAnsi="Times New Roman" w:eastAsia="Times New Roman" w:cs="Times New Roman"/>
          <w:color w:val="000000"/>
          <w:sz w:val="24"/>
        </w:rPr>
        <w:t xml:space="preserve">The application shell consists of a dark sidebar and topbar with a light content area; there is no dark-mode toggle. The sidebar groups the six tools into three semantic clusters,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primary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(Resume, Job Match),</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application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(Cover Letter, Interview Q&amp;A),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planning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(Career Path, Portfolio), to reduce the cognitive load of navigation. On mobile breakpoints, the sidebar collapses into a bottom tab bar (</w:t>
      </w:r>
      <w:r>
        <w:rPr>
          <w:rStyle w:val="VerbatimChar"/>
          <w:rFonts w:ascii="Times New Roman" w:hAnsi="Times New Roman" w:eastAsia="Times New Roman" w:cs="Times New Roman"/>
          <w:color w:val="000000"/>
          <w:sz w:val="24"/>
        </w:rPr>
        <w:t xml:space="preserve">MobileNav</w:t>
      </w:r>
      <w:r>
        <w:rPr>
          <w:rFonts w:ascii="Times New Roman" w:hAnsi="Times New Roman" w:eastAsia="Times New Roman" w:cs="Times New Roman"/>
          <w:color w:val="000000"/>
          <w:sz w:val="24"/>
        </w:rPr>
        <w:t xml:space="preserve">) and a tools sheet (</w:t>
      </w:r>
      <w:r>
        <w:rPr>
          <w:rStyle w:val="VerbatimChar"/>
          <w:rFonts w:ascii="Times New Roman" w:hAnsi="Times New Roman" w:eastAsia="Times New Roman" w:cs="Times New Roman"/>
          <w:color w:val="000000"/>
          <w:sz w:val="24"/>
        </w:rPr>
        <w:t xml:space="preserve">ToolGridSheet</w:t>
      </w:r>
      <w:r>
        <w:rPr>
          <w:rFonts w:ascii="Times New Roman" w:hAnsi="Times New Roman" w:eastAsia="Times New Roman" w:cs="Times New Roman"/>
          <w:color w:val="000000"/>
          <w:sz w:val="24"/>
        </w:rPr>
        <w:t xml:space="preserve">). All tool metadata that drives the sidebar, the dashboard cards, and the tools-sheet grid is centralised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frontend/src/lib/tools/registry.ts</w:t>
      </w:r>
      <w:r>
        <w:rPr>
          <w:rFonts w:ascii="Times New Roman" w:hAnsi="Times New Roman" w:eastAsia="Times New Roman" w:cs="Times New Roman"/>
          <w:color w:val="000000"/>
          <w:sz w:val="24"/>
        </w:rPr>
        <w:t xml:space="preserve">, so a new tool can be exposed across the entire UI with a single registry entry.</w:t>
      </w:r>
    </w:p>
    <w:bookmarkEnd w:id="41"/>
    <w:bookmarkEnd w:id="42"/>
    <w:bookmarkStart w:id="43" w:name="data-model-and-persistence"/>
    <w:p>
      <w:pPr>
        <w:pStyle w:val="Heading2"/>
        <w:keepNext/>
        <w:jc w:val="left"/>
      </w:pPr>
      <w:r>
        <w:rPr>
          <w:rFonts w:ascii="Times New Roman" w:hAnsi="Times New Roman" w:eastAsia="Times New Roman" w:cs="Times New Roman"/>
          <w:b/>
          <w:i w:val="0"/>
          <w:color w:val="000000"/>
          <w:sz w:val="28"/>
        </w:rPr>
        <w:t xml:space="preserve">2.5 Data model and persistence</w:t>
      </w:r>
    </w:p>
    <w:p>
      <w:pPr>
        <w:pStyle w:val="FirstParagraph"/>
        <w:spacing w:line="312" w:lineRule="auto" w:after="80"/>
        <w:jc w:val="both"/>
      </w:pPr>
      <w:r>
        <w:rPr>
          <w:rFonts w:ascii="Times New Roman" w:hAnsi="Times New Roman" w:eastAsia="Times New Roman" w:cs="Times New Roman"/>
          <w:color w:val="000000"/>
          <w:sz w:val="24"/>
        </w:rPr>
        <w:t xml:space="preserve">The persistence model contains three primary tables, summarised in Table 2.3.</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2.3: Primary persistence tables. The schema is intentionally narrow: every row in</w:t>
      </w:r>
      <w:r>
        <w:rPr>
          <w:rFonts w:ascii="Times New Roman" w:hAnsi="Times New Roman" w:eastAsia="Times New Roman" w:cs="Times New Roman"/>
          <w:i/>
          <w:iCs/>
          <w:color w:val="000000"/>
          <w:sz w:val="24"/>
        </w:rPr>
        <w:t xml:space="preserve"> </w:t>
      </w:r>
      <w:r>
        <w:rPr>
          <w:rStyle w:val="VerbatimChar"/>
          <w:rFonts w:ascii="Times New Roman" w:hAnsi="Times New Roman" w:eastAsia="Times New Roman" w:cs="Times New Roman"/>
          <w:i/>
          <w:iCs/>
          <w:color w:val="000000"/>
          <w:sz w:val="24"/>
        </w:rPr>
        <w:t xml:space="preserve">tool_runs</w:t>
      </w:r>
      <w:r>
        <w:rPr>
          <w:rFonts w:ascii="Times New Roman" w:hAnsi="Times New Roman" w:eastAsia="Times New Roman" w:cs="Times New Roman"/>
          <w:i/>
          <w:iCs/>
          <w:color w:val="000000"/>
          <w:sz w:val="24"/>
        </w:rPr>
        <w:t xml:space="preserve"> </w:t>
      </w:r>
      <w:r>
        <w:rPr>
          <w:rFonts w:ascii="Times New Roman" w:hAnsi="Times New Roman" w:eastAsia="Times New Roman" w:cs="Times New Roman"/>
          <w:i/>
          <w:iCs/>
          <w:color w:val="000000"/>
          <w:sz w:val="24"/>
        </w:rPr>
        <w:t xml:space="preserve">is the unit of audit and history, and the regeneration parent pointer plus the linked-context list together carry the workflow graph without requiring an additional table.</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154"/>
        <w:gridCol w:w="2381"/>
        <w:gridCol w:w="4309"/>
      </w:tblGrid>
      <w:tr>
        <w:trPr>
          <w:tblHeader w:val="on"/>
        </w:trPr>
        <w:tc>
          <w:tcPr>
            <w:tcW w:type="dxa" w:w="215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Table</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Purpose</w:t>
            </w:r>
          </w:p>
        </w:tc>
        <w:tc>
          <w:tcPr>
            <w:tcW w:type="dxa" w:w="430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Key columns</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users</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One row per registered account</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id</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(UUID),</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email</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password_hash</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(bcrypt) or null for OAuth-only accounts,</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google_subject</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for federated identities, timestamps.</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tool_runs</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One row per tool invocation that the system chose to persist</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id</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user_id</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tool_name</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label</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result_json</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parent_run_id</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for regeneration chains,</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linked_context_ids</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workspace_id</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feedback_text</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created_at</w:t>
            </w:r>
            <w:r>
              <w:rPr>
                <w:rFonts w:ascii="Times New Roman" w:hAnsi="Times New Roman" w:eastAsia="Times New Roman" w:cs="Times New Roman"/>
                <w:b w:val="0"/>
                <w:color w:val="000000"/>
                <w:sz w:val="18"/>
              </w:rPr>
              <w:t xml:space="preserve">.</w:t>
            </w:r>
          </w:p>
        </w:tc>
      </w:tr>
      <w:tr>
        <w:tc>
          <w:tcPr>
            <w:tcW w:type="dxa" w:w="215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workspaces</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Optional grouping of tool runs around a single role search</w:t>
            </w:r>
          </w:p>
        </w:tc>
        <w:tc>
          <w:tcPr>
            <w:tcW w:type="dxa" w:w="430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id</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user_id</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label</w:t>
            </w:r>
            <w:r>
              <w:rPr>
                <w:rFonts w:ascii="Times New Roman" w:hAnsi="Times New Roman" w:eastAsia="Times New Roman" w:cs="Times New Roman"/>
                <w:b w:val="0"/>
                <w:color w:val="000000"/>
                <w:sz w:val="18"/>
              </w:rPr>
              <w:t xml:space="preserve">, timestamps.</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Two design choices on the data model deserve note.</w:t>
      </w:r>
    </w:p>
    <w:p>
      <w:pPr>
        <w:pStyle w:val="BodyText"/>
        <w:spacing w:line="312" w:lineRule="auto" w:after="80"/>
        <w:ind w:firstLine="283"/>
        <w:jc w:val="both"/>
      </w:pPr>
      <w:r>
        <w:rPr>
          <w:rFonts w:ascii="Times New Roman" w:hAnsi="Times New Roman" w:eastAsia="Times New Roman" w:cs="Times New Roman"/>
          <w:color w:val="000000"/>
          <w:sz w:val="24"/>
        </w:rPr>
        <w:t xml:space="preserve">First,</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regeneration never overwrites</w:t>
      </w:r>
      <w:r>
        <w:rPr>
          <w:rFonts w:ascii="Times New Roman" w:hAnsi="Times New Roman" w:eastAsia="Times New Roman" w:cs="Times New Roman"/>
          <w:color w:val="000000"/>
          <w:sz w:val="24"/>
        </w:rPr>
        <w:t xml:space="preserve">. A regenerated tool run is a new</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tool_runs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whose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parent_run_id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points to the original. This produces a complete audit trail of the user’s iteration on any single piece of analytical work, and supports rolling back a result that the user found less useful than its predecessor.</w:t>
      </w:r>
    </w:p>
    <w:p>
      <w:pPr>
        <w:pStyle w:val="BodyText"/>
        <w:spacing w:line="312" w:lineRule="auto" w:after="80"/>
        <w:ind w:firstLine="283"/>
        <w:jc w:val="both"/>
      </w:pPr>
      <w:r>
        <w:rPr>
          <w:rFonts w:ascii="Times New Roman" w:hAnsi="Times New Roman" w:eastAsia="Times New Roman" w:cs="Times New Roman"/>
          <w:color w:val="000000"/>
          <w:sz w:val="24"/>
        </w:rPr>
        <w:t xml:space="preserve">Second,</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guest tool runs are never persisted to the database</w:t>
      </w:r>
      <w:r>
        <w:rPr>
          <w:rFonts w:ascii="Times New Roman" w:hAnsi="Times New Roman" w:eastAsia="Times New Roman" w:cs="Times New Roman"/>
          <w:color w:val="000000"/>
          <w:sz w:val="24"/>
        </w:rP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p>
      <w:pPr>
        <w:pStyle w:val="BodyText"/>
        <w:spacing w:line="312" w:lineRule="auto" w:after="80"/>
        <w:ind w:firstLine="283"/>
        <w:jc w:val="both"/>
      </w:pPr>
      <w:r>
        <w:rPr>
          <w:rFonts w:ascii="Times New Roman" w:hAnsi="Times New Roman" w:eastAsia="Times New Roman" w:cs="Times New Roman"/>
          <w:color w:val="000000"/>
          <w:sz w:val="24"/>
        </w:rPr>
        <w:t xml:space="preserve">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linked_context_ids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field supports the workflow argument of the thesis. When a user invokes a cover letter from a Job Match result, or opens Interview Q&amp;A from an analysed resume, the new result records the prior run it depended on. This produces a small graph of tool usage that the History page renders as a workflow chain rather than a flat reverse-chronological list, without requiring a separate workflow engine, queue, or state machine on the backend.</w:t>
      </w:r>
    </w:p>
    <w:bookmarkEnd w:id="43"/>
    <w:bookmarkStart w:id="44" w:name="authentication-and-security"/>
    <w:p>
      <w:pPr>
        <w:pStyle w:val="Heading2"/>
        <w:keepNext/>
        <w:jc w:val="left"/>
      </w:pPr>
      <w:r>
        <w:rPr>
          <w:rFonts w:ascii="Times New Roman" w:hAnsi="Times New Roman" w:eastAsia="Times New Roman" w:cs="Times New Roman"/>
          <w:b/>
          <w:i w:val="0"/>
          <w:color w:val="000000"/>
          <w:sz w:val="28"/>
        </w:rPr>
        <w:t xml:space="preserve">2.6 Authentication and security</w:t>
      </w:r>
    </w:p>
    <w:p>
      <w:pPr>
        <w:pStyle w:val="FirstParagraph"/>
        <w:spacing w:line="312" w:lineRule="auto" w:after="80"/>
        <w:jc w:val="both"/>
      </w:pPr>
      <w:r>
        <w:rPr>
          <w:rFonts w:ascii="Times New Roman" w:hAnsi="Times New Roman" w:eastAsia="Times New Roman" w:cs="Times New Roman"/>
          <w:color w:val="000000"/>
          <w:sz w:val="24"/>
        </w:rPr>
        <w:t xml:space="preserve">Authentication uses JSON Web Tokens carried in HttpOnly cookies. There are two cookies: a 30-minute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access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token and a 7-day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refresh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token. The access token carries the user identifier and is validated on every protected request through a FastAPI dependency. The refresh token is sent only to a single endpoint (</w:t>
      </w:r>
      <w:r>
        <w:rPr>
          <w:rStyle w:val="VerbatimChar"/>
          <w:rFonts w:ascii="Times New Roman" w:hAnsi="Times New Roman" w:eastAsia="Times New Roman" w:cs="Times New Roman"/>
          <w:color w:val="000000"/>
          <w:sz w:val="24"/>
        </w:rPr>
        <w:t xml:space="preserve">/auth/refresh</w:t>
      </w:r>
      <w:r>
        <w:rPr>
          <w:rFonts w:ascii="Times New Roman" w:hAnsi="Times New Roman" w:eastAsia="Times New Roman" w:cs="Times New Roman"/>
          <w:color w:val="000000"/>
          <w:sz w:val="24"/>
        </w:rPr>
        <w:t xml:space="preserve">) and is rotated on every successful refresh; the previous refresh token is invalidated atomically with the issue of the new pair to prevent replay. Cookies are marked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Secure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SameSite=Lax</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HttpOnly</w:t>
      </w:r>
      <w:r>
        <w:rPr>
          <w:rFonts w:ascii="Times New Roman" w:hAnsi="Times New Roman" w:eastAsia="Times New Roman" w:cs="Times New Roman"/>
          <w:color w:val="000000"/>
          <w:sz w:val="24"/>
        </w:rPr>
        <w:t xml:space="preserve">. No CSRF tokens are issued, because the API accepts only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application/json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request bodies and the SameSite policy is sufficient against the threat model.</w:t>
      </w:r>
    </w:p>
    <w:p>
      <w:pPr>
        <w:pStyle w:val="BodyText"/>
        <w:spacing w:line="312" w:lineRule="auto" w:after="80"/>
        <w:ind w:firstLine="283"/>
        <w:jc w:val="both"/>
      </w:pPr>
      <w:r>
        <w:rPr>
          <w:rFonts w:ascii="Times New Roman" w:hAnsi="Times New Roman" w:eastAsia="Times New Roman" w:cs="Times New Roman"/>
          <w:color w:val="000000"/>
          <w:sz w:val="24"/>
        </w:rPr>
        <w:t xml:space="preserve">Federated login is supported through Google OAuth using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authlib</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library. Password reset is implemented through a single-use token sent by Resend; the token is bound to a hash of the user’s current password hash, so a successful reset implicitly invalidates earlier reset tokens.</w:t>
      </w:r>
    </w:p>
    <w:p>
      <w:pPr>
        <w:pStyle w:val="BodyText"/>
        <w:spacing w:line="312" w:lineRule="auto" w:after="80"/>
        <w:ind w:firstLine="283"/>
        <w:jc w:val="both"/>
      </w:pPr>
      <w:r>
        <w:rPr>
          <w:rFonts w:ascii="Times New Roman" w:hAnsi="Times New Roman" w:eastAsia="Times New Roman" w:cs="Times New Roman"/>
          <w:color w:val="000000"/>
          <w:sz w:val="24"/>
        </w:rPr>
        <w:t xml:space="preserve">Beyond authentication, three additional security measures are worth noting. Inputs are sanitised before reaching any prompt builder (Section 2.3.2). Disposable-email domains are blocklisted at signup. Rate limiting is enforced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slowapi</w:t>
      </w:r>
      <w:r>
        <w:rPr>
          <w:rFonts w:ascii="Times New Roman" w:hAnsi="Times New Roman" w:eastAsia="Times New Roman" w:cs="Times New Roman"/>
          <w:color w:val="000000"/>
          <w:sz w:val="24"/>
        </w:rPr>
        <w:t xml:space="preserve">, with stricter limits on login and password-reset endpoints than on the tool endpoints, so that brute-force attempts on credentials are rate-controlled independently of the tool-traffic envelope.</w:t>
      </w:r>
    </w:p>
    <w:bookmarkEnd w:id="44"/>
    <w:bookmarkStart w:id="48" w:name="deployment-topology"/>
    <w:p>
      <w:pPr>
        <w:pStyle w:val="Heading2"/>
        <w:keepNext/>
        <w:jc w:val="left"/>
      </w:pPr>
      <w:r>
        <w:rPr>
          <w:rFonts w:ascii="Times New Roman" w:hAnsi="Times New Roman" w:eastAsia="Times New Roman" w:cs="Times New Roman"/>
          <w:b/>
          <w:i w:val="0"/>
          <w:color w:val="000000"/>
          <w:sz w:val="28"/>
        </w:rPr>
        <w:t xml:space="preserve">2.7 Deployment topology</w:t>
      </w:r>
    </w:p>
    <w:p>
      <w:pPr>
        <w:pStyle w:val="FirstParagraph"/>
        <w:spacing w:line="312" w:lineRule="auto" w:after="80"/>
        <w:jc w:val="both"/>
      </w:pPr>
      <w:r>
        <w:rPr>
          <w:rFonts w:ascii="Times New Roman" w:hAnsi="Times New Roman" w:eastAsia="Times New Roman" w:cs="Times New Roman"/>
          <w:color w:val="000000"/>
          <w:sz w:val="24"/>
        </w:rPr>
        <w:t xml:space="preserve">The production deployment runs as a single Railway project containing two application services (frontend and backend) plus a managed PostgreSQL add-on (Figure 2.3).</w:t>
      </w:r>
    </w:p>
    <w:p>
      <w:pPr>
        <w:pStyle w:val="CaptionedFigure"/>
        <w:keepNext/>
        <w:spacing w:before="60" w:after="40"/>
        <w:jc w:val="center"/>
      </w:pPr>
      <w:r>
        <w:drawing>
          <wp:inline>
            <wp:extent cx="4031999" cy="2799998"/>
            <wp:effectExtent b="0" l="0" r="0" t="0"/>
            <wp:docPr descr="Figure 2.3: Production deployment topology. Browser traffic resolves through Cloudflare DNS and TLS into a single Railway hostname; path-based routing at the Railway edge delivers the / path to the Vite-built frontend service and the /api/v1/* 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 title="" id="46" name="Picture"/>
            <a:graphic>
              <a:graphicData uri="http://schemas.openxmlformats.org/drawingml/2006/picture">
                <pic:pic>
                  <pic:nvPicPr>
                    <pic:cNvPr descr="figures/v2/figure-2-3.png" id="47" name="Picture"/>
                    <pic:cNvPicPr>
                      <a:picLocks noChangeArrowheads="1" noChangeAspect="1"/>
                    </pic:cNvPicPr>
                  </pic:nvPicPr>
                  <pic:blipFill>
                    <a:blip r:embed="rId45"/>
                    <a:stretch>
                      <a:fillRect/>
                    </a:stretch>
                  </pic:blipFill>
                  <pic:spPr bwMode="auto">
                    <a:xfrm>
                      <a:off x="0" y="0"/>
                      <a:ext cx="4031999" cy="2799998"/>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2.3: Production deployment topology. Browser traffic resolves through Cloudflare DNS and TLS into a single Railway hostname; path-based routing at the Railway edge delivers the</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w:t>
      </w:r>
      <w:r>
        <w:rPr>
          <w:rFonts w:ascii="Times New Roman" w:hAnsi="Times New Roman" w:eastAsia="Times New Roman" w:cs="Times New Roman"/>
          <w:i/>
          <w:color w:val="000000"/>
          <w:sz w:val="24"/>
        </w:rPr>
        <w:t xml:space="preserve"> </w:t>
      </w:r>
      <w:r>
        <w:rPr>
          <w:rFonts w:ascii="Times New Roman" w:hAnsi="Times New Roman" w:eastAsia="Times New Roman" w:cs="Times New Roman"/>
          <w:i/>
          <w:color w:val="000000"/>
          <w:sz w:val="24"/>
        </w:rPr>
        <w:t xml:space="preserve">path to the Vite-built frontend service and the</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/api/v1/*</w:t>
      </w:r>
      <w:r>
        <w:rPr>
          <w:rFonts w:ascii="Times New Roman" w:hAnsi="Times New Roman" w:eastAsia="Times New Roman" w:cs="Times New Roman"/>
          <w:i/>
          <w:color w:val="000000"/>
          <w:sz w:val="24"/>
        </w:rPr>
        <w:t xml:space="preserve"> </w:t>
      </w:r>
      <w:r>
        <w:rPr>
          <w:rFonts w:ascii="Times New Roman" w:hAnsi="Times New Roman" w:eastAsia="Times New Roman" w:cs="Times New Roman"/>
          <w:i/>
          <w:color w:val="000000"/>
          <w:sz w:val="24"/>
        </w:rPr>
        <w:t xml:space="preserve">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w:t>
      </w:r>
    </w:p>
    <w:p>
      <w:pPr>
        <w:pStyle w:val="BodyText"/>
        <w:spacing w:line="312" w:lineRule="auto" w:after="80"/>
        <w:ind w:firstLine="283"/>
        <w:jc w:val="both"/>
      </w:pPr>
      <w:r>
        <w:rPr>
          <w:rFonts w:ascii="Times New Roman" w:hAnsi="Times New Roman" w:eastAsia="Times New Roman" w:cs="Times New Roman"/>
          <w:color w:val="000000"/>
          <w:sz w:val="24"/>
        </w:rP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spacing w:line="312" w:lineRule="auto" w:after="80"/>
        <w:ind w:firstLine="283"/>
        <w:jc w:val="both"/>
      </w:pPr>
      <w:r>
        <w:rPr>
          <w:rFonts w:ascii="Times New Roman" w:hAnsi="Times New Roman" w:eastAsia="Times New Roman" w:cs="Times New Roman"/>
          <w:color w:val="000000"/>
          <w:sz w:val="24"/>
        </w:rPr>
        <w:t xml:space="preserve">Continuous deployment is wired to a single branch (</w:t>
      </w:r>
      <w:r>
        <w:rPr>
          <w:rStyle w:val="VerbatimChar"/>
          <w:rFonts w:ascii="Times New Roman" w:hAnsi="Times New Roman" w:eastAsia="Times New Roman" w:cs="Times New Roman"/>
          <w:color w:val="000000"/>
          <w:sz w:val="24"/>
        </w:rPr>
        <w:t xml:space="preserve">deploy</w:t>
      </w:r>
      <w:r>
        <w:rPr>
          <w:rFonts w:ascii="Times New Roman" w:hAnsi="Times New Roman" w:eastAsia="Times New Roman" w:cs="Times New Roman"/>
          <w:color w:val="000000"/>
          <w:sz w:val="24"/>
        </w:rPr>
        <w:t xml:space="preserve">). Pushing to</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main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 development checkpoint; promoting a commit to</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deploy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spacing w:line="312" w:lineRule="auto" w:after="80"/>
        <w:ind w:firstLine="283"/>
        <w:jc w:val="both"/>
      </w:pPr>
      <w:r>
        <w:rPr>
          <w:rFonts w:ascii="Times New Roman" w:hAnsi="Times New Roman" w:eastAsia="Times New Roman" w:cs="Times New Roman"/>
          <w:color w:val="000000"/>
          <w:sz w:val="24"/>
        </w:rPr>
        <w:t xml:space="preserve">The Railway choice was driven by the desire for a unified deployment surface. Serving the frontend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the backend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 a single hostname collapses the entire system into one domain, which removes an entire class of CORS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SameSite</w:t>
      </w:r>
      <w:r>
        <w:rPr>
          <w:rFonts w:ascii="Times New Roman" w:hAnsi="Times New Roman" w:eastAsia="Times New Roman" w:cs="Times New Roman"/>
          <w:color w:val="000000"/>
          <w:sz w:val="24"/>
        </w:rPr>
        <w:t xml:space="preserve">-cookie configuration bugs from the project before they can be introduced. Split-deployment alternatives (typically a frontend host such as Vercel paired with a separate backend host)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spacing w:line="312" w:lineRule="auto" w:after="80"/>
        <w:ind w:firstLine="283"/>
        <w:jc w:val="both"/>
      </w:pPr>
      <w:r>
        <w:rPr>
          <w:rFonts w:ascii="Times New Roman" w:hAnsi="Times New Roman" w:eastAsia="Times New Roman" w:cs="Times New Roman"/>
          <w:color w:val="000000"/>
          <w:sz w:val="24"/>
        </w:rPr>
        <w:t xml:space="preserve">The single-origin deployment is also directly relevant to authentication. HttpOnly cookies are simpler to configure when the SPA and the API share one origin, and path-based routing avoids the browser-policy complexity that would arise from maintaining separate frontend and backend domains under different cookie scopes. For a larger product this architecture could be split later — for example, a multi-region frontend with a regional API tier — but doing so during the thesis would have added operational risk without strengthening the research result reported in Chapter 4.</w:t>
      </w:r>
    </w:p>
    <w:p>
      <w:pPr>
        <w:pStyle w:val="BodyText"/>
        <w:spacing w:line="312" w:lineRule="auto" w:after="80"/>
        <w:ind w:firstLine="283"/>
        <w:jc w:val="both"/>
      </w:pPr>
      <w:r>
        <w:rPr>
          <w:rFonts w:ascii="Times New Roman" w:hAnsi="Times New Roman" w:eastAsia="Times New Roman" w:cs="Times New Roman"/>
          <w:color w:val="000000"/>
          <w:sz w:val="24"/>
        </w:rPr>
        <w:t xml:space="preserve">The next chapter details the implementation of each of the six tools that this architecture supports.</w:t>
      </w:r>
    </w:p>
    <w:bookmarkEnd w:id="48"/>
    <w:bookmarkEnd w:id="49"/>
    <w:bookmarkStart w:id="75" w:name="chapter-3-tool-implementations"/>
    <w:p>
      <w:pPr>
        <w:pStyle w:val="Heading1"/>
        <w:keepNext/>
        <w:pageBreakBefore/>
        <w:spacing w:before="480" w:after="240"/>
        <w:jc w:val="left"/>
      </w:pPr>
      <w:r>
        <w:rPr>
          <w:rFonts w:ascii="Times New Roman" w:hAnsi="Times New Roman" w:eastAsia="Times New Roman" w:cs="Times New Roman"/>
          <w:b/>
          <w:i w:val="0"/>
          <w:color w:val="000000"/>
          <w:sz w:val="36"/>
        </w:rPr>
        <w:t xml:space="preserve">Chapter 3 — Tool implementations</w:t>
      </w:r>
    </w:p>
    <w:p>
      <w:pPr>
        <w:pStyle w:val="FirstParagraph"/>
        <w:spacing w:line="312" w:lineRule="auto" w:after="80"/>
        <w:jc w:val="both"/>
      </w:pPr>
      <w:r>
        <w:rPr>
          <w:rFonts w:ascii="Times New Roman" w:hAnsi="Times New Roman" w:eastAsia="Times New Roman" w:cs="Times New Roman"/>
          <w:color w:val="000000"/>
          <w:sz w:val="24"/>
        </w:rP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primary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(Resume, Job Match) produce numerical assessments and can therefore be run in either the blended or the fully-heuristic mode introduced in Chapter 4.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application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(Cover Letter, Interview Q&amp;A) generate creative artefacts and are LLM-only by construction.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planning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spacing w:line="312" w:lineRule="auto" w:after="80"/>
        <w:ind w:firstLine="283"/>
        <w:jc w:val="both"/>
      </w:pPr>
      <w:r>
        <w:rPr>
          <w:rFonts w:ascii="Times New Roman" w:hAnsi="Times New Roman" w:eastAsia="Times New Roman" w:cs="Times New Roman"/>
          <w:color w:val="000000"/>
          <w:sz w:val="24"/>
        </w:rPr>
        <w:t xml:space="preserve">Before discussing each tool, Section 3.1 isolates the cross-cutting concerns that all six share, so that the per-tool sections can focus on what is specific to each.</w:t>
      </w:r>
    </w:p>
    <w:bookmarkStart w:id="55" w:name="cross-cutting-design"/>
    <w:p>
      <w:pPr>
        <w:pStyle w:val="Heading2"/>
        <w:keepNext/>
        <w:jc w:val="left"/>
      </w:pPr>
      <w:r>
        <w:rPr>
          <w:rFonts w:ascii="Times New Roman" w:hAnsi="Times New Roman" w:eastAsia="Times New Roman" w:cs="Times New Roman"/>
          <w:b/>
          <w:i w:val="0"/>
          <w:color w:val="000000"/>
          <w:sz w:val="28"/>
        </w:rPr>
        <w:t xml:space="preserve">3.1 Cross-cutting design</w:t>
      </w:r>
    </w:p>
    <w:bookmarkStart w:id="50" w:name="the-structured-output-llm-client"/>
    <w:p>
      <w:pPr>
        <w:pStyle w:val="Heading3"/>
        <w:keepNext/>
        <w:jc w:val="left"/>
      </w:pPr>
      <w:r>
        <w:rPr>
          <w:rFonts w:ascii="Times New Roman" w:hAnsi="Times New Roman" w:eastAsia="Times New Roman" w:cs="Times New Roman"/>
          <w:b/>
          <w:i/>
          <w:color w:val="000000"/>
          <w:sz w:val="24"/>
        </w:rPr>
        <w:t xml:space="preserve">3.1.1 The structured-output LLM client</w:t>
      </w:r>
    </w:p>
    <w:p>
      <w:pPr>
        <w:pStyle w:val="FirstParagraph"/>
        <w:spacing w:line="312" w:lineRule="auto" w:after="80"/>
        <w:jc w:val="both"/>
      </w:pPr>
      <w:r>
        <w:rPr>
          <w:rFonts w:ascii="Times New Roman" w:hAnsi="Times New Roman" w:eastAsia="Times New Roman" w:cs="Times New Roman"/>
          <w:color w:val="000000"/>
          <w:sz w:val="24"/>
        </w:rPr>
        <w:t xml:space="preserve">All LLM calls go through a single coroutine,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complete_structured(system_prompt, user_prompt, schema=None, model_override=None)</w:t>
      </w:r>
      <w:r>
        <w:rPr>
          <w:rFonts w:ascii="Times New Roman" w:hAnsi="Times New Roman" w:eastAsia="Times New Roman" w:cs="Times New Roman"/>
          <w:color w:val="000000"/>
          <w:sz w:val="24"/>
        </w:rPr>
        <w:t xml:space="preserve">, defined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app/services/ai_client.py</w:t>
      </w:r>
      <w:r>
        <w:rPr>
          <w:rFonts w:ascii="Times New Roman" w:hAnsi="Times New Roman" w:eastAsia="Times New Roman" w:cs="Times New Roman"/>
          <w:color w:val="000000"/>
          <w:sz w:val="24"/>
        </w:rPr>
        <w:t xml:space="preserve">. The function lazily initialises the Vertex AI SDK once per process, dispatches the request to the configured provider (</w:t>
      </w:r>
      <w:r>
        <w:rPr>
          <w:rStyle w:val="VerbatimChar"/>
          <w:rFonts w:ascii="Times New Roman" w:hAnsi="Times New Roman" w:eastAsia="Times New Roman" w:cs="Times New Roman"/>
          <w:color w:val="000000"/>
          <w:sz w:val="24"/>
        </w:rPr>
        <w:t xml:space="preserve">vertex</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production), requests JSON output, and returns a parsed Python dictionary.</w:t>
      </w:r>
    </w:p>
    <w:p>
      <w:pPr>
        <w:pStyle w:val="BodyText"/>
        <w:spacing w:line="312" w:lineRule="auto" w:after="80"/>
        <w:ind w:firstLine="283"/>
        <w:jc w:val="both"/>
      </w:pPr>
      <w:r>
        <w:rPr>
          <w:rFonts w:ascii="Times New Roman" w:hAnsi="Times New Roman" w:eastAsia="Times New Roman" w:cs="Times New Roman"/>
          <w:color w:val="000000"/>
          <w:sz w:val="24"/>
        </w:rPr>
        <w:t xml:space="preserve">Two reliability mechanisms are built into the client.</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Per-call timeout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bounds an individual generation at 120 seconds; this is well above the 95th-percentile latency observed in practice but short enough that a stuck request does not tie up a worker indefinitely.</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Exponential backoff with jitter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retries up to four times (at 5, 10, 20, and 40 seconds, plus a small random offset) for transient errors (</w:t>
      </w:r>
      <w:r>
        <w:rPr>
          <w:rStyle w:val="VerbatimChar"/>
          <w:rFonts w:ascii="Times New Roman" w:hAnsi="Times New Roman" w:eastAsia="Times New Roman" w:cs="Times New Roman"/>
          <w:color w:val="000000"/>
          <w:sz w:val="24"/>
        </w:rPr>
        <w:t xml:space="preserve">TimeoutError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RuntimeError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json.JSONDecodeError</w:t>
      </w:r>
      <w:r>
        <w:rPr>
          <w:rFonts w:ascii="Times New Roman" w:hAnsi="Times New Roman" w:eastAsia="Times New Roman" w:cs="Times New Roman"/>
          <w:color w:val="000000"/>
          <w:sz w:val="24"/>
        </w:rPr>
        <w:t xml:space="preserve">). JSON-decode errors are retried because Gemini occasionally truncates structured output under load; the retry loop deliberately excludes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ValueError</w:t>
      </w:r>
      <w:r>
        <w:rPr>
          <w:rFonts w:ascii="Times New Roman" w:hAnsi="Times New Roman" w:eastAsia="Times New Roman" w:cs="Times New Roman"/>
          <w:color w:val="000000"/>
          <w:sz w:val="24"/>
        </w:rP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spacing w:line="312" w:lineRule="auto" w:after="80"/>
        <w:ind w:firstLine="283"/>
        <w:jc w:val="both"/>
      </w:pPr>
      <w:r>
        <w:rPr>
          <w:rFonts w:ascii="Times New Roman" w:hAnsi="Times New Roman" w:eastAsia="Times New Roman" w:cs="Times New Roman"/>
          <w:color w:val="000000"/>
          <w:sz w:val="24"/>
        </w:rPr>
        <w:t xml:space="preserve">The 5, 10, 20, and 40 second retry schedule was selected after early testing; a shorter 2–4–8–16 schedule often retried before the upstream transient error had cleared.</w:t>
      </w:r>
    </w:p>
    <w:bookmarkEnd w:id="50"/>
    <w:bookmarkStart w:id="51" w:name="the-locked-payload-prompt-pattern"/>
    <w:p>
      <w:pPr>
        <w:pStyle w:val="Heading3"/>
        <w:keepNext/>
        <w:jc w:val="left"/>
      </w:pPr>
      <w:r>
        <w:rPr>
          <w:rFonts w:ascii="Times New Roman" w:hAnsi="Times New Roman" w:eastAsia="Times New Roman" w:cs="Times New Roman"/>
          <w:b/>
          <w:i/>
          <w:color w:val="000000"/>
          <w:sz w:val="24"/>
        </w:rPr>
        <w:t xml:space="preserve">3.1.2 The locked-payload prompt pattern</w:t>
      </w:r>
    </w:p>
    <w:p>
      <w:pPr>
        <w:pStyle w:val="FirstParagraph"/>
        <w:spacing w:line="312" w:lineRule="auto" w:after="80"/>
        <w:jc w:val="both"/>
      </w:pPr>
      <w:r>
        <w:rPr>
          <w:rFonts w:ascii="Times New Roman" w:hAnsi="Times New Roman" w:eastAsia="Times New Roman" w:cs="Times New Roman"/>
          <w:color w:val="000000"/>
          <w:sz w:val="24"/>
        </w:rPr>
        <w:t xml:space="preserve">For the analytical tools (Resume Analyzer, Job Match) the prompt builder constructs three blocks: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system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prompt that establishes role, register, and forbidden behaviours;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user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prompt that contains the resume and (where applicable) the job description; and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locked-payload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The backend then recomputes the final score from the deterministic prepass and the returned LLM score breakdown, so the deployed response does not rely on the model to preserve arithmetic correctly.</w:t>
      </w:r>
    </w:p>
    <w:bookmarkEnd w:id="51"/>
    <w:bookmarkStart w:id="52" w:name="pydantic-validated-structured-output"/>
    <w:p>
      <w:pPr>
        <w:pStyle w:val="Heading3"/>
        <w:keepNext/>
        <w:jc w:val="left"/>
      </w:pPr>
      <w:r>
        <w:rPr>
          <w:rFonts w:ascii="Times New Roman" w:hAnsi="Times New Roman" w:eastAsia="Times New Roman" w:cs="Times New Roman"/>
          <w:b/>
          <w:i/>
          <w:color w:val="000000"/>
          <w:sz w:val="24"/>
        </w:rPr>
        <w:t xml:space="preserve">3.1.3 Pydantic-validated structured output</w:t>
      </w:r>
    </w:p>
    <w:p>
      <w:pPr>
        <w:pStyle w:val="FirstParagraph"/>
        <w:spacing w:line="312" w:lineRule="auto" w:after="80"/>
        <w:jc w:val="both"/>
      </w:pPr>
      <w:r>
        <w:rPr>
          <w:rFonts w:ascii="Times New Roman" w:hAnsi="Times New Roman" w:eastAsia="Times New Roman" w:cs="Times New Roman"/>
          <w:color w:val="000000"/>
          <w:sz w:val="24"/>
        </w:rPr>
        <w:t xml:space="preserve">Every API response returned from a tool router is validated against a Pydantic response model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app/schemas/tools.py</w:t>
      </w:r>
      <w:r>
        <w:rPr>
          <w:rFonts w:ascii="Times New Roman" w:hAnsi="Times New Roman" w:eastAsia="Times New Roman" w:cs="Times New Roman"/>
          <w:color w:val="000000"/>
          <w:sz w:val="24"/>
        </w:rPr>
        <w:t xml:space="preserve">. The frontend mirrors those response contracts with Zod schemas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frontend/src/lib/api/schemas.ts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validates responses before rendering. The two schema files are kept aligned by tests and code review rather than by code generation, which is adequate for the small number of response shapes in this project. Gemini itself is asked for JSON output, but the backend treats the model response as untrusted: service-level normalisation fills missing fields, drops invalid enum values, and falls back to deterministic heuristic content when the analytical LLM call fails.</w:t>
      </w:r>
    </w:p>
    <w:bookmarkEnd w:id="52"/>
    <w:bookmarkStart w:id="53" w:name="fallback-policy"/>
    <w:p>
      <w:pPr>
        <w:pStyle w:val="Heading3"/>
        <w:keepNext/>
        <w:jc w:val="left"/>
      </w:pPr>
      <w:r>
        <w:rPr>
          <w:rFonts w:ascii="Times New Roman" w:hAnsi="Times New Roman" w:eastAsia="Times New Roman" w:cs="Times New Roman"/>
          <w:b/>
          <w:i/>
          <w:color w:val="000000"/>
          <w:sz w:val="24"/>
        </w:rPr>
        <w:t xml:space="preserve">3.1.4 Fallback policy</w:t>
      </w:r>
    </w:p>
    <w:p>
      <w:pPr>
        <w:pStyle w:val="FirstParagraph"/>
        <w:spacing w:line="312" w:lineRule="auto" w:after="80"/>
        <w:jc w:val="both"/>
      </w:pPr>
      <w:r>
        <w:rPr>
          <w:rFonts w:ascii="Times New Roman" w:hAnsi="Times New Roman" w:eastAsia="Times New Roman" w:cs="Times New Roman"/>
          <w:color w:val="000000"/>
          <w:sz w:val="24"/>
        </w:rPr>
        <w:t xml:space="preserve">The system distinguishes two failure modes for an LLM call: a recoverable failure that should produce a degraded but useful response, and an unrecoverable failure that should surface as an explicit error to the user.</w:t>
      </w:r>
    </w:p>
    <w:p>
      <w:pPr>
        <w:pStyle w:val="BodyText"/>
        <w:spacing w:line="312" w:lineRule="auto" w:after="80"/>
        <w:ind w:firstLine="283"/>
        <w:jc w:val="both"/>
      </w:pPr>
      <w:r>
        <w:rPr>
          <w:rFonts w:ascii="Times New Roman" w:hAnsi="Times New Roman" w:eastAsia="Times New Roman" w:cs="Times New Roman"/>
          <w:color w:val="000000"/>
          <w:sz w:val="24"/>
        </w:rPr>
        <w:t xml:space="preserve">For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analytical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(Resume Analyzer, Job Match) the recoverable path is taken: when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raises after exhausting retries, the service constructs a complete response from the heuristic prepass alone, using the same payload structure the LLM would have populated but with the deterministic baseline as the source of truth. The user sees the result and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confidence_note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indicating that the analysis ran in heuristic-only mode. This design satisfies non-functional requirement N3 of Chapter 2.</w:t>
      </w:r>
    </w:p>
    <w:p>
      <w:pPr>
        <w:pStyle w:val="BodyText"/>
        <w:spacing w:line="312" w:lineRule="auto" w:after="80"/>
        <w:ind w:firstLine="283"/>
        <w:jc w:val="both"/>
      </w:pPr>
      <w:r>
        <w:rPr>
          <w:rFonts w:ascii="Times New Roman" w:hAnsi="Times New Roman" w:eastAsia="Times New Roman" w:cs="Times New Roman"/>
          <w:color w:val="000000"/>
          <w:sz w:val="24"/>
        </w:rP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 and the runtime mode toggle of Section 4.2.9 is the smallest possible UI surface on top of that mechanism.</w:t>
      </w:r>
    </w:p>
    <w:p>
      <w:pPr>
        <w:pStyle w:val="BodyText"/>
        <w:spacing w:line="312" w:lineRule="auto" w:after="80"/>
        <w:ind w:firstLine="283"/>
        <w:jc w:val="both"/>
      </w:pPr>
      <w:r>
        <w:rPr>
          <w:rFonts w:ascii="Times New Roman" w:hAnsi="Times New Roman" w:eastAsia="Times New Roman" w:cs="Times New Roman"/>
          <w:color w:val="000000"/>
          <w:sz w:val="24"/>
        </w:rPr>
        <w:t xml:space="preserve">For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generative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(Cover Letter, Interview Q&amp;A, Career Path, Portfolio) no fallback is offered. A heuristic-generated cover letter or interview-question list is not a credible substitute for an LLM-generated one; producing such an artefact would be misleading. These tools raise a structured 503 error that the frontend renders as a retry-able failure state.</w:t>
      </w:r>
    </w:p>
    <w:bookmarkEnd w:id="53"/>
    <w:bookmarkStart w:id="54" w:name="caching"/>
    <w:p>
      <w:pPr>
        <w:pStyle w:val="Heading3"/>
        <w:keepNext/>
        <w:jc w:val="left"/>
      </w:pPr>
      <w:r>
        <w:rPr>
          <w:rFonts w:ascii="Times New Roman" w:hAnsi="Times New Roman" w:eastAsia="Times New Roman" w:cs="Times New Roman"/>
          <w:b/>
          <w:i/>
          <w:color w:val="000000"/>
          <w:sz w:val="24"/>
        </w:rPr>
        <w:t xml:space="preserve">3.1.5 Caching</w:t>
      </w:r>
    </w:p>
    <w:p>
      <w:pPr>
        <w:pStyle w:val="FirstParagraph"/>
        <w:spacing w:line="312" w:lineRule="auto" w:after="80"/>
        <w:jc w:val="both"/>
      </w:pPr>
      <w:r>
        <w:rPr>
          <w:rFonts w:ascii="Times New Roman" w:hAnsi="Times New Roman" w:eastAsia="Times New Roman" w:cs="Times New Roman"/>
          <w:color w:val="000000"/>
          <w:sz w:val="24"/>
        </w:rPr>
        <w:t xml:space="preserve">The shared pipeline (Chapter 2.3.2) computes a content hash from the tool name, the sanitised inputs, the user identifier, and any tool-specific cache keys. The result of a cache hit is returned without invoking the service function, bypassing the LLM call entirely. The cache is in-memory with a one-hour TTL and is intentionally not shared between processes; this is acceptable for thesis-scoped traffic, and Redis is documented in Chapter 5 as the planned upgrade for V1.1.</w:t>
      </w:r>
    </w:p>
    <w:bookmarkEnd w:id="54"/>
    <w:bookmarkEnd w:id="55"/>
    <w:bookmarkStart w:id="59" w:name="resume-analyzer"/>
    <w:p>
      <w:pPr>
        <w:pStyle w:val="Heading2"/>
        <w:keepNext/>
        <w:jc w:val="left"/>
      </w:pPr>
      <w:r>
        <w:rPr>
          <w:rFonts w:ascii="Times New Roman" w:hAnsi="Times New Roman" w:eastAsia="Times New Roman" w:cs="Times New Roman"/>
          <w:b/>
          <w:i w:val="0"/>
          <w:color w:val="000000"/>
          <w:sz w:val="28"/>
        </w:rPr>
        <w:t xml:space="preserve">3.2 Resume Analyzer</w:t>
      </w:r>
    </w:p>
    <w:p>
      <w:pPr>
        <w:pStyle w:val="FirstParagraph"/>
        <w:spacing w:line="312" w:lineRule="auto" w:after="80"/>
        <w:jc w:val="both"/>
      </w:pPr>
      <w:r>
        <w:rPr>
          <w:rFonts w:ascii="Times New Roman" w:hAnsi="Times New Roman" w:eastAsia="Times New Roman" w:cs="Times New Roman"/>
          <w:color w:val="000000"/>
          <w:sz w:val="24"/>
        </w:rP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56" w:name="input-contract"/>
    <w:p>
      <w:pPr>
        <w:pStyle w:val="Heading3"/>
        <w:keepNext/>
        <w:jc w:val="left"/>
      </w:pPr>
      <w:r>
        <w:rPr>
          <w:rFonts w:ascii="Times New Roman" w:hAnsi="Times New Roman" w:eastAsia="Times New Roman" w:cs="Times New Roman"/>
          <w:b/>
          <w:i/>
          <w:color w:val="000000"/>
          <w:sz w:val="24"/>
        </w:rPr>
        <w:t xml:space="preserve">3.2.1 Input contract</w:t>
      </w:r>
    </w:p>
    <w:p>
      <w:pPr>
        <w:pStyle w:val="FirstParagraph"/>
        <w:spacing w:line="312" w:lineRule="auto" w:after="80"/>
        <w:jc w:val="both"/>
      </w:pPr>
      <w:r>
        <w:rPr>
          <w:rFonts w:ascii="Times New Roman" w:hAnsi="Times New Roman" w:eastAsia="Times New Roman" w:cs="Times New Roman"/>
          <w:color w:val="000000"/>
          <w:sz w:val="24"/>
        </w:rPr>
        <w:t xml:space="preserve">The request body contains the raw resume text (free-form, minimum 50 characters), an optional job description text, and an optional</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feedback</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string used when the user regenerates with a specific instruction.</w:t>
      </w:r>
    </w:p>
    <w:bookmarkEnd w:id="56"/>
    <w:bookmarkStart w:id="57" w:name="heuristic-prepass"/>
    <w:p>
      <w:pPr>
        <w:pStyle w:val="Heading3"/>
        <w:keepNext/>
        <w:jc w:val="left"/>
      </w:pPr>
      <w:r>
        <w:rPr>
          <w:rFonts w:ascii="Times New Roman" w:hAnsi="Times New Roman" w:eastAsia="Times New Roman" w:cs="Times New Roman"/>
          <w:b/>
          <w:i/>
          <w:color w:val="000000"/>
          <w:sz w:val="24"/>
        </w:rPr>
        <w:t xml:space="preserve">3.2.2 Heuristic prepass</w:t>
      </w:r>
    </w:p>
    <w:p>
      <w:pPr>
        <w:pStyle w:val="FirstParagraph"/>
        <w:spacing w:line="312" w:lineRule="auto" w:after="80"/>
        <w:jc w:val="both"/>
      </w:pPr>
      <w:r>
        <w:rPr>
          <w:rStyle w:val="VerbatimChar"/>
          <w:rFonts w:ascii="Times New Roman" w:hAnsi="Times New Roman" w:eastAsia="Times New Roman" w:cs="Times New Roman"/>
          <w:color w:val="000000"/>
          <w:sz w:val="24"/>
        </w:rPr>
        <w:t xml:space="preserve">build_resume_prepass(resume_text, job_description)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performs five extractions in a single pass over the resume text.</w:t>
      </w:r>
    </w:p>
    <w:p>
      <w:pPr>
        <w:pStyle w:val="Compact"/>
        <w:numPr>
          <w:ilvl w:val="0"/>
          <w:numId w:val="1006"/>
        </w:numPr>
        <w:spacing w:line="312" w:lineRule="auto" w:after="80"/>
        <w:ind w:firstLine="283"/>
        <w:jc w:val="both"/>
      </w:pPr>
      <w:r>
        <w:rPr>
          <w:rFonts w:ascii="Times New Roman" w:hAnsi="Times New Roman" w:eastAsia="Times New Roman" w:cs="Times New Roman"/>
          <w:b/>
          <w:bCs/>
          <w:color w:val="000000"/>
          <w:sz w:val="24"/>
        </w:rPr>
        <w:t xml:space="preserve">Section detection.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regular-expression pass identifies common resume section headers (</w:t>
      </w:r>
      <w:r>
        <w:rPr>
          <w:rStyle w:val="VerbatimChar"/>
          <w:rFonts w:ascii="Times New Roman" w:hAnsi="Times New Roman" w:eastAsia="Times New Roman" w:cs="Times New Roman"/>
          <w:color w:val="000000"/>
          <w:sz w:val="24"/>
        </w:rPr>
        <w:t xml:space="preserve">Summary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Experience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Skills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Education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Projects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Certifications</w:t>
      </w:r>
      <w:r>
        <w:rPr>
          <w:rFonts w:ascii="Times New Roman" w:hAnsi="Times New Roman" w:eastAsia="Times New Roman" w:cs="Times New Roman"/>
          <w:color w:val="000000"/>
          <w:sz w:val="24"/>
        </w:rPr>
        <w:t xml:space="preserve">) and returns the set of sections present.</w:t>
      </w:r>
    </w:p>
    <w:p>
      <w:pPr>
        <w:pStyle w:val="Compact"/>
        <w:numPr>
          <w:ilvl w:val="0"/>
          <w:numId w:val="1006"/>
        </w:numPr>
        <w:spacing w:line="312" w:lineRule="auto" w:after="80"/>
        <w:ind w:firstLine="283"/>
        <w:jc w:val="both"/>
      </w:pPr>
      <w:r>
        <w:rPr>
          <w:rFonts w:ascii="Times New Roman" w:hAnsi="Times New Roman" w:eastAsia="Times New Roman" w:cs="Times New Roman"/>
          <w:b/>
          <w:bCs/>
          <w:color w:val="000000"/>
          <w:sz w:val="24"/>
        </w:rPr>
        <w:t xml:space="preserve">Keyword extraction.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spacing w:line="312" w:lineRule="auto" w:after="80"/>
        <w:ind w:firstLine="283"/>
        <w:jc w:val="both"/>
      </w:pPr>
      <w:r>
        <w:rPr>
          <w:rFonts w:ascii="Times New Roman" w:hAnsi="Times New Roman" w:eastAsia="Times New Roman" w:cs="Times New Roman"/>
          <w:b/>
          <w:bCs/>
          <w:color w:val="000000"/>
          <w:sz w:val="24"/>
        </w:rPr>
        <w:t xml:space="preserve">Quantification detection.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Bullet lines are scanned for numbers, percentages, currency tokens, and time periods that indicate measurable outcomes. The count of quantified bullets is one of the inputs to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impact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w:t>
      </w:r>
    </w:p>
    <w:p>
      <w:pPr>
        <w:pStyle w:val="Compact"/>
        <w:numPr>
          <w:ilvl w:val="0"/>
          <w:numId w:val="1006"/>
        </w:numPr>
        <w:spacing w:line="312" w:lineRule="auto" w:after="80"/>
        <w:ind w:firstLine="283"/>
        <w:jc w:val="both"/>
      </w:pPr>
      <w:r>
        <w:rPr>
          <w:rFonts w:ascii="Times New Roman" w:hAnsi="Times New Roman" w:eastAsia="Times New Roman" w:cs="Times New Roman"/>
          <w:b/>
          <w:bCs/>
          <w:color w:val="000000"/>
          <w:sz w:val="24"/>
        </w:rPr>
        <w:t xml:space="preserve">Skill extraction.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curated list of skill phrases is searched against the resume; detected skills are returned as a list. Chapter 4 expands this stage to a top-down lookup against a bundled subset of the ESCO taxonomy [8, 9, 12].</w:t>
      </w:r>
    </w:p>
    <w:p>
      <w:pPr>
        <w:pStyle w:val="Compact"/>
        <w:numPr>
          <w:ilvl w:val="0"/>
          <w:numId w:val="1006"/>
        </w:numPr>
        <w:spacing w:line="312" w:lineRule="auto" w:after="80"/>
        <w:ind w:firstLine="283"/>
        <w:jc w:val="both"/>
      </w:pPr>
      <w:r>
        <w:rPr>
          <w:rFonts w:ascii="Times New Roman" w:hAnsi="Times New Roman" w:eastAsia="Times New Roman" w:cs="Times New Roman"/>
          <w:b/>
          <w:bCs/>
          <w:color w:val="000000"/>
          <w:sz w:val="24"/>
        </w:rPr>
        <w:t xml:space="preserve">Structural metrics.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total bullet count, the word count, and the number of detected sections are returned as inputs to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structure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clarity</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completeness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sub-scores.</w:t>
      </w:r>
    </w:p>
    <w:p>
      <w:pPr>
        <w:pStyle w:val="FirstParagraph"/>
        <w:spacing w:line="312" w:lineRule="auto" w:after="80"/>
        <w:ind w:firstLine="283"/>
        <w:jc w:val="both"/>
      </w:pPr>
      <w:r>
        <w:rPr>
          <w:rFonts w:ascii="Times New Roman" w:hAnsi="Times New Roman" w:eastAsia="Times New Roman" w:cs="Times New Roman"/>
          <w:color w:val="000000"/>
          <w:sz w:val="24"/>
        </w:rPr>
        <w:t xml:space="preserve">The five-axis score breakdown (keyword alignment, impact, structure, clarity, and completeness) is computed from these extractions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compute_resume_breakdown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app/services/quality_signals.py</w:t>
      </w:r>
      <w:r>
        <w:rPr>
          <w:rFonts w:ascii="Times New Roman" w:hAnsi="Times New Roman" w:eastAsia="Times New Roman" w:cs="Times New Roman"/>
          <w:color w:val="000000"/>
          <w:sz w:val="24"/>
        </w:rPr>
        <w:t xml:space="preserve">. Each sub-score is clamped to the integer range [0, 100].</w:t>
      </w:r>
    </w:p>
    <w:bookmarkEnd w:id="57"/>
    <w:bookmarkStart w:id="58" w:name="prompt-and-post-processing"/>
    <w:p>
      <w:pPr>
        <w:pStyle w:val="Heading3"/>
        <w:keepNext/>
        <w:jc w:val="left"/>
      </w:pPr>
      <w:r>
        <w:rPr>
          <w:rFonts w:ascii="Times New Roman" w:hAnsi="Times New Roman" w:eastAsia="Times New Roman" w:cs="Times New Roman"/>
          <w:b/>
          <w:i/>
          <w:color w:val="000000"/>
          <w:sz w:val="24"/>
        </w:rPr>
        <w:t xml:space="preserve">3.2.3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resume prompt (</w:t>
      </w:r>
      <w:r>
        <w:rPr>
          <w:rStyle w:val="VerbatimChar"/>
          <w:rFonts w:ascii="Times New Roman" w:hAnsi="Times New Roman" w:eastAsia="Times New Roman" w:cs="Times New Roman"/>
          <w:color w:val="000000"/>
          <w:sz w:val="24"/>
        </w:rPr>
        <w:t xml:space="preserve">app/prompts/resume.py</w:t>
      </w:r>
      <w:r>
        <w:rPr>
          <w:rFonts w:ascii="Times New Roman" w:hAnsi="Times New Roman" w:eastAsia="Times New Roman" w:cs="Times New Roman"/>
          <w:color w:val="000000"/>
          <w:sz w:val="24"/>
        </w:rP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why_it_matters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evidence</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fix</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fields, and to produce up to three prioritised top actions that may be different in framing from the issues. When the user has specified a target role label in the job description, the LLM additionally produces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role_fit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block with a fit score and a rationale.</w:t>
      </w:r>
    </w:p>
    <w:p>
      <w:pPr>
        <w:pStyle w:val="BodyText"/>
        <w:spacing w:line="312" w:lineRule="auto" w:after="80"/>
        <w:ind w:firstLine="283"/>
        <w:jc w:val="both"/>
      </w:pPr>
      <w:r>
        <w:rPr>
          <w:rFonts w:ascii="Times New Roman" w:hAnsi="Times New Roman" w:eastAsia="Times New Roman" w:cs="Times New Roman"/>
          <w:color w:val="000000"/>
          <w:sz w:val="24"/>
        </w:rPr>
        <w:t xml:space="preserve">The service then computes the blended score (heuristic 40%, LLM 60%) following the formula in Section 4.2 and returns a unified response object. When the heuristic and LLM overall scores diverge beyond the configured confidence-gap threshold (18 points for v2, 20 points for v1), an explicit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confidence_note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added to the response surface so that the user understands that two estimates disagreed.</w:t>
      </w:r>
    </w:p>
    <w:bookmarkEnd w:id="58"/>
    <w:bookmarkEnd w:id="59"/>
    <w:bookmarkStart w:id="63" w:name="job-match"/>
    <w:p>
      <w:pPr>
        <w:pStyle w:val="Heading2"/>
        <w:keepNext/>
        <w:jc w:val="left"/>
      </w:pPr>
      <w:r>
        <w:rPr>
          <w:rFonts w:ascii="Times New Roman" w:hAnsi="Times New Roman" w:eastAsia="Times New Roman" w:cs="Times New Roman"/>
          <w:b/>
          <w:i w:val="0"/>
          <w:color w:val="000000"/>
          <w:sz w:val="28"/>
        </w:rPr>
        <w:t xml:space="preserve">3.3 Job Match</w:t>
      </w:r>
    </w:p>
    <w:p>
      <w:pPr>
        <w:pStyle w:val="FirstParagraph"/>
        <w:spacing w:line="312" w:lineRule="auto" w:after="80"/>
        <w:jc w:val="both"/>
      </w:pPr>
      <w:r>
        <w:rPr>
          <w:rFonts w:ascii="Times New Roman" w:hAnsi="Times New Roman" w:eastAsia="Times New Roman" w:cs="Times New Roman"/>
          <w:color w:val="000000"/>
          <w:sz w:val="24"/>
        </w:rPr>
        <w:t xml:space="preserve">The Job Match tool accepts a resume and a job description (provided as text or as a URL) and produces a structured match assessment.</w:t>
      </w:r>
    </w:p>
    <w:bookmarkStart w:id="60" w:name="input-contract-1"/>
    <w:p>
      <w:pPr>
        <w:pStyle w:val="Heading3"/>
        <w:keepNext/>
        <w:jc w:val="left"/>
      </w:pPr>
      <w:r>
        <w:rPr>
          <w:rFonts w:ascii="Times New Roman" w:hAnsi="Times New Roman" w:eastAsia="Times New Roman" w:cs="Times New Roman"/>
          <w:b/>
          <w:i/>
          <w:color w:val="000000"/>
          <w:sz w:val="24"/>
        </w:rPr>
        <w:t xml:space="preserve">3.3.1 Input contract</w:t>
      </w:r>
    </w:p>
    <w:p>
      <w:pPr>
        <w:pStyle w:val="FirstParagraph"/>
        <w:spacing w:line="312" w:lineRule="auto" w:after="80"/>
        <w:jc w:val="both"/>
      </w:pPr>
      <w:r>
        <w:rPr>
          <w:rFonts w:ascii="Times New Roman" w:hAnsi="Times New Roman" w:eastAsia="Times New Roman" w:cs="Times New Roman"/>
          <w:color w:val="000000"/>
          <w:sz w:val="24"/>
        </w:rP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60"/>
    <w:bookmarkStart w:id="61" w:name="heuristic-prepass-1"/>
    <w:p>
      <w:pPr>
        <w:pStyle w:val="Heading3"/>
        <w:keepNext/>
        <w:jc w:val="left"/>
      </w:pPr>
      <w:r>
        <w:rPr>
          <w:rFonts w:ascii="Times New Roman" w:hAnsi="Times New Roman" w:eastAsia="Times New Roman" w:cs="Times New Roman"/>
          <w:b/>
          <w:i/>
          <w:color w:val="000000"/>
          <w:sz w:val="24"/>
        </w:rPr>
        <w:t xml:space="preserve">3.3.2 Heuristic prepass</w:t>
      </w:r>
    </w:p>
    <w:p>
      <w:pPr>
        <w:pStyle w:val="FirstParagraph"/>
        <w:spacing w:line="312" w:lineRule="auto" w:after="80"/>
        <w:jc w:val="both"/>
      </w:pPr>
      <w:r>
        <w:rPr>
          <w:rFonts w:ascii="Times New Roman" w:hAnsi="Times New Roman" w:eastAsia="Times New Roman" w:cs="Times New Roman"/>
          <w:color w:val="000000"/>
          <w:sz w:val="24"/>
        </w:rPr>
        <w:t xml:space="preserve">The Job Match prepass extends the Resume Analyzer prepass with a single additional output: a deterministic match score computed from the matched-keyword and missing-keyword lists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compute_match_score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app/services/quality_signals.py</w:t>
      </w:r>
      <w:r>
        <w:rPr>
          <w:rFonts w:ascii="Times New Roman" w:hAnsi="Times New Roman" w:eastAsia="Times New Roman" w:cs="Times New Roman"/>
          <w:color w:val="000000"/>
          <w:sz w:val="24"/>
        </w:rPr>
        <w:t xml:space="preserve">. The function returns a value in [0, 100] derived from the matched-to-total ratio. The deterministic verdict (</w:t>
      </w:r>
      <w:r>
        <w:rPr>
          <w:rStyle w:val="VerbatimChar"/>
          <w:rFonts w:ascii="Times New Roman" w:hAnsi="Times New Roman" w:eastAsia="Times New Roman" w:cs="Times New Roman"/>
          <w:color w:val="000000"/>
          <w:sz w:val="24"/>
        </w:rPr>
        <w:t xml:space="preserve">strong</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borderline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stretch</w:t>
      </w:r>
      <w:r>
        <w:rPr>
          <w:rFonts w:ascii="Times New Roman" w:hAnsi="Times New Roman" w:eastAsia="Times New Roman" w:cs="Times New Roman"/>
          <w:color w:val="000000"/>
          <w:sz w:val="24"/>
        </w:rPr>
        <w:t xml:space="preserve">) is read off this score by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job_match_verdict</w:t>
      </w:r>
      <w:r>
        <w:rPr>
          <w:rFonts w:ascii="Times New Roman" w:hAnsi="Times New Roman" w:eastAsia="Times New Roman" w:cs="Times New Roman"/>
          <w:color w:val="000000"/>
          <w:sz w:val="24"/>
        </w:rPr>
        <w:t xml:space="preserve">.</w:t>
      </w:r>
    </w:p>
    <w:bookmarkEnd w:id="61"/>
    <w:bookmarkStart w:id="62" w:name="prompt-and-post-processing-1"/>
    <w:p>
      <w:pPr>
        <w:pStyle w:val="Heading3"/>
        <w:keepNext/>
        <w:jc w:val="left"/>
      </w:pPr>
      <w:r>
        <w:rPr>
          <w:rFonts w:ascii="Times New Roman" w:hAnsi="Times New Roman" w:eastAsia="Times New Roman" w:cs="Times New Roman"/>
          <w:b/>
          <w:i/>
          <w:color w:val="000000"/>
          <w:sz w:val="24"/>
        </w:rPr>
        <w:t xml:space="preserve">3.3.3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Job Match prompt (</w:t>
      </w:r>
      <w:r>
        <w:rPr>
          <w:rStyle w:val="VerbatimChar"/>
          <w:rFonts w:ascii="Times New Roman" w:hAnsi="Times New Roman" w:eastAsia="Times New Roman" w:cs="Times New Roman"/>
          <w:color w:val="000000"/>
          <w:sz w:val="24"/>
        </w:rPr>
        <w:t xml:space="preserve">app/prompts/job_match.py</w:t>
      </w:r>
      <w:r>
        <w:rPr>
          <w:rFonts w:ascii="Times New Roman" w:hAnsi="Times New Roman" w:eastAsia="Times New Roman" w:cs="Times New Roman"/>
          <w:color w:val="000000"/>
          <w:sz w:val="24"/>
        </w:rPr>
        <w:t xml:space="preserve">) instructs the LLM to produce a structured requirement-by-requirement breakdown. For each detected role requirement, the LLM populates an importance (</w:t>
      </w:r>
      <w:r>
        <w:rPr>
          <w:rStyle w:val="VerbatimChar"/>
          <w:rFonts w:ascii="Times New Roman" w:hAnsi="Times New Roman" w:eastAsia="Times New Roman" w:cs="Times New Roman"/>
          <w:color w:val="000000"/>
          <w:sz w:val="24"/>
        </w:rPr>
        <w:t xml:space="preserve">must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preferred</w:t>
      </w:r>
      <w:r>
        <w:rPr>
          <w:rFonts w:ascii="Times New Roman" w:hAnsi="Times New Roman" w:eastAsia="Times New Roman" w:cs="Times New Roman"/>
          <w:color w:val="000000"/>
          <w:sz w:val="24"/>
        </w:rPr>
        <w:t xml:space="preserve">), a status (</w:t>
      </w:r>
      <w:r>
        <w:rPr>
          <w:rStyle w:val="VerbatimChar"/>
          <w:rFonts w:ascii="Times New Roman" w:hAnsi="Times New Roman" w:eastAsia="Times New Roman" w:cs="Times New Roman"/>
          <w:color w:val="000000"/>
          <w:sz w:val="24"/>
        </w:rPr>
        <w:t xml:space="preserve">matched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partial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missing</w:t>
      </w:r>
      <w:r>
        <w:rPr>
          <w:rFonts w:ascii="Times New Roman" w:hAnsi="Times New Roman" w:eastAsia="Times New Roman" w:cs="Times New Roman"/>
          <w:color w:val="000000"/>
          <w:sz w:val="24"/>
        </w:rP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spacing w:line="312" w:lineRule="auto" w:after="80"/>
        <w:ind w:firstLine="283"/>
        <w:jc w:val="both"/>
      </w:pPr>
      <w:r>
        <w:rPr>
          <w:rFonts w:ascii="Times New Roman" w:hAnsi="Times New Roman" w:eastAsia="Times New Roman" w:cs="Times New Roman"/>
          <w:color w:val="000000"/>
          <w:sz w:val="24"/>
        </w:rPr>
        <w:t xml:space="preserve">Because the deterministic match score is computed outside the LLM response, the model cannot change the final score returned by the backend. This preserves comparability across regenerations and makes the fully-heuristic mode of Chapter 4 a substitution of the scoring path rather than a separate response contract.</w:t>
      </w:r>
    </w:p>
    <w:p>
      <w:r>
        <w:br w:type="page"/>
      </w:r>
    </w:p>
    <w:bookmarkEnd w:id="62"/>
    <w:bookmarkEnd w:id="63"/>
    <w:bookmarkStart w:id="66" w:name="career-path"/>
    <w:p>
      <w:pPr>
        <w:pStyle w:val="Heading2"/>
        <w:keepNext/>
        <w:jc w:val="left"/>
      </w:pPr>
      <w:r>
        <w:rPr>
          <w:rFonts w:ascii="Times New Roman" w:hAnsi="Times New Roman" w:eastAsia="Times New Roman" w:cs="Times New Roman"/>
          <w:b/>
          <w:i w:val="0"/>
          <w:color w:val="000000"/>
          <w:sz w:val="28"/>
        </w:rPr>
        <w:t xml:space="preserve">3.4 Career Path</w:t>
      </w:r>
    </w:p>
    <w:p>
      <w:pPr>
        <w:pStyle w:val="FirstParagraph"/>
        <w:spacing w:line="312" w:lineRule="auto" w:after="80"/>
        <w:jc w:val="both"/>
      </w:pPr>
      <w:r>
        <w:rPr>
          <w:rFonts w:ascii="Times New Roman" w:hAnsi="Times New Roman" w:eastAsia="Times New Roman" w:cs="Times New Roman"/>
          <w:color w:val="000000"/>
          <w:sz w:val="24"/>
        </w:rPr>
        <w:t xml:space="preserve">The Career Path tool produces forward-looking career suggestions from the resume alone. Unlike Resume Analyzer and Job Match, it does not consume a job description; the user instead optionally supplies a free-form preference string (</w:t>
      </w:r>
      <w:r>
        <w:rPr>
          <w:rFonts w:ascii="Times New Roman" w:hAnsi="Times New Roman" w:eastAsia="Times New Roman" w:cs="Times New Roman"/>
          <w:color w:val="000000"/>
          <w:sz w:val="24"/>
        </w:rPr>
        <w:t xml:space="preserve">“interested in management”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“want to stay technical”</w:t>
      </w:r>
      <w:r>
        <w:rPr>
          <w:rFonts w:ascii="Times New Roman" w:hAnsi="Times New Roman" w:eastAsia="Times New Roman" w:cs="Times New Roman"/>
          <w:color w:val="000000"/>
          <w:sz w:val="24"/>
        </w:rPr>
        <w:t xml:space="preserve">) that is folded into the prompt.</w:t>
      </w:r>
    </w:p>
    <w:bookmarkStart w:id="64" w:name="heuristic-prepass-2"/>
    <w:p>
      <w:pPr>
        <w:pStyle w:val="Heading3"/>
        <w:keepNext/>
        <w:jc w:val="left"/>
      </w:pPr>
      <w:r>
        <w:rPr>
          <w:rFonts w:ascii="Times New Roman" w:hAnsi="Times New Roman" w:eastAsia="Times New Roman" w:cs="Times New Roman"/>
          <w:b/>
          <w:i/>
          <w:color w:val="000000"/>
          <w:sz w:val="24"/>
        </w:rPr>
        <w:t xml:space="preserve">3.4.1 Heuristic prepass</w:t>
      </w:r>
    </w:p>
    <w:p>
      <w:pPr>
        <w:pStyle w:val="FirstParagraph"/>
        <w:spacing w:line="312" w:lineRule="auto" w:after="80"/>
        <w:jc w:val="both"/>
      </w:pPr>
      <w:r>
        <w:rPr>
          <w:rFonts w:ascii="Times New Roman" w:hAnsi="Times New Roman" w:eastAsia="Times New Roman" w:cs="Times New Roman"/>
          <w:color w:val="000000"/>
          <w:sz w:val="24"/>
        </w:rPr>
        <w:t xml:space="preserve">The prepass extracts three coarse profile signals from the resume: an inferred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discipline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(backend-engineering, frontend-engineering, full-stack-engineering, data-analytics, product-design, etc., among ~10 supported categories), an inferred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seniority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(junior, mid, senior), and an estimated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years of experience</w:t>
      </w:r>
      <w:r>
        <w:rPr>
          <w:rFonts w:ascii="Times New Roman" w:hAnsi="Times New Roman" w:eastAsia="Times New Roman" w:cs="Times New Roman"/>
          <w:color w:val="000000"/>
          <w:sz w:val="24"/>
        </w:rPr>
        <w:t xml:space="preserve">. Each inference is conservative; when confidence is low, the prepass returns the most general label.</w:t>
      </w:r>
    </w:p>
    <w:p>
      <w:pPr>
        <w:pStyle w:val="BodyText"/>
        <w:spacing w:line="312" w:lineRule="auto" w:after="80"/>
        <w:ind w:firstLine="283"/>
        <w:jc w:val="both"/>
      </w:pPr>
      <w:r>
        <w:rPr>
          <w:rFonts w:ascii="Times New Roman" w:hAnsi="Times New Roman" w:eastAsia="Times New Roman" w:cs="Times New Roman"/>
          <w:color w:val="000000"/>
          <w:sz w:val="24"/>
        </w:rPr>
        <w:t xml:space="preserve">For every discipline, a curated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DISCIPLINE_TARGET_SKILLS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mapping defined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app/services/career_recommender.py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lists six aspirational skills typical of that discipline at the next seniority level. This mapping plays the role of a deterministic skills floor for the LLM’s reasoning, similar to the locked payload in the analytical tools but lighter.</w:t>
      </w:r>
    </w:p>
    <w:bookmarkEnd w:id="64"/>
    <w:bookmarkStart w:id="65" w:name="prompt-and-post-processing-2"/>
    <w:p>
      <w:pPr>
        <w:pStyle w:val="Heading3"/>
        <w:keepNext/>
        <w:jc w:val="left"/>
      </w:pPr>
      <w:r>
        <w:rPr>
          <w:rFonts w:ascii="Times New Roman" w:hAnsi="Times New Roman" w:eastAsia="Times New Roman" w:cs="Times New Roman"/>
          <w:b/>
          <w:i/>
          <w:color w:val="000000"/>
          <w:sz w:val="24"/>
        </w:rPr>
        <w:t xml:space="preserve">3.4.2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65"/>
    <w:bookmarkEnd w:id="66"/>
    <w:bookmarkStart w:id="68" w:name="cover-letter"/>
    <w:p>
      <w:pPr>
        <w:pStyle w:val="Heading2"/>
        <w:keepNext/>
        <w:jc w:val="left"/>
      </w:pPr>
      <w:r>
        <w:rPr>
          <w:rFonts w:ascii="Times New Roman" w:hAnsi="Times New Roman" w:eastAsia="Times New Roman" w:cs="Times New Roman"/>
          <w:b/>
          <w:i w:val="0"/>
          <w:color w:val="000000"/>
          <w:sz w:val="28"/>
        </w:rPr>
        <w:t xml:space="preserve">3.5 Cover Letter</w:t>
      </w:r>
    </w:p>
    <w:p>
      <w:pPr>
        <w:pStyle w:val="FirstParagraph"/>
        <w:spacing w:line="312" w:lineRule="auto" w:after="80"/>
        <w:jc w:val="both"/>
      </w:pPr>
      <w:r>
        <w:rPr>
          <w:rFonts w:ascii="Times New Roman" w:hAnsi="Times New Roman" w:eastAsia="Times New Roman" w:cs="Times New Roman"/>
          <w:color w:val="000000"/>
          <w:sz w:val="24"/>
        </w:rPr>
        <w:t xml:space="preserve">The Cover Letter tool produces a tailored cover letter from a resume and a job description. There is no heuristic prepass that would produce a letter, so this tool is LLM-only.</w:t>
      </w:r>
    </w:p>
    <w:bookmarkStart w:id="67" w:name="prompt-and-post-processing-3"/>
    <w:p>
      <w:pPr>
        <w:pStyle w:val="Heading3"/>
        <w:keepNext/>
        <w:jc w:val="left"/>
      </w:pPr>
      <w:r>
        <w:rPr>
          <w:rFonts w:ascii="Times New Roman" w:hAnsi="Times New Roman" w:eastAsia="Times New Roman" w:cs="Times New Roman"/>
          <w:b/>
          <w:i/>
          <w:color w:val="000000"/>
          <w:sz w:val="24"/>
        </w:rPr>
        <w:t xml:space="preserve">3.5.1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(neither overly formal nor casual) and to avoid clichés that recruiters report fatigue with (the prompt includes an explicit blocklist of phrases such as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“team player”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“synergy”</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“passionate self-starter”</w:t>
      </w:r>
      <w:r>
        <w:rPr>
          <w:rFonts w:ascii="Times New Roman" w:hAnsi="Times New Roman" w:eastAsia="Times New Roman" w:cs="Times New Roman"/>
          <w:color w:val="000000"/>
          <w:sz w:val="24"/>
        </w:rPr>
        <w:t xml:space="preserve">). The response also includes three short alternative opening lines, allowing the user to swap the opening without regenerating the whole letter.</w:t>
      </w:r>
    </w:p>
    <w:bookmarkEnd w:id="67"/>
    <w:bookmarkEnd w:id="68"/>
    <w:bookmarkStart w:id="70" w:name="interview-qa"/>
    <w:p>
      <w:pPr>
        <w:pStyle w:val="Heading2"/>
        <w:keepNext/>
        <w:jc w:val="left"/>
      </w:pPr>
      <w:r>
        <w:rPr>
          <w:rFonts w:ascii="Times New Roman" w:hAnsi="Times New Roman" w:eastAsia="Times New Roman" w:cs="Times New Roman"/>
          <w:b/>
          <w:i w:val="0"/>
          <w:color w:val="000000"/>
          <w:sz w:val="28"/>
        </w:rPr>
        <w:t xml:space="preserve">3.6 Interview Q&amp;A</w:t>
      </w:r>
    </w:p>
    <w:p>
      <w:pPr>
        <w:pStyle w:val="FirstParagraph"/>
        <w:spacing w:line="312" w:lineRule="auto" w:after="80"/>
        <w:jc w:val="both"/>
      </w:pPr>
      <w:r>
        <w:rPr>
          <w:rFonts w:ascii="Times New Roman" w:hAnsi="Times New Roman" w:eastAsia="Times New Roman" w:cs="Times New Roman"/>
          <w:color w:val="000000"/>
          <w:sz w:val="24"/>
        </w:rPr>
        <w:t xml:space="preserve">The Interview Q&amp;A tool produces a curated list of likely interview questions for a given resume and job description. It is LLM-only.</w:t>
      </w:r>
    </w:p>
    <w:bookmarkStart w:id="69" w:name="prompt-and-post-processing-4"/>
    <w:p>
      <w:pPr>
        <w:pStyle w:val="Heading3"/>
        <w:keepNext/>
        <w:jc w:val="left"/>
      </w:pPr>
      <w:r>
        <w:rPr>
          <w:rFonts w:ascii="Times New Roman" w:hAnsi="Times New Roman" w:eastAsia="Times New Roman" w:cs="Times New Roman"/>
          <w:b/>
          <w:i/>
          <w:color w:val="000000"/>
          <w:sz w:val="24"/>
        </w:rPr>
        <w:t xml:space="preserve">3.6.1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prompt asks the LLM to cluster the generated questions into three categories (</w:t>
      </w:r>
      <w:r>
        <w:rPr>
          <w:rFonts w:ascii="Times New Roman" w:hAnsi="Times New Roman" w:eastAsia="Times New Roman" w:cs="Times New Roman"/>
          <w:i/>
          <w:iCs/>
          <w:color w:val="000000"/>
          <w:sz w:val="24"/>
        </w:rPr>
        <w:t xml:space="preserve">behavioural</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technical</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role-specific</w:t>
      </w:r>
      <w:r>
        <w:rPr>
          <w:rFonts w:ascii="Times New Roman" w:hAnsi="Times New Roman" w:eastAsia="Times New Roman" w:cs="Times New Roman"/>
          <w:color w:val="000000"/>
          <w:sz w:val="24"/>
        </w:rP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spacing w:line="312" w:lineRule="auto" w:after="80"/>
        <w:ind w:firstLine="283"/>
        <w:jc w:val="both"/>
      </w:pPr>
      <w:r>
        <w:rPr>
          <w:rFonts w:ascii="Times New Roman" w:hAnsi="Times New Roman" w:eastAsia="Times New Roman" w:cs="Times New Roman"/>
          <w:color w:val="000000"/>
          <w:sz w:val="24"/>
        </w:rPr>
        <w:t xml:space="preserve">A practice mode is available as a follow-up flow: the user picks a question from the generated list and supplies a written practice answer. The system then sends the question, the candidate’s answer, and the resume to Gemini and may override the default model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LLM_PRACTICE_MODEL</w:t>
      </w:r>
      <w:r>
        <w:rPr>
          <w:rFonts w:ascii="Times New Roman" w:hAnsi="Times New Roman" w:eastAsia="Times New Roman" w:cs="Times New Roman"/>
          <w:color w:val="000000"/>
          <w:sz w:val="24"/>
        </w:rPr>
        <w:t xml:space="preserve">. This is the only place in the system where a model override is wired, because practice feedback can be invoked repeatedly during a single user session.</w:t>
      </w:r>
    </w:p>
    <w:bookmarkEnd w:id="69"/>
    <w:bookmarkEnd w:id="70"/>
    <w:bookmarkStart w:id="72" w:name="portfolio-planner"/>
    <w:p>
      <w:pPr>
        <w:pStyle w:val="Heading2"/>
        <w:keepNext/>
        <w:jc w:val="left"/>
      </w:pPr>
      <w:r>
        <w:rPr>
          <w:rFonts w:ascii="Times New Roman" w:hAnsi="Times New Roman" w:eastAsia="Times New Roman" w:cs="Times New Roman"/>
          <w:b/>
          <w:i w:val="0"/>
          <w:color w:val="000000"/>
          <w:sz w:val="28"/>
        </w:rPr>
        <w:t xml:space="preserve">3.7 Portfolio Planner</w:t>
      </w:r>
    </w:p>
    <w:p>
      <w:pPr>
        <w:pStyle w:val="FirstParagraph"/>
        <w:spacing w:line="312" w:lineRule="auto" w:after="80"/>
        <w:jc w:val="both"/>
      </w:pPr>
      <w:r>
        <w:rPr>
          <w:rFonts w:ascii="Times New Roman" w:hAnsi="Times New Roman" w:eastAsia="Times New Roman" w:cs="Times New Roman"/>
          <w:color w:val="000000"/>
          <w:sz w:val="24"/>
        </w:rPr>
        <w:t xml:space="preserve">The Portfolio Planner tool produces a prioritised list of artefact ideas and skill gaps for a given resume and target role. The output is forward-looking and structural rather than evaluative.</w:t>
      </w:r>
    </w:p>
    <w:bookmarkStart w:id="71" w:name="prompt-and-post-processing-5"/>
    <w:p>
      <w:pPr>
        <w:pStyle w:val="Heading3"/>
        <w:keepNext/>
        <w:jc w:val="left"/>
      </w:pPr>
      <w:r>
        <w:rPr>
          <w:rFonts w:ascii="Times New Roman" w:hAnsi="Times New Roman" w:eastAsia="Times New Roman" w:cs="Times New Roman"/>
          <w:b/>
          <w:i/>
          <w:color w:val="000000"/>
          <w:sz w:val="24"/>
        </w:rPr>
        <w:t xml:space="preserve">3.7.1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prepass detects the resume’s discipline and seniority (the same inference used by Career Path) and identifies up to ten skills that the resume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does not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71"/>
    <w:bookmarkEnd w:id="72"/>
    <w:bookmarkStart w:id="73" w:name="X0316533d43657d9bfd77d70e918e97beaa94be2"/>
    <w:p>
      <w:pPr>
        <w:pStyle w:val="Heading2"/>
        <w:keepNext/>
        <w:jc w:val="left"/>
      </w:pPr>
      <w:r>
        <w:rPr>
          <w:rFonts w:ascii="Times New Roman" w:hAnsi="Times New Roman" w:eastAsia="Times New Roman" w:cs="Times New Roman"/>
          <w:b/>
          <w:i w:val="0"/>
          <w:color w:val="000000"/>
          <w:sz w:val="28"/>
        </w:rPr>
        <w:t xml:space="preserve">3.8 Persistence, regeneration, and result history</w:t>
      </w:r>
    </w:p>
    <w:p>
      <w:pPr>
        <w:pStyle w:val="FirstParagraph"/>
        <w:spacing w:line="312" w:lineRule="auto" w:after="80"/>
        <w:jc w:val="both"/>
      </w:pPr>
      <w:r>
        <w:rPr>
          <w:rFonts w:ascii="Times New Roman" w:hAnsi="Times New Roman" w:eastAsia="Times New Roman" w:cs="Times New Roman"/>
          <w:color w:val="000000"/>
          <w:sz w:val="24"/>
        </w:rPr>
        <w:t xml:space="preserve">Every tool result that runs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authenticated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mode is persisted as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through the shared pipeline (Chapter 2.3.2). The persistence layer adds three behaviours that are visible to the user.</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Result pages by history identifier.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result of a tool run is rendered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/&lt;tool&gt;_/result/&lt;historyId&gt;</w:t>
      </w:r>
      <w:r>
        <w:rPr>
          <w:rFonts w:ascii="Times New Roman" w:hAnsi="Times New Roman" w:eastAsia="Times New Roman" w:cs="Times New Roman"/>
          <w:color w:val="000000"/>
          <w:sz w:val="24"/>
        </w:rPr>
        <w:t xml:space="preserve">, where the history identifier is the primary key of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The user can return to a result page later by visiting the URL directly, share the URL with a collaborator who has access to the same account, or reach the result through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History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page that lists every run in reverse-chronological order.</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Regeneration as a parent–child chain.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When the user regenerates a result with feedback, a new</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is written whose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parent_run_id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points to the original. The history page renders this as a chain rather than as two unrelated entries, making it possible to walk back through earlier iterations of a single piece of analytical work.</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Cross-tool linkage.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tool may consume the result of a previous tool as part of its input.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73"/>
    <w:bookmarkStart w:id="74" w:name="X1dc7e4c4ae344161dc6e08133b73d584d675b56"/>
    <w:p>
      <w:pPr>
        <w:pStyle w:val="Heading2"/>
        <w:keepNext/>
        <w:jc w:val="left"/>
      </w:pPr>
      <w:r>
        <w:rPr>
          <w:rFonts w:ascii="Times New Roman" w:hAnsi="Times New Roman" w:eastAsia="Times New Roman" w:cs="Times New Roman"/>
          <w:b/>
          <w:i w:val="0"/>
          <w:color w:val="000000"/>
          <w:sz w:val="28"/>
        </w:rPr>
        <w:t xml:space="preserve">3.9 Reliability behaviour observed in production</w:t>
      </w:r>
    </w:p>
    <w:p>
      <w:pPr>
        <w:pStyle w:val="FirstParagraph"/>
        <w:spacing w:line="312" w:lineRule="auto" w:after="80"/>
        <w:jc w:val="both"/>
      </w:pPr>
      <w:r>
        <w:rPr>
          <w:rFonts w:ascii="Times New Roman" w:hAnsi="Times New Roman" w:eastAsia="Times New Roman" w:cs="Times New Roman"/>
          <w:color w:val="000000"/>
          <w:sz w:val="24"/>
        </w:rPr>
        <w:t xml:space="preserve">In production traffic during the development period, the analytical tools (Resume Analyzer, Job Match) exhibited a heuristic-only fallback rate below one percent of all calls; the LLM-call retry policy (Section 3.1.1) absorbed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spacing w:line="312" w:lineRule="auto" w:after="80"/>
        <w:ind w:firstLine="283"/>
        <w:jc w:val="both"/>
      </w:pPr>
      <w:r>
        <w:rPr>
          <w:rFonts w:ascii="Times New Roman" w:hAnsi="Times New Roman" w:eastAsia="Times New Roman" w:cs="Times New Roman"/>
          <w:color w:val="000000"/>
          <w:sz w:val="24"/>
        </w:rP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in Section 3.6.1 was introduced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LLM_PRACTICE_MODEL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configuration is the result of that work). The Cover Letter tool produced the opposite kind of surprise: the structural prompt with the explicit blocklist of clichés produced usable letters on the first end-to-end iteration and required only minor adjustments after a small number of dogfooding runs.</w:t>
      </w:r>
    </w:p>
    <w:p>
      <w:pPr>
        <w:pStyle w:val="BodyText"/>
        <w:spacing w:line="312" w:lineRule="auto" w:after="80"/>
        <w:ind w:firstLine="283"/>
        <w:jc w:val="both"/>
      </w:pPr>
      <w:r>
        <w:rPr>
          <w:rFonts w:ascii="Times New Roman" w:hAnsi="Times New Roman" w:eastAsia="Times New Roman" w:cs="Times New Roman"/>
          <w:color w:val="000000"/>
          <w:sz w:val="24"/>
        </w:rP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runtime switchability between the two scoring modes for the comparative study reported next.</w:t>
      </w:r>
    </w:p>
    <w:bookmarkEnd w:id="74"/>
    <w:bookmarkEnd w:id="75"/>
    <w:bookmarkStart w:id="104" w:name="chapter-4-conducted-studies-and-results"/>
    <w:p>
      <w:pPr>
        <w:pStyle w:val="Heading1"/>
        <w:keepNext/>
        <w:pageBreakBefore/>
        <w:spacing w:before="480" w:after="240"/>
        <w:jc w:val="left"/>
      </w:pPr>
      <w:r>
        <w:rPr>
          <w:rFonts w:ascii="Times New Roman" w:hAnsi="Times New Roman" w:eastAsia="Times New Roman" w:cs="Times New Roman"/>
          <w:b/>
          <w:i w:val="0"/>
          <w:color w:val="000000"/>
          <w:sz w:val="36"/>
        </w:rPr>
        <w:t xml:space="preserve">Chapter 4 — Conducted studies and results</w:t>
      </w:r>
    </w:p>
    <w:p>
      <w:pPr>
        <w:pStyle w:val="FirstParagraph"/>
        <w:spacing w:line="312" w:lineRule="auto" w:after="80"/>
        <w:jc w:val="both"/>
      </w:pPr>
      <w:r>
        <w:rPr>
          <w:rFonts w:ascii="Times New Roman" w:hAnsi="Times New Roman" w:eastAsia="Times New Roman" w:cs="Times New Roman"/>
          <w:color w:val="000000"/>
          <w:sz w:val="24"/>
        </w:rPr>
        <w:t xml:space="preserve">This chapter reports the empirical comparison between the two analytical scoring modes implemented in the system:</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blended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(40% heuristic, 60% language-model output)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fully heuristic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(classical information retrieval only). The research question, introduced in Section 1.4, is how much of the blended mode’s discriminative power is recovered by a strictly non-neural heuristic on a controlled synthetic evaluation set, and at what latency and cost ratio.</w:t>
      </w:r>
    </w:p>
    <w:bookmarkStart w:id="80" w:name="methodology"/>
    <w:p>
      <w:pPr>
        <w:pStyle w:val="Heading2"/>
        <w:keepNext/>
        <w:jc w:val="left"/>
      </w:pPr>
      <w:r>
        <w:rPr>
          <w:rFonts w:ascii="Times New Roman" w:hAnsi="Times New Roman" w:eastAsia="Times New Roman" w:cs="Times New Roman"/>
          <w:b/>
          <w:i w:val="0"/>
          <w:color w:val="000000"/>
          <w:sz w:val="28"/>
        </w:rPr>
        <w:t xml:space="preserve">4.1 Methodology</w:t>
      </w:r>
    </w:p>
    <w:bookmarkStart w:id="76" w:name="evaluation-dataset"/>
    <w:p>
      <w:pPr>
        <w:pStyle w:val="Heading3"/>
        <w:keepNext/>
        <w:jc w:val="left"/>
      </w:pPr>
      <w:r>
        <w:rPr>
          <w:rFonts w:ascii="Times New Roman" w:hAnsi="Times New Roman" w:eastAsia="Times New Roman" w:cs="Times New Roman"/>
          <w:b/>
          <w:i/>
          <w:color w:val="000000"/>
          <w:sz w:val="24"/>
        </w:rPr>
        <w:t xml:space="preserve">4.1.1 Evaluation dataset</w:t>
      </w:r>
    </w:p>
    <w:p>
      <w:pPr>
        <w:pStyle w:val="FirstParagraph"/>
        <w:spacing w:line="312" w:lineRule="auto" w:after="80"/>
        <w:jc w:val="both"/>
      </w:pPr>
      <w:r>
        <w:rPr>
          <w:rFonts w:ascii="Times New Roman" w:hAnsi="Times New Roman" w:eastAsia="Times New Roman" w:cs="Times New Roman"/>
          <w:color w:val="000000"/>
          <w:sz w:val="24"/>
        </w:rPr>
        <w:t xml:space="preserve">The evaluation dataset contains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30 resumes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20 job descriptions across six role tracks: backend engineering, frontend engineering, full-stack engineering, data analytics, product design, and product management. Each track contains five resumes at junior, mid, and senior levels and three or four job descriptions.</w:t>
      </w:r>
    </w:p>
    <w:p>
      <w:pPr>
        <w:pStyle w:val="BodyText"/>
        <w:spacing w:line="312" w:lineRule="auto" w:after="80"/>
        <w:ind w:firstLine="283"/>
        <w:jc w:val="both"/>
      </w:pPr>
      <w:r>
        <w:rPr>
          <w:rFonts w:ascii="Times New Roman" w:hAnsi="Times New Roman" w:eastAsia="Times New Roman" w:cs="Times New Roman"/>
          <w:color w:val="000000"/>
          <w:sz w:val="24"/>
        </w:rPr>
        <w:t xml:space="preserve">The dataset is generated deterministically by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scripts/synthesise_eval_dataset.py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SEED = 42</w:t>
      </w:r>
      <w:r>
        <w:rPr>
          <w:rFonts w:ascii="Times New Roman" w:hAnsi="Times New Roman" w:eastAsia="Times New Roman" w:cs="Times New Roman"/>
          <w:color w:val="000000"/>
          <w:sz w:val="24"/>
        </w:rPr>
        <w:t xml:space="preserve">. Resume content is drawn from track-specific</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resume_phrases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job-description content from separate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jd_phrases</w:t>
      </w:r>
      <w:r>
        <w:rPr>
          <w:rFonts w:ascii="Times New Roman" w:hAnsi="Times New Roman" w:eastAsia="Times New Roman" w:cs="Times New Roman"/>
          <w:color w:val="000000"/>
          <w:sz w:val="24"/>
        </w:rPr>
        <w:t xml:space="preserve">; after stop-words and role-domain skill terms are removed, the two pools are lexically disjoint. This Stage G construction mitigates shared-vocabulary leakage (T1) while preserving legitimate skill overlap through canonical labels. Synthetic generation avoids privacy and licensing issues but limits external validity, as discussed in Section 4.4.</w:t>
      </w:r>
    </w:p>
    <w:p>
      <w:pPr>
        <w:pStyle w:val="BodyText"/>
        <w:spacing w:line="312" w:lineRule="auto" w:after="80"/>
        <w:ind w:firstLine="283"/>
        <w:jc w:val="both"/>
      </w:pPr>
      <w:r>
        <w:rPr>
          <w:rFonts w:ascii="Times New Roman" w:hAnsi="Times New Roman" w:eastAsia="Times New Roman" w:cs="Times New Roman"/>
          <w:color w:val="000000"/>
          <w:sz w:val="24"/>
        </w:rPr>
        <w:t xml:space="preserve">The harness pairs each resume with every job description in the same role track. Four tracks contain three job descriptions and two tracks contain four, giving 5 × 3 × 4 + 5 × 4 × 2 = 100 pairs. Each pair is run once in blended mode and once in fully heuristic mode, producing 200 response objects for the metrics in Section 4.3. Appendix B documents the dataset structure.</w:t>
      </w:r>
    </w:p>
    <w:bookmarkEnd w:id="76"/>
    <w:bookmarkStart w:id="77" w:name="metrics"/>
    <w:p>
      <w:pPr>
        <w:pStyle w:val="Heading3"/>
        <w:keepNext/>
        <w:jc w:val="left"/>
      </w:pPr>
      <w:r>
        <w:rPr>
          <w:rFonts w:ascii="Times New Roman" w:hAnsi="Times New Roman" w:eastAsia="Times New Roman" w:cs="Times New Roman"/>
          <w:b/>
          <w:i/>
          <w:color w:val="000000"/>
          <w:sz w:val="24"/>
        </w:rPr>
        <w:t xml:space="preserve">4.1.2 Metrics</w:t>
      </w:r>
    </w:p>
    <w:p>
      <w:pPr>
        <w:pStyle w:val="FirstParagraph"/>
        <w:spacing w:line="312" w:lineRule="auto" w:after="80"/>
        <w:jc w:val="both"/>
      </w:pPr>
      <w:r>
        <w:rPr>
          <w:rFonts w:ascii="Times New Roman" w:hAnsi="Times New Roman" w:eastAsia="Times New Roman" w:cs="Times New Roman"/>
          <w:color w:val="000000"/>
          <w:sz w:val="24"/>
        </w:rPr>
        <w:t xml:space="preserve">Four metric families are computed per pair.</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Score agreement.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measures linear association between the two modes’ overall scores. Spearman ρ and Kendall τ measure rank agreement, which is more relevant when the score is used as a screening signal. The value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0.7 is used as a practical interpretation anchor, not as a formal hypothesis or a literature-derived pass/fail threshold.</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Score distribution.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Kolmogorov–Smirnov distance compares the overall score distributions and shows whether the heuristic shifts or compresses the score scale even when ranking is similar.</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Latency.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Wall-clock service time is measured from request entry into the tool service until a complete response is returned. Network round-trip time between browser and backend is excluded.</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Per-call cost.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Marginal LLM-side cost is estimated in US dollars. Blended mode incurs Gemini 2.5 Flash token cost; fully heuristic mode incurs no third-party inference charge.</w:t>
      </w:r>
    </w:p>
    <w:bookmarkEnd w:id="77"/>
    <w:bookmarkStart w:id="78" w:name="controls"/>
    <w:p>
      <w:pPr>
        <w:pStyle w:val="Heading3"/>
        <w:keepNext/>
        <w:jc w:val="left"/>
      </w:pPr>
      <w:r>
        <w:rPr>
          <w:rFonts w:ascii="Times New Roman" w:hAnsi="Times New Roman" w:eastAsia="Times New Roman" w:cs="Times New Roman"/>
          <w:b/>
          <w:i/>
          <w:color w:val="000000"/>
          <w:sz w:val="24"/>
        </w:rPr>
        <w:t xml:space="preserve">4.1.3 Controls</w:t>
      </w:r>
    </w:p>
    <w:p>
      <w:pPr>
        <w:pStyle w:val="FirstParagraph"/>
        <w:spacing w:line="312" w:lineRule="auto" w:after="80"/>
        <w:jc w:val="both"/>
      </w:pPr>
      <w:r>
        <w:rPr>
          <w:rFonts w:ascii="Times New Roman" w:hAnsi="Times New Roman" w:eastAsia="Times New Roman" w:cs="Times New Roman"/>
          <w:color w:val="000000"/>
          <w:sz w:val="24"/>
        </w:rPr>
        <w:t xml:space="preserve">Three controls isolate the comparison.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RESULT_CACHE_ENABLED=false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prevents cache reuse from contaminating latency,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scripts/eval_scoring.py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sets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HEURISTIC_VERSION=v2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before importing the application settings so that both modes use the same strong heuristic implementation. The remaining experimental difference is whether</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invoked. The LLM client uses temperature 0.3, so sampling variance is not eliminated; it is bounded only by running one fixed dataset through one configured provider and by reporting the result as an implementation characterisation rather than a population estimate.</w:t>
      </w:r>
    </w:p>
    <w:bookmarkEnd w:id="78"/>
    <w:bookmarkStart w:id="79" w:name="threats-to-validity"/>
    <w:p>
      <w:pPr>
        <w:pStyle w:val="Heading3"/>
        <w:keepNext/>
        <w:jc w:val="left"/>
      </w:pPr>
      <w:r>
        <w:rPr>
          <w:rFonts w:ascii="Times New Roman" w:hAnsi="Times New Roman" w:eastAsia="Times New Roman" w:cs="Times New Roman"/>
          <w:b/>
          <w:i/>
          <w:color w:val="000000"/>
          <w:sz w:val="24"/>
        </w:rPr>
        <w:t xml:space="preserve">4.1.4 Threats to validity</w:t>
      </w:r>
    </w:p>
    <w:p>
      <w:pPr>
        <w:pStyle w:val="FirstParagraph"/>
        <w:spacing w:line="312" w:lineRule="auto" w:after="80"/>
        <w:jc w:val="both"/>
      </w:pPr>
      <w:r>
        <w:rPr>
          <w:rFonts w:ascii="Times New Roman" w:hAnsi="Times New Roman" w:eastAsia="Times New Roman" w:cs="Times New Roman"/>
          <w:color w:val="000000"/>
          <w:sz w:val="24"/>
        </w:rPr>
        <w:t xml:space="preserve">Four threats are tracked so that the interpretation of Section 4.3 remains bounded.</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T1 (Shared-vocabulary leakage between resume and job-description pools, MITIGATED).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early synthesis script drew resume bullets and job-description responsibilities from the same per-track list. In pair</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r-backend-01__jd-backend-02</w:t>
      </w:r>
      <w:r>
        <w:rPr>
          <w:rFonts w:ascii="Times New Roman" w:hAnsi="Times New Roman" w:eastAsia="Times New Roman" w:cs="Times New Roman"/>
          <w:color w:val="000000"/>
          <w:sz w:val="24"/>
        </w:rPr>
        <w:t xml:space="preserve">, the sentence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“designed and shipped REST APIs serving production traffic”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appeared on both sides, and the leakage-version keyword-axis correlation was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0.941. The regenerated dataset separates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resume_phrases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jd_phrases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scripts/verify_disjoint_pools.py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reports mean per-pair content-token overlap falling from 11.82 to 0.44, a 27× reduction, with zero pairs above the &gt;3-token threshold instead of 97. The results below use the post-mitigation dataset; leakage artefacts remain archived as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thesis/eval-dataset-with-leakage.json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thesis/eval-results-with-leakage.json</w:t>
      </w:r>
      <w:r>
        <w:rPr>
          <w:rFonts w:ascii="Times New Roman" w:hAnsi="Times New Roman" w:eastAsia="Times New Roman" w:cs="Times New Roman"/>
          <w:color w:val="000000"/>
          <w:sz w:val="24"/>
        </w:rPr>
        <w:t xml:space="preserve">.</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T2 (Self-correlation between compared modes, MEASURED).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Since blended score = 0.40 × heuristic + 0.60 × LLM, the headline blended-versus-heuristic correlation includes a structural floor. Because the backend stores the blended and heuristic scores produced by this formula, the LLM-only score is recoverable without new API calls: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llm_only = (blended − 0.4 × heuristic) / 0.6</w:t>
      </w:r>
      <w:r>
        <w:rPr>
          <w:rFonts w:ascii="Times New Roman" w:hAnsi="Times New Roman" w:eastAsia="Times New Roman" w:cs="Times New Roman"/>
          <w:color w:val="000000"/>
          <w:sz w:val="24"/>
        </w:rPr>
        <w:t xml:space="preserve">. Section 4.3.1’ reports this baseline.</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T3 (Non-independent paired observations, ADDRESSED).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100 observations are not independent because each resume appears in three or four pairs and each job description in five pairs. Pearson confidence intervals are therefore computed by cluster bootstrap 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resume_id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 2 000 resamples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seed=42</w:t>
      </w:r>
      <w:r>
        <w:rPr>
          <w:rFonts w:ascii="Times New Roman" w:hAnsi="Times New Roman" w:eastAsia="Times New Roman" w:cs="Times New Roman"/>
          <w:color w:val="000000"/>
          <w:sz w:val="24"/>
        </w:rPr>
        <w:t xml:space="preserve">.</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T4 (Post-hoc heuristic design, DISCLOSED).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strong heuristic v2 was designed after the blended pipeline existed. The agreement in Section 4.3 therefore partly reflects design coupling. A fully closed comparison would require designing the heuristic against a held-out reference; this is outside the Bachelor-thesis scope.</w:t>
      </w:r>
    </w:p>
    <w:p>
      <w:pPr>
        <w:pStyle w:val="BodyText"/>
        <w:spacing w:line="312" w:lineRule="auto" w:after="80"/>
        <w:ind w:firstLine="283"/>
        <w:jc w:val="both"/>
      </w:pPr>
      <w:r>
        <w:rPr>
          <w:rFonts w:ascii="Times New Roman" w:hAnsi="Times New Roman" w:eastAsia="Times New Roman" w:cs="Times New Roman"/>
          <w:color w:val="000000"/>
          <w:sz w:val="24"/>
        </w:rPr>
        <w:t xml:space="preserve">T1, T2, and T3 are mitigated by regeneration, LLM-only decomposition, and clustered intervals. T4 remains a disclosed limitation.</w:t>
      </w:r>
    </w:p>
    <w:p>
      <w:pPr>
        <w:pStyle w:val="BodyText"/>
        <w:spacing w:line="312" w:lineRule="auto" w:after="80"/>
        <w:ind w:firstLine="283"/>
        <w:jc w:val="both"/>
      </w:pPr>
      <w:r>
        <w:rPr>
          <w:rFonts w:ascii="Times New Roman" w:hAnsi="Times New Roman" w:eastAsia="Times New Roman" w:cs="Times New Roman"/>
          <w:color w:val="000000"/>
          <w:sz w:val="24"/>
        </w:rPr>
        <w:t xml:space="preserve">In Cook-Campbell terms T1 and T2 cluster under construct validity (the operationalisation of agreement between the two scoring modes), T3 falls under statistical-conclusion validity (the inferential machinery accommodating dependent paired observations), and T4 falls under internal validity (researcher degrees of freedom in the post-hoc heuristic design). External validity, the fourth canonical category, is not addressed within the experiment because the dataset is single-language (English), single-author (one synthesiser produced all 30 resumes), and single-evaluator (one Gemini family); Section 4.4 enumerates these as deployment caveats, foregrounded as the most consequential next step before any generalisation beyond the synthetic benchmark.</w:t>
      </w:r>
    </w:p>
    <w:p>
      <w:pPr>
        <w:pStyle w:val="BodyText"/>
        <w:spacing w:line="312" w:lineRule="auto" w:after="80"/>
        <w:ind w:firstLine="283"/>
        <w:jc w:val="both"/>
      </w:pPr>
      <w:r>
        <w:rPr>
          <w:rFonts w:ascii="Times New Roman" w:hAnsi="Times New Roman" w:eastAsia="Times New Roman" w:cs="Times New Roman"/>
          <w:color w:val="000000"/>
          <w:sz w:val="24"/>
        </w:rPr>
        <w:t xml:space="preserve">These threats also define how the results should not be read. The chapter does not claim population-level hiring validity, fairness, or universal superiority of one scoring family. It reports a controlled within-set characterisation of the implemented system, using a reproducible benchmark whose construction is transparent enough to audit.</w:t>
      </w:r>
    </w:p>
    <w:bookmarkEnd w:id="79"/>
    <w:bookmarkEnd w:id="80"/>
    <w:bookmarkStart w:id="90" w:name="the-strong-heuristic-v2"/>
    <w:p>
      <w:pPr>
        <w:pStyle w:val="Heading2"/>
        <w:keepNext/>
        <w:jc w:val="left"/>
      </w:pPr>
      <w:r>
        <w:rPr>
          <w:rFonts w:ascii="Times New Roman" w:hAnsi="Times New Roman" w:eastAsia="Times New Roman" w:cs="Times New Roman"/>
          <w:b/>
          <w:i w:val="0"/>
          <w:color w:val="000000"/>
          <w:sz w:val="28"/>
        </w:rPr>
        <w:t xml:space="preserve">4.2 The strong heuristic (v2)</w:t>
      </w:r>
    </w:p>
    <w:p>
      <w:pPr>
        <w:pStyle w:val="FirstParagraph"/>
        <w:spacing w:line="312" w:lineRule="auto" w:after="80"/>
        <w:jc w:val="both"/>
      </w:pPr>
      <w:r>
        <w:rPr>
          <w:rFonts w:ascii="Times New Roman" w:hAnsi="Times New Roman" w:eastAsia="Times New Roman" w:cs="Times New Roman"/>
          <w:color w:val="000000"/>
          <w:sz w:val="24"/>
        </w:rPr>
        <w:t xml:space="preserve">The lightweight prepass from Chapter 3 is sufficient for fallback behaviour but too weak as a research baseline. The strong heuristic v2 replaces binary keyword matching and unweighted averaging with classical information-retrieval components while remaining strictly non-neural.</w:t>
      </w:r>
    </w:p>
    <w:bookmarkStart w:id="81" w:name="tfidfweighted-keyword-evidence"/>
    <w:p>
      <w:pPr>
        <w:pStyle w:val="Heading3"/>
        <w:keepNext/>
        <w:jc w:val="left"/>
      </w:pPr>
      <w:r>
        <w:rPr>
          <w:rFonts w:ascii="Times New Roman" w:hAnsi="Times New Roman" w:eastAsia="Times New Roman" w:cs="Times New Roman"/>
          <w:b/>
          <w:i/>
          <w:color w:val="000000"/>
          <w:sz w:val="24"/>
        </w:rPr>
        <w:t xml:space="preserve">4.2.1 TF–IDF–weighted keyword evidence</w:t>
      </w:r>
    </w:p>
    <w:p>
      <w:pPr>
        <w:pStyle w:val="FirstParagraph"/>
        <w:spacing w:line="312" w:lineRule="auto" w:after="80"/>
        <w:jc w:val="both"/>
      </w:pPr>
      <w:r>
        <w:rPr>
          <w:rFonts w:ascii="Times New Roman" w:hAnsi="Times New Roman" w:eastAsia="Times New Roman" w:cs="Times New Roman"/>
          <w:color w:val="000000"/>
          <w:sz w:val="24"/>
        </w:rPr>
        <w:t xml:space="preserve">The v2 heuristic weights keyword evidence by inverse document frequency, so rare technical terms contribute more than common words [5, 6]. Keyword alignment is computed as</w:t>
      </w:r>
    </w:p>
    <w:p>
      <w:pPr>
        <w:pStyle w:val="BodyText"/>
        <w:spacing w:line="312" w:lineRule="auto" w:after="80"/>
        <w:jc w:val="both"/>
      </w:pP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 J)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100,</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p>
    <w:p>
      <w:pPr>
        <w:pStyle w:val="BodyText"/>
        <w:spacing w:line="312" w:lineRule="auto" w:after="80"/>
        <w:ind w:firstLine="283"/>
        <w:jc w:val="both"/>
      </w:pPr>
      <w:r>
        <w:rPr>
          <w:rFonts w:ascii="Times New Roman" w:hAnsi="Times New Roman" w:eastAsia="Times New Roman" w:cs="Times New Roman"/>
          <w:color w:val="000000"/>
          <w:sz w:val="24"/>
        </w:rPr>
        <w:t xml:space="preserve">where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resume,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job description,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K</w:t>
      </w:r>
      <w:r>
        <w:rPr>
          <w:rFonts w:ascii="Times New Roman" w:hAnsi="Times New Roman" w:eastAsia="Times New Roman" w:cs="Times New Roman"/>
          <w:color w:val="000000"/>
          <w:sz w:val="24"/>
        </w:rPr>
        <w:t xml:space="preserve">(·) extracts the keyword set. BM25 is implemented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app/services/quality_signals_v2.py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_bm25_score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k₁</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1.5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0.75. The final keyword-axis score is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0.7 × weighted_keyword_score + 0.3 × min(100, BM25 × 4)</w:t>
      </w:r>
      <w:r>
        <w:rPr>
          <w:rFonts w:ascii="Times New Roman" w:hAnsi="Times New Roman" w:eastAsia="Times New Roman" w:cs="Times New Roman"/>
          <w:color w:val="000000"/>
          <w:sz w:val="24"/>
        </w:rPr>
        <w:t xml:space="preserve">, clamped to [0, 100]. Production uses a bundled ESCO-derived baseline IDF; the evaluation harness recomputes IDF from the job descriptions in the benchmark.</w:t>
      </w:r>
    </w:p>
    <w:bookmarkEnd w:id="81"/>
    <w:bookmarkStart w:id="82" w:name="esco-aligned-skill-normalisation"/>
    <w:p>
      <w:pPr>
        <w:pStyle w:val="Heading3"/>
        <w:keepNext/>
        <w:jc w:val="left"/>
      </w:pPr>
      <w:r>
        <w:rPr>
          <w:rFonts w:ascii="Times New Roman" w:hAnsi="Times New Roman" w:eastAsia="Times New Roman" w:cs="Times New Roman"/>
          <w:b/>
          <w:i/>
          <w:color w:val="000000"/>
          <w:sz w:val="24"/>
        </w:rPr>
        <w:t xml:space="preserve">4.2.2 ESCO-aligned skill normalisation</w:t>
      </w:r>
    </w:p>
    <w:p>
      <w:pPr>
        <w:pStyle w:val="FirstParagraph"/>
        <w:spacing w:line="312" w:lineRule="auto" w:after="80"/>
        <w:jc w:val="both"/>
      </w:pPr>
      <w:r>
        <w:rPr>
          <w:rFonts w:ascii="Times New Roman" w:hAnsi="Times New Roman" w:eastAsia="Times New Roman" w:cs="Times New Roman"/>
          <w:color w:val="000000"/>
          <w:sz w:val="24"/>
        </w:rPr>
        <w:t xml:space="preserve">The heuristic normalises surface variants such as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Postgres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PostgreSQL</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postgres database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one canonical ESCO label [8, 9, 12]. The bundled JSON contains 107 canonical digital and creative-industry skill entries and is structured for expansion to broader production coverage. Resume and job-description text are scanned for surface variants, mapped to canonical labels, and intersected.</w:t>
      </w:r>
    </w:p>
    <w:p>
      <w:pPr>
        <w:pStyle w:val="BodyText"/>
        <w:spacing w:line="312" w:lineRule="auto" w:after="80"/>
        <w:ind w:firstLine="283"/>
        <w:jc w:val="both"/>
      </w:pPr>
      <w:r>
        <w:rPr>
          <w:rFonts w:ascii="Times New Roman" w:hAnsi="Times New Roman" w:eastAsia="Times New Roman" w:cs="Times New Roman"/>
          <w:color w:val="000000"/>
          <w:sz w:val="24"/>
        </w:rPr>
        <w:t xml:space="preserve">This top-down design was chosen over a learned skill extractor because it keeps the fully heuristic path inspectable. Every accepted match can be traced to a surface variant in the bundled taxonomy or to the fuzzy rule described below. That property is useful when heuristic mode is presented as an auditable alternative to the LLM path.</w:t>
      </w:r>
    </w:p>
    <w:bookmarkEnd w:id="82"/>
    <w:bookmarkStart w:id="83" w:name="fuzzy-matching"/>
    <w:p>
      <w:pPr>
        <w:pStyle w:val="Heading3"/>
        <w:keepNext/>
        <w:jc w:val="left"/>
      </w:pPr>
      <w:r>
        <w:rPr>
          <w:rFonts w:ascii="Times New Roman" w:hAnsi="Times New Roman" w:eastAsia="Times New Roman" w:cs="Times New Roman"/>
          <w:b/>
          <w:i/>
          <w:color w:val="000000"/>
          <w:sz w:val="24"/>
        </w:rPr>
        <w:t xml:space="preserve">4.2.3 Fuzzy matching</w:t>
      </w:r>
    </w:p>
    <w:p>
      <w:pPr>
        <w:pStyle w:val="FirstParagraph"/>
        <w:spacing w:line="312" w:lineRule="auto" w:after="80"/>
        <w:jc w:val="both"/>
      </w:pPr>
      <w:r>
        <w:rPr>
          <w:rFonts w:ascii="Times New Roman" w:hAnsi="Times New Roman" w:eastAsia="Times New Roman" w:cs="Times New Roman"/>
          <w:color w:val="000000"/>
          <w:sz w:val="24"/>
        </w:rPr>
        <w:t xml:space="preserve">For skills or keywords outside the bundled ESCO subset, v2 applies a normalised string-similarity pass related to edit-distance matching [7] using Python’s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difflib.SequenceMatcher</w:t>
      </w:r>
      <w:r>
        <w:rPr>
          <w:rFonts w:ascii="Times New Roman" w:hAnsi="Times New Roman" w:eastAsia="Times New Roman" w:cs="Times New Roman"/>
          <w:color w:val="000000"/>
          <w:sz w:val="24"/>
        </w:rPr>
        <w:t xml:space="preserve">. A job-description keyword is counted when it appears exactly, maps through ESCO, or reaches similarity threshold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τ</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0.85 against a resume candidate phrase. The threshold admits typographic variants such as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Javacript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JavaScript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while rejecting unrelated tokens.</w:t>
      </w:r>
    </w:p>
    <w:bookmarkEnd w:id="83"/>
    <w:bookmarkStart w:id="84" w:name="section-weighted-features"/>
    <w:p>
      <w:pPr>
        <w:pStyle w:val="Heading3"/>
        <w:keepNext/>
        <w:jc w:val="left"/>
      </w:pPr>
      <w:r>
        <w:rPr>
          <w:rFonts w:ascii="Times New Roman" w:hAnsi="Times New Roman" w:eastAsia="Times New Roman" w:cs="Times New Roman"/>
          <w:b/>
          <w:i/>
          <w:color w:val="000000"/>
          <w:sz w:val="24"/>
        </w:rPr>
        <w:t xml:space="preserve">4.2.4 Section-weighted features</w:t>
      </w:r>
    </w:p>
    <w:p>
      <w:pPr>
        <w:pStyle w:val="FirstParagraph"/>
        <w:spacing w:line="312" w:lineRule="auto" w:after="80"/>
        <w:jc w:val="both"/>
      </w:pPr>
      <w:r>
        <w:rPr>
          <w:rFonts w:ascii="Times New Roman" w:hAnsi="Times New Roman" w:eastAsia="Times New Roman" w:cs="Times New Roman"/>
          <w:color w:val="000000"/>
          <w:sz w:val="24"/>
        </w:rPr>
        <w:t xml:space="preserve">Skill evidence is weighted by resume section because a skill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Skills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carries a different signal from the same word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Education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or a project description [18]. Matches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Skills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contribute 1.0,</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Experience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Projects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0.7,</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Summary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0.5,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Education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0.3. The weighted match total is normalised against the maximum possible weighted match.</w:t>
      </w:r>
    </w:p>
    <w:bookmarkEnd w:id="84"/>
    <w:bookmarkStart w:id="85" w:name="quantification-regex"/>
    <w:p>
      <w:pPr>
        <w:pStyle w:val="Heading3"/>
        <w:keepNext/>
        <w:jc w:val="left"/>
      </w:pPr>
      <w:r>
        <w:rPr>
          <w:rFonts w:ascii="Times New Roman" w:hAnsi="Times New Roman" w:eastAsia="Times New Roman" w:cs="Times New Roman"/>
          <w:b/>
          <w:i/>
          <w:color w:val="000000"/>
          <w:sz w:val="24"/>
        </w:rPr>
        <w:t xml:space="preserve">4.2.5 Quantification regex</w:t>
      </w:r>
    </w:p>
    <w:p>
      <w:pPr>
        <w:pStyle w:val="FirstParagraph"/>
        <w:spacing w:line="312" w:lineRule="auto" w:after="80"/>
        <w:jc w:val="both"/>
      </w:pPr>
      <w:r>
        <w:rPr>
          <w:rFonts w:ascii="Times New Roman" w:hAnsi="Times New Roman" w:eastAsia="Times New Roman" w:cs="Times New Roman"/>
          <w:color w:val="000000"/>
          <w:sz w:val="24"/>
        </w:rPr>
        <w:t xml:space="preserve">The impact sub-score detects measurable outcomes through one composite regular expression covering bare integers, percentages, currency amounts, time periods, magnitudes such as k/M/B/×, user or customer counts, and team-size descriptors. The count of quantified bullets enters the score with logarithmic saturation.</w:t>
      </w:r>
    </w:p>
    <w:bookmarkEnd w:id="85"/>
    <w:bookmarkStart w:id="86" w:name="action-verb-scoring"/>
    <w:p>
      <w:pPr>
        <w:pStyle w:val="Heading3"/>
        <w:keepNext/>
        <w:jc w:val="left"/>
      </w:pPr>
      <w:r>
        <w:rPr>
          <w:rFonts w:ascii="Times New Roman" w:hAnsi="Times New Roman" w:eastAsia="Times New Roman" w:cs="Times New Roman"/>
          <w:b/>
          <w:i/>
          <w:color w:val="000000"/>
          <w:sz w:val="24"/>
        </w:rPr>
        <w:t xml:space="preserve">4.2.6 Action-verb scoring</w:t>
      </w:r>
    </w:p>
    <w:p>
      <w:pPr>
        <w:pStyle w:val="FirstParagraph"/>
        <w:spacing w:line="312" w:lineRule="auto" w:after="80"/>
        <w:jc w:val="both"/>
      </w:pPr>
      <w:r>
        <w:rPr>
          <w:rFonts w:ascii="Times New Roman" w:hAnsi="Times New Roman" w:eastAsia="Times New Roman" w:cs="Times New Roman"/>
          <w:color w:val="000000"/>
          <w:sz w:val="24"/>
        </w:rPr>
        <w:t xml:space="preserve">The clarity sub-score counts the fraction of bullets whose leading token belongs to a curated action-verb dictionary of approximately 190 entries compiled from university career-services resources. Action verbs such as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“led”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“shipped”</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“automated”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are treated as stronger ownership evidence than passive or filler openings.</w:t>
      </w:r>
    </w:p>
    <w:bookmarkEnd w:id="86"/>
    <w:bookmarkStart w:id="87" w:name="score-combination"/>
    <w:p>
      <w:pPr>
        <w:pStyle w:val="Heading3"/>
        <w:keepNext/>
        <w:jc w:val="left"/>
      </w:pPr>
      <w:r>
        <w:rPr>
          <w:rFonts w:ascii="Times New Roman" w:hAnsi="Times New Roman" w:eastAsia="Times New Roman" w:cs="Times New Roman"/>
          <w:b/>
          <w:i/>
          <w:color w:val="000000"/>
          <w:sz w:val="24"/>
        </w:rPr>
        <w:t xml:space="preserve">4.2.7 Score combination</w:t>
      </w:r>
    </w:p>
    <w:p>
      <w:pPr>
        <w:pStyle w:val="FirstParagraph"/>
        <w:spacing w:line="312" w:lineRule="auto" w:after="80"/>
        <w:jc w:val="both"/>
      </w:pPr>
      <w:r>
        <w:rPr>
          <w:rFonts w:ascii="Times New Roman" w:hAnsi="Times New Roman" w:eastAsia="Times New Roman" w:cs="Times New Roman"/>
          <w:color w:val="000000"/>
          <w:sz w:val="24"/>
        </w:rPr>
        <w:t xml:space="preserve">The five sub-scores (keyword alignment, impact, structure, clarity, completeness) are combined as a weighted mean: 0.30, 0.25, 0.15, 0.15, and 0.15. These weights are author-selected rather than survey-derived. The blended-mode 0.40/0.60 split is also an engineering choice rather than an optimised parameter: it keeps the default mode language-model-led while retaining a deterministic scoring floor. Section 4.3.5 reports an equal-weight sensitivity check for the heuristic sub-score weights.</w:t>
      </w:r>
    </w:p>
    <w:bookmarkEnd w:id="87"/>
    <w:bookmarkStart w:id="88" w:name="implementation-notes"/>
    <w:p>
      <w:pPr>
        <w:pStyle w:val="Heading3"/>
        <w:keepNext/>
        <w:jc w:val="left"/>
      </w:pPr>
      <w:r>
        <w:rPr>
          <w:rFonts w:ascii="Times New Roman" w:hAnsi="Times New Roman" w:eastAsia="Times New Roman" w:cs="Times New Roman"/>
          <w:b/>
          <w:i/>
          <w:color w:val="000000"/>
          <w:sz w:val="24"/>
        </w:rPr>
        <w:t xml:space="preserve">4.2.8 Implementation notes</w:t>
      </w:r>
    </w:p>
    <w:p>
      <w:pPr>
        <w:pStyle w:val="FirstParagraph"/>
        <w:spacing w:line="312" w:lineRule="auto" w:after="80"/>
        <w:jc w:val="both"/>
      </w:pPr>
      <w:r>
        <w:rPr>
          <w:rFonts w:ascii="Times New Roman" w:hAnsi="Times New Roman" w:eastAsia="Times New Roman" w:cs="Times New Roman"/>
          <w:color w:val="000000"/>
          <w:sz w:val="24"/>
        </w:rPr>
        <w:t xml:space="preserve">The strong heuristic v2 lives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app/services/quality_signals_v2.py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alongside the lightweight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quality_signals.py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HEURISTIC_VERSION=v2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selects the strong implementation for the analytical tools and is the default for the experimental run reported here.</w:t>
      </w:r>
    </w:p>
    <w:bookmarkEnd w:id="88"/>
    <w:bookmarkStart w:id="89" w:name="the-administrative-toggle"/>
    <w:p>
      <w:pPr>
        <w:pStyle w:val="Heading3"/>
        <w:keepNext/>
        <w:jc w:val="left"/>
      </w:pPr>
      <w:r>
        <w:rPr>
          <w:rFonts w:ascii="Times New Roman" w:hAnsi="Times New Roman" w:eastAsia="Times New Roman" w:cs="Times New Roman"/>
          <w:b/>
          <w:i/>
          <w:color w:val="000000"/>
          <w:sz w:val="24"/>
        </w:rPr>
        <w:t xml:space="preserve">4.2.9 The administrative toggle</w:t>
      </w:r>
    </w:p>
    <w:p>
      <w:pPr>
        <w:pStyle w:val="FirstParagraph"/>
        <w:spacing w:line="312" w:lineRule="auto" w:after="80"/>
        <w:jc w:val="both"/>
      </w:pPr>
      <w:r>
        <w:rPr>
          <w:rFonts w:ascii="Times New Roman" w:hAnsi="Times New Roman" w:eastAsia="Times New Roman" w:cs="Times New Roman"/>
          <w:color w:val="000000"/>
          <w:sz w:val="24"/>
        </w:rPr>
        <w:t xml:space="preserve">Runtime switchability is provided by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SCORING_MODE</w:t>
      </w:r>
      <w:r>
        <w:rPr>
          <w:rFonts w:ascii="Times New Roman" w:hAnsi="Times New Roman" w:eastAsia="Times New Roman" w:cs="Times New Roman"/>
          <w:color w:val="000000"/>
          <w:sz w:val="24"/>
        </w:rPr>
        <w:t xml:space="preserve">, which accepts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blended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heuristic</w:t>
      </w:r>
      <w:r>
        <w:rPr>
          <w:rFonts w:ascii="Times New Roman" w:hAnsi="Times New Roman" w:eastAsia="Times New Roman" w:cs="Times New Roman"/>
          <w:color w:val="000000"/>
          <w:sz w:val="24"/>
        </w:rPr>
        <w:t xml:space="preserve">. An in-memory override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app/services/runtime_settings.py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updated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POST /api/v1/admin/scoring-mode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read by analytical services on every request. The override supports live demonstration during the diploma defence but resets on process restart, leaving the environment variable as the configuration of record.</w:t>
      </w:r>
    </w:p>
    <w:p>
      <w:r>
        <w:br w:type="page"/>
      </w:r>
    </w:p>
    <w:bookmarkEnd w:id="89"/>
    <w:bookmarkEnd w:id="90"/>
    <w:bookmarkStart w:id="102" w:name="results"/>
    <w:p>
      <w:pPr>
        <w:pStyle w:val="Heading2"/>
        <w:keepNext/>
        <w:jc w:val="left"/>
      </w:pPr>
      <w:r>
        <w:rPr>
          <w:rFonts w:ascii="Times New Roman" w:hAnsi="Times New Roman" w:eastAsia="Times New Roman" w:cs="Times New Roman"/>
          <w:b/>
          <w:i w:val="0"/>
          <w:color w:val="000000"/>
          <w:sz w:val="28"/>
        </w:rPr>
        <w:t xml:space="preserve">4.3 Results</w:t>
      </w:r>
    </w:p>
    <w:p>
      <w:pPr>
        <w:pStyle w:val="FirstParagraph"/>
        <w:spacing w:line="312" w:lineRule="auto" w:after="80"/>
        <w:jc w:val="both"/>
      </w:pPr>
      <w:r>
        <w:rPr>
          <w:rFonts w:ascii="Times New Roman" w:hAnsi="Times New Roman" w:eastAsia="Times New Roman" w:cs="Times New Roman"/>
          <w:color w:val="000000"/>
          <w:sz w:val="24"/>
        </w:rPr>
        <w:t xml:space="preserve">The evaluation harness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scripts/eval_scoring.py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produced 100 paired observations. Both modes succeeded on every pair,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scripts/analyze_eval_results.py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generated the tables below from</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thesis/eval-results.json</w:t>
      </w:r>
      <w:r>
        <w:rPr>
          <w:rFonts w:ascii="Times New Roman" w:hAnsi="Times New Roman" w:eastAsia="Times New Roman" w:cs="Times New Roman"/>
          <w:color w:val="000000"/>
          <w:sz w:val="24"/>
        </w:rPr>
        <w:t xml:space="preserve">.</w:t>
      </w:r>
    </w:p>
    <w:bookmarkStart w:id="91" w:name="score-agreement"/>
    <w:p>
      <w:pPr>
        <w:pStyle w:val="Heading3"/>
        <w:keepNext/>
        <w:jc w:val="left"/>
      </w:pPr>
      <w:r>
        <w:rPr>
          <w:rFonts w:ascii="Times New Roman" w:hAnsi="Times New Roman" w:eastAsia="Times New Roman" w:cs="Times New Roman"/>
          <w:b/>
          <w:i/>
          <w:color w:val="000000"/>
          <w:sz w:val="24"/>
        </w:rPr>
        <w:t xml:space="preserve">4.3.1 Score agreement</w:t>
      </w:r>
    </w:p>
    <w:p>
      <w:pPr>
        <w:pStyle w:val="FirstParagraph"/>
        <w:spacing w:line="312" w:lineRule="auto" w:after="80"/>
        <w:jc w:val="both"/>
      </w:pPr>
      <w:r>
        <w:rPr>
          <w:rFonts w:ascii="Times New Roman" w:hAnsi="Times New Roman" w:eastAsia="Times New Roman" w:cs="Times New Roman"/>
          <w:color w:val="000000"/>
          <w:sz w:val="24"/>
        </w:rPr>
        <w:t xml:space="preserve">Across the 100 (resume, job-description) pairs in the evaluation set, three rank- and value-agreement statistics are computed between the overall score in the blended mode and the overall score in the fully heuristic v2 mode: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Spearman ρ, and Kendall τ. Table 4.1 reports the post-mitigation values computed on the disjoint-vocabulary dataset described in Section 4.1.1 alongside the pre-mitigation values from the archived leakage-version run, for an explicit before/after comparison.</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4.1: Overall agreement between blended and fully heuristic modes (n = 100 pairs). Pearson confidence intervals are computed by cluster bootstrap on</w:t>
      </w:r>
      <w:r>
        <w:rPr>
          <w:rFonts w:ascii="Times New Roman" w:hAnsi="Times New Roman" w:eastAsia="Times New Roman" w:cs="Times New Roman"/>
          <w:i/>
          <w:iCs/>
          <w:color w:val="000000"/>
          <w:sz w:val="24"/>
        </w:rPr>
        <w:t xml:space="preserve"> </w:t>
      </w:r>
      <w:r>
        <w:rPr>
          <w:rStyle w:val="VerbatimChar"/>
          <w:rFonts w:ascii="Times New Roman" w:hAnsi="Times New Roman" w:eastAsia="Times New Roman" w:cs="Times New Roman"/>
          <w:i/>
          <w:iCs/>
          <w:color w:val="000000"/>
          <w:sz w:val="24"/>
        </w:rPr>
        <w:t xml:space="preserve">resume_id</w:t>
      </w:r>
      <w:r>
        <w:rPr>
          <w:rFonts w:ascii="Times New Roman" w:hAnsi="Times New Roman" w:eastAsia="Times New Roman" w:cs="Times New Roman"/>
          <w:i/>
          <w:iCs/>
          <w:color w:val="000000"/>
          <w:sz w:val="24"/>
        </w:rPr>
        <w:t xml:space="preserve"> </w:t>
      </w:r>
      <w:r>
        <w:rPr>
          <w:rFonts w:ascii="Times New Roman" w:hAnsi="Times New Roman" w:eastAsia="Times New Roman" w:cs="Times New Roman"/>
          <w:i/>
          <w:iCs/>
          <w:color w:val="000000"/>
          <w:sz w:val="24"/>
        </w:rPr>
        <w:t xml:space="preserve">with 2 000 resamples and seed = 42, addressing threat T3 of Section 4.1.4.</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1927"/>
        <w:gridCol w:w="2381"/>
        <w:gridCol w:w="2551"/>
        <w:gridCol w:w="1984"/>
      </w:tblGrid>
      <w:tr>
        <w:trPr>
          <w:tblHeader w:val="on"/>
        </w:trPr>
        <w:tc>
          <w:tcPr>
            <w:tcW w:type="dxa" w:w="1927"/>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Statistic</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Post-mitigation (disjoint)</w:t>
            </w:r>
          </w:p>
        </w:tc>
        <w:tc>
          <w:tcPr>
            <w:tcW w:type="dxa" w:w="255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Pre-mitigation (leakage version)</w:t>
            </w:r>
          </w:p>
        </w:tc>
        <w:tc>
          <w:tcPr>
            <w:tcW w:type="dxa" w:w="198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Interpretation</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Pearson</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i/>
                <w:iCs/>
                <w:color w:val="000000"/>
                <w:sz w:val="18"/>
              </w:rPr>
              <w:t xml:space="preserve">r</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0.836</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[95% CI 0.762, 0.896]</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0.727 [95% CI 0.609, 0.814]</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Linear association between mode scores.</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Spearman ρ</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0.847</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0.708</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Rank agreement; the property most relevant to screening use.</w:t>
            </w:r>
          </w:p>
        </w:tc>
      </w:tr>
      <w:tr>
        <w:tc>
          <w:tcPr>
            <w:tcW w:type="dxa" w:w="1927"/>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Kendall τ</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0.669</w:t>
            </w:r>
          </w:p>
        </w:tc>
        <w:tc>
          <w:tcPr>
            <w:tcW w:type="dxa" w:w="255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0.526</w:t>
            </w:r>
          </w:p>
        </w:tc>
        <w:tc>
          <w:tcPr>
            <w:tcW w:type="dxa" w:w="198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Concordance-based rank agreement.</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The post-mitigation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higher than the leakage-version value even though leakage was expected to inflate keyword overlap. The per-sub-score breakdown in Table 4.2 explains the result: lexical leakage added noise to some non-keyword axes, while the disjoint construction preserved legitimate canonical skill overlap.</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4.2: Per-sub-score correlations between blended and heuristic-only modes, post-mitigation versus archived leakage version. Bold entries mark axes above the 0.7 practical interpretation anchor introduced in Section 4.1.2.</w:t>
      </w:r>
    </w:p>
    <w:tbl>
      <w:tblPr>
        <w:tblW w:type="dxa" w:w="8618"/>
        <w:jc w:val="center"/>
        <w:tblLayout w:type="fixed"/>
        <w:tblLook w:firstRow="1" w:lastRow="0" w:firstColumn="0" w:lastColumn="0" w:noHBand="0" w:noVBand="0" w:val="0020"/>
        <w:tblCellMar>
          <w:top w:w="65" w:type="dxa"/>
          <w:left w:w="65" w:type="dxa"/>
          <w:bottom w:w="65" w:type="dxa"/>
          <w:right w:w="65" w:type="dxa"/>
        </w:tblCellMar>
      </w:tblPr>
      <w:tblGrid>
        <w:gridCol w:w="1927"/>
        <w:gridCol w:w="1984"/>
        <w:gridCol w:w="1984"/>
        <w:gridCol w:w="1360"/>
        <w:gridCol w:w="1360"/>
      </w:tblGrid>
      <w:tr>
        <w:trPr>
          <w:tblHeader w:val="on"/>
        </w:trPr>
        <w:tc>
          <w:tcPr>
            <w:tcW w:type="dxa" w:w="1927"/>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Sub-score</w:t>
            </w:r>
          </w:p>
        </w:tc>
        <w:tc>
          <w:tcPr>
            <w:tcW w:type="dxa" w:w="198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Post-mitigation Pearson</w:t>
            </w:r>
            <w:r>
              <w:rPr>
                <w:rFonts w:ascii="Times New Roman" w:hAnsi="Times New Roman" w:eastAsia="Times New Roman" w:cs="Times New Roman"/>
                <w:b/>
                <w:color w:val="000000"/>
                <w:sz w:val="18"/>
              </w:rPr>
              <w:t xml:space="preserve"> </w:t>
            </w:r>
            <w:r>
              <w:rPr>
                <w:rFonts w:ascii="Times New Roman" w:hAnsi="Times New Roman" w:eastAsia="Times New Roman" w:cs="Times New Roman"/>
                <w:b/>
                <w:i/>
                <w:iCs/>
                <w:color w:val="000000"/>
                <w:sz w:val="18"/>
              </w:rPr>
              <w:t xml:space="preserve">r</w:t>
            </w:r>
          </w:p>
        </w:tc>
        <w:tc>
          <w:tcPr>
            <w:tcW w:type="dxa" w:w="198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Pre-mitigation Pearson</w:t>
            </w:r>
            <w:r>
              <w:rPr>
                <w:rFonts w:ascii="Times New Roman" w:hAnsi="Times New Roman" w:eastAsia="Times New Roman" w:cs="Times New Roman"/>
                <w:b/>
                <w:color w:val="000000"/>
                <w:sz w:val="18"/>
              </w:rPr>
              <w:t xml:space="preserve"> </w:t>
            </w:r>
            <w:r>
              <w:rPr>
                <w:rFonts w:ascii="Times New Roman" w:hAnsi="Times New Roman" w:eastAsia="Times New Roman" w:cs="Times New Roman"/>
                <w:b/>
                <w:i/>
                <w:iCs/>
                <w:color w:val="000000"/>
                <w:sz w:val="18"/>
              </w:rPr>
              <w:t xml:space="preserve">r</w:t>
            </w:r>
          </w:p>
        </w:tc>
        <w:tc>
          <w:tcPr>
            <w:tcW w:type="dxa" w:w="136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Spearman ρ</w:t>
            </w:r>
          </w:p>
        </w:tc>
        <w:tc>
          <w:tcPr>
            <w:tcW w:type="dxa" w:w="136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Kendall τ</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Keywords</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0.937</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0.941</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0.946</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0.845</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Impact</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0.430</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0.561</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0.447</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0.332</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Structure</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0.830</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0.440</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0.865</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0.804</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Clarity</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0.395</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0.475</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0.373</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0.289</w:t>
            </w:r>
          </w:p>
        </w:tc>
      </w:tr>
      <w:tr>
        <w:tc>
          <w:tcPr>
            <w:tcW w:type="dxa" w:w="1927"/>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Completeness</w:t>
            </w:r>
          </w:p>
        </w:tc>
        <w:tc>
          <w:tcPr>
            <w:tcW w:type="dxa" w:w="198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0.756</w:t>
            </w:r>
          </w:p>
        </w:tc>
        <w:tc>
          <w:tcPr>
            <w:tcW w:type="dxa" w:w="198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0.691</w:t>
            </w:r>
          </w:p>
        </w:tc>
        <w:tc>
          <w:tcPr>
            <w:tcW w:type="dxa" w:w="136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0.793</w:t>
            </w:r>
          </w:p>
        </w:tc>
        <w:tc>
          <w:tcPr>
            <w:tcW w:type="dxa" w:w="136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0.689</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The agreement is strongest on keywords and structure and weakest on clarity, the axis where the language model sees prose-quality evidence that the heuristic cannot inspect. A correlation-space sanity check is consistent with the blended formula. Under equal-variance assumptions on the heuristic and LLM-only sub-scores, the algebra of</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blended = 0.4 × heuristic + 0.6 × LLM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predicts r(blended, heuristic) ≈ 0.857 from the observed r(LLM-only, heuristic) = 0.627; the observed value 0.836 sits within the cluster-bootstrap half-width of this prediction, indicating that the headline blended-versus-heuristic agreement is a transparent function of the two upstream agreements rather than an artefact of leakage or evaluator drift.</w:t>
      </w:r>
    </w:p>
    <w:p>
      <w:pPr>
        <w:pStyle w:val="BodyText"/>
        <w:spacing w:line="312" w:lineRule="auto" w:after="80"/>
        <w:ind w:firstLine="283"/>
        <w:jc w:val="both"/>
      </w:pPr>
      <w:r>
        <w:rPr>
          <w:rFonts w:ascii="Times New Roman" w:hAnsi="Times New Roman" w:eastAsia="Times New Roman" w:cs="Times New Roman"/>
          <w:color w:val="000000"/>
          <w:sz w:val="24"/>
        </w:rPr>
        <w:t xml:space="preserve">The keyword axis being stable across leakage and disjoint versions is important. It shows that the post-mitigation result is not simply an artefact of repeated responsibility sentences; both modes still respond to legitimate skill labels such as Python, React, BM25, and PostgreSQL. By contrast, the clarity axis remains low because a deterministic rule set cannot assess ownership and role-fit prose with the same nuance as the language model.</w:t>
      </w:r>
    </w:p>
    <w:bookmarkEnd w:id="91"/>
    <w:bookmarkStart w:id="92" w:name="llm-only-baseline-t2-mitigation"/>
    <w:p>
      <w:pPr>
        <w:pStyle w:val="Heading3"/>
        <w:keepNext/>
        <w:jc w:val="left"/>
      </w:pPr>
      <w:r>
        <w:rPr>
          <w:rFonts w:ascii="Times New Roman" w:hAnsi="Times New Roman" w:eastAsia="Times New Roman" w:cs="Times New Roman"/>
          <w:b/>
          <w:i/>
          <w:color w:val="000000"/>
          <w:sz w:val="24"/>
        </w:rPr>
        <w:t xml:space="preserve">4.3.1’ LLM-only baseline (T2 mitigation)</w:t>
      </w:r>
    </w:p>
    <w:p>
      <w:pPr>
        <w:pStyle w:val="FirstParagraph"/>
        <w:spacing w:line="312" w:lineRule="auto" w:after="80"/>
        <w:jc w:val="both"/>
      </w:pPr>
      <w:r>
        <w:rPr>
          <w:rFonts w:ascii="Times New Roman" w:hAnsi="Times New Roman" w:eastAsia="Times New Roman" w:cs="Times New Roman"/>
          <w:color w:val="000000"/>
          <w:sz w:val="24"/>
        </w:rPr>
        <w:t xml:space="preserve">Because the heuristic prepass is exposed to the language model as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locked payload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 3.2.3), the heuristic component of the blended score is invariant under the LLM call. The blended formula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blended = 0.4 × heuristic + 0.6 × LLM-only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therefore an exact identity, and the LLM-only score per pair is recoverable post-hoc from the blended and heuristic-only scores already reported in the manifest:</w:t>
      </w:r>
    </w:p>
    <w:p>
      <w:pPr>
        <w:pStyle w:val="BodyText"/>
        <w:spacing w:line="312" w:lineRule="auto" w:after="80"/>
        <w:ind w:firstLine="283"/>
        <w:jc w:val="both"/>
      </w:pPr>
      <w:r>
        <w:rPr>
          <w:rFonts w:ascii="Times New Roman" w:hAnsi="Times New Roman" w:eastAsia="Times New Roman" w:cs="Times New Roman"/>
          <w:color w:val="000000"/>
          <w:sz w:val="24"/>
        </w:rPr>
        <w:t xml:space="preserve">LLM-only = (blended − 0.4 × heuristic) / 0.6</w:t>
      </w:r>
    </w:p>
    <w:p>
      <w:pPr>
        <w:pStyle w:val="BodyText"/>
        <w:spacing w:line="312" w:lineRule="auto" w:after="80"/>
        <w:ind w:firstLine="283"/>
        <w:jc w:val="both"/>
      </w:pPr>
      <w:r>
        <w:rPr>
          <w:rFonts w:ascii="Times New Roman" w:hAnsi="Times New Roman" w:eastAsia="Times New Roman" w:cs="Times New Roman"/>
          <w:color w:val="000000"/>
          <w:sz w:val="24"/>
        </w:rPr>
        <w:t xml:space="preserve">This recovery requires no additional API calls; it is a deterministic algebraic transformation of the existing per-pair results. The Pearson correlation between the recovered LLM-only score and the heuristic-only score isolates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cross-mode agreement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(what the language model and the classical-IR heuristic agree on) controlling for the structural component shared between the blended and heuristic-only modes by construction. Table 4.3 reports the three pairwise correlations with cluster-bootstrap confidence intervals.</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4.3: Pairwise score correlations after LLM-only decomposition. Cluster bootstrap on resume identity, 2 000 resamples, seed = 42. The LLM-only column is recovered post-hoc from the locked-payload identity rather than from a second LLM rerun.</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1927"/>
        <w:gridCol w:w="2381"/>
        <w:gridCol w:w="2551"/>
        <w:gridCol w:w="1984"/>
      </w:tblGrid>
      <w:tr>
        <w:trPr>
          <w:tblHeader w:val="on"/>
        </w:trPr>
        <w:tc>
          <w:tcPr>
            <w:tcW w:type="dxa" w:w="1927"/>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Pair</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Pearson</w:t>
            </w:r>
            <w:r>
              <w:rPr>
                <w:rFonts w:ascii="Times New Roman" w:hAnsi="Times New Roman" w:eastAsia="Times New Roman" w:cs="Times New Roman"/>
                <w:b/>
                <w:color w:val="000000"/>
                <w:sz w:val="18"/>
              </w:rPr>
              <w:t xml:space="preserve"> </w:t>
            </w:r>
            <w:r>
              <w:rPr>
                <w:rFonts w:ascii="Times New Roman" w:hAnsi="Times New Roman" w:eastAsia="Times New Roman" w:cs="Times New Roman"/>
                <w:b/>
                <w:i/>
                <w:iCs/>
                <w:color w:val="000000"/>
                <w:sz w:val="18"/>
              </w:rPr>
              <w:t xml:space="preserve">r</w:t>
            </w:r>
          </w:p>
        </w:tc>
        <w:tc>
          <w:tcPr>
            <w:tcW w:type="dxa" w:w="255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95% CI (cluster bootstrap)</w:t>
            </w:r>
          </w:p>
        </w:tc>
        <w:tc>
          <w:tcPr>
            <w:tcW w:type="dxa" w:w="198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Spearman ρ</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Blended vs heuristic</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0.836</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[0.762, 0.896]</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0.847</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LLM-only vs heuristic</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0.627</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[0.476, 0.765]</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0.596</w:t>
            </w:r>
          </w:p>
        </w:tc>
      </w:tr>
      <w:tr>
        <w:tc>
          <w:tcPr>
            <w:tcW w:type="dxa" w:w="1927"/>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Blended vs LLM-only</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0.952</w:t>
            </w:r>
          </w:p>
        </w:tc>
        <w:tc>
          <w:tcPr>
            <w:tcW w:type="dxa" w:w="255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[0.923, 0.973]</w:t>
            </w:r>
          </w:p>
        </w:tc>
        <w:tc>
          <w:tcPr>
            <w:tcW w:type="dxa" w:w="198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The recovered LLM-only score has mean 71.29, standard deviation 8.45, median 73.33, 5th percentile 54.62, and 95th percentile 82.00. The 0.627 correlation is the honest cross-mode agreement after removing the 0.40 heuristic share embedded in the blended score; the 0.836 headline remains relevant for the operational question of what the runtime toggle changes.</w:t>
      </w:r>
    </w:p>
    <w:p>
      <w:pPr>
        <w:pStyle w:val="BodyText"/>
        <w:spacing w:line="312" w:lineRule="auto" w:after="80"/>
        <w:ind w:firstLine="283"/>
        <w:jc w:val="both"/>
      </w:pPr>
      <w:r>
        <w:rPr>
          <w:rFonts w:ascii="Times New Roman" w:hAnsi="Times New Roman" w:eastAsia="Times New Roman" w:cs="Times New Roman"/>
          <w:color w:val="000000"/>
          <w:sz w:val="24"/>
        </w:rPr>
        <w:t xml:space="preserve">The two numbers answer different questions. The LLM-only value asks how far classical IR agrees with the language model when the shared heuristic component is removed. The blended-versus-heuristic value asks what an operator loses when switching the deployed system from default blended mode to fully heuristic runtime mode.</w:t>
      </w:r>
    </w:p>
    <w:bookmarkEnd w:id="92"/>
    <w:bookmarkStart w:id="96" w:name="score-distribution"/>
    <w:p>
      <w:pPr>
        <w:pStyle w:val="Heading3"/>
        <w:keepNext/>
        <w:jc w:val="left"/>
      </w:pPr>
      <w:r>
        <w:rPr>
          <w:rFonts w:ascii="Times New Roman" w:hAnsi="Times New Roman" w:eastAsia="Times New Roman" w:cs="Times New Roman"/>
          <w:b/>
          <w:i/>
          <w:color w:val="000000"/>
          <w:sz w:val="24"/>
        </w:rPr>
        <w:t xml:space="preserve">4.3.2 Score distribution</w:t>
      </w:r>
    </w:p>
    <w:p>
      <w:pPr>
        <w:pStyle w:val="FirstParagraph"/>
        <w:keepLines/>
        <w:spacing w:line="312" w:lineRule="auto" w:after="80"/>
        <w:ind w:firstLine="0"/>
        <w:jc w:val="center"/>
      </w:pPr>
      <w:r>
        <w:rPr>
          <w:rFonts w:ascii="Times New Roman" w:hAnsi="Times New Roman" w:eastAsia="Times New Roman" w:cs="Times New Roman"/>
          <w:i/>
          <w:color w:val="000000"/>
          <w:sz w:val="24"/>
        </w:rPr>
        <w:t xml:space="preserve">Table 4.4 reports the per-mode score distribution statistics across all 100 pairs. The Kolmogorov–Smirnov distance between the two distributions complements the rank-correlation reading by reporting how differently the two modes spread the scores across the 0–100 range.</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4.4: Overall score distribution per mode (n = 100 pairs). The KS distance compares the empirical cumulative distribution functions of the two modes; smaller values indicate more similar distributions.</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154"/>
        <w:gridCol w:w="2381"/>
        <w:gridCol w:w="4309"/>
      </w:tblGrid>
      <w:tr>
        <w:trPr>
          <w:tblHeader w:val="on"/>
        </w:trPr>
        <w:tc>
          <w:tcPr>
            <w:tcW w:type="dxa" w:w="215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Statistic</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Blended mode</w:t>
            </w:r>
          </w:p>
        </w:tc>
        <w:tc>
          <w:tcPr>
            <w:tcW w:type="dxa" w:w="430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Heuristic v2 mode</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Mean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71.84</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72.66</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Standard deviation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7.19</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7.08</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Median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73.00</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74.50</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5th percentile</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58.00</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59.00</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95th percentile</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81.00</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82.00</w:t>
            </w:r>
          </w:p>
        </w:tc>
      </w:tr>
      <w:tr>
        <w:tc>
          <w:tcPr>
            <w:tcW w:type="dxa" w:w="215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KS distance vs other mode</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0.100</w:t>
            </w:r>
          </w:p>
        </w:tc>
        <w:tc>
          <w:tcPr>
            <w:tcW w:type="dxa" w:w="430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0.100</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The means differ by 0.82 points and the medians by 1.50 points, so the aggregate score distributions are close. The KS distance of 0.100 is half the leakage-version KS distance of 0.200, indicating that the disjoint-pool regeneration also tightens the per-mode distribution overlap, not only the rank agreement. Figure 4.1 visualises the two distributions.</w:t>
      </w:r>
    </w:p>
    <w:p>
      <w:pPr>
        <w:pStyle w:val="BodyText"/>
        <w:keepNext/>
        <w:spacing w:before="60" w:after="40"/>
        <w:jc w:val="center"/>
      </w:pPr>
      <w:r>
        <w:drawing>
          <wp:inline>
            <wp:extent cx="4031999" cy="2851798"/>
            <wp:effectExtent b="0" l="0" r="0" t="0"/>
            <wp:docPr descr="" title="" id="94" name="Picture"/>
            <a:graphic>
              <a:graphicData uri="http://schemas.openxmlformats.org/drawingml/2006/picture">
                <pic:pic>
                  <pic:nvPicPr>
                    <pic:cNvPr descr="figures/figure-4-1-score-distribution.png" id="95" name="Picture"/>
                    <pic:cNvPicPr>
                      <a:picLocks noChangeArrowheads="1" noChangeAspect="1"/>
                    </pic:cNvPicPr>
                  </pic:nvPicPr>
                  <pic:blipFill>
                    <a:blip r:embed="rId93"/>
                    <a:stretch>
                      <a:fillRect/>
                    </a:stretch>
                  </pic:blipFill>
                  <pic:spPr bwMode="auto">
                    <a:xfrm>
                      <a:off x="0" y="0"/>
                      <a:ext cx="4031999" cy="2851798"/>
                    </a:xfrm>
                    <a:prstGeom prst="rect">
                      <a:avLst/>
                    </a:prstGeom>
                    <a:noFill/>
                    <a:ln w="9525">
                      <a:noFill/>
                      <a:headEnd/>
                      <a:tailEnd/>
                    </a:ln>
                  </pic:spPr>
                </pic:pic>
              </a:graphicData>
            </a:graphic>
          </wp:inline>
        </w:drawing>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Figure 4.1: Distribution of overall scores across 100 synthetic (resume, JD) pairs. Top: heuristic-only mode (mean 72.66, median 74.5). Bottom: blended mode (mean 71.84, median 73.0). The dashed vertical line marks the mean and the dotted vertical line marks the median in each panel.</w:t>
      </w:r>
    </w:p>
    <w:p>
      <w:r>
        <w:br w:type="page"/>
      </w:r>
    </w:p>
    <w:bookmarkEnd w:id="96"/>
    <w:bookmarkStart w:id="97" w:name="latency"/>
    <w:p>
      <w:pPr>
        <w:pStyle w:val="Heading3"/>
        <w:keepNext/>
        <w:jc w:val="left"/>
      </w:pPr>
      <w:r>
        <w:rPr>
          <w:rFonts w:ascii="Times New Roman" w:hAnsi="Times New Roman" w:eastAsia="Times New Roman" w:cs="Times New Roman"/>
          <w:b/>
          <w:i/>
          <w:color w:val="000000"/>
          <w:sz w:val="24"/>
        </w:rPr>
        <w:t xml:space="preserve">4.3.3 Latency</w:t>
      </w:r>
    </w:p>
    <w:p>
      <w:pPr>
        <w:pStyle w:val="FirstParagraph"/>
        <w:spacing w:line="312" w:lineRule="auto" w:after="80"/>
        <w:jc w:val="both"/>
      </w:pPr>
      <w:r>
        <w:rPr>
          <w:rFonts w:ascii="Times New Roman" w:hAnsi="Times New Roman" w:eastAsia="Times New Roman" w:cs="Times New Roman"/>
          <w:color w:val="000000"/>
          <w:sz w:val="24"/>
        </w:rPr>
        <w:t xml:space="preserve">Wall-clock service-side latency for a single tool invocation is summarised in Table 4.5. The blended-mode figure is dominated by the upstream Gemini structured-output inference call; the heuristic-only mode runs entirely as local string processing.</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4.5: Service-side latency for a single tool invocation, in milliseconds, with the per-row blended-to-heuristic ratio. The maximum-observed row reflects one retry-after-timeout case absorbed by the four-retry exponential-backoff policy described in Section 3.1.1.</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1927"/>
        <w:gridCol w:w="2381"/>
        <w:gridCol w:w="2551"/>
        <w:gridCol w:w="1984"/>
      </w:tblGrid>
      <w:tr>
        <w:trPr>
          <w:tblHeader w:val="on"/>
        </w:trPr>
        <w:tc>
          <w:tcPr>
            <w:tcW w:type="dxa" w:w="1927"/>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Metric</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Blended (ms)</w:t>
            </w:r>
          </w:p>
        </w:tc>
        <w:tc>
          <w:tcPr>
            <w:tcW w:type="dxa" w:w="255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Heuristic v2 (ms)</w:t>
            </w:r>
          </w:p>
        </w:tc>
        <w:tc>
          <w:tcPr>
            <w:tcW w:type="dxa" w:w="198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Ratio</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Median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18 232.1</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25.5</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714×</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95th percentile</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24 713.7</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32.1</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770×</w:t>
            </w:r>
          </w:p>
        </w:tc>
      </w:tr>
      <w:tr>
        <w:tc>
          <w:tcPr>
            <w:tcW w:type="dxa" w:w="1927"/>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Maximum observed</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65 926.6</w:t>
            </w:r>
          </w:p>
        </w:tc>
        <w:tc>
          <w:tcPr>
            <w:tcW w:type="dxa" w:w="255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34.1</w:t>
            </w:r>
          </w:p>
        </w:tc>
        <w:tc>
          <w:tcPr>
            <w:tcW w:type="dxa" w:w="198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1 933×</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Blended latency is dominated by Gemini structured-output inference over approximately 608 input tokens plus prompt overhead and 1 118 output tokens. The maximum of 65 926.6 ms reflects one retry-after-timeout case handled by the retry policy. Heuristic v2 runs in tens of milliseconds and satisfies the N1a target from Section 2.1.2. Component-level decomposition between token generation, network round-trip, and serialisation overhead was not instrumented in the prototype; future work could profile this granularity (for instance via OpenTelemetry spans on the Vertex AI client or middleware timing decorators) to localise optimisation targets. The two-to-three-orders-of-magnitude latency gap is the operational rationale for keeping both modes runtime-switchable rather than committing to one path.</w:t>
      </w:r>
    </w:p>
    <w:bookmarkEnd w:id="97"/>
    <w:bookmarkStart w:id="98" w:name="per-call-cost"/>
    <w:p>
      <w:pPr>
        <w:pStyle w:val="Heading3"/>
        <w:keepNext/>
        <w:jc w:val="left"/>
      </w:pPr>
      <w:r>
        <w:rPr>
          <w:rFonts w:ascii="Times New Roman" w:hAnsi="Times New Roman" w:eastAsia="Times New Roman" w:cs="Times New Roman"/>
          <w:b/>
          <w:i/>
          <w:color w:val="000000"/>
          <w:sz w:val="24"/>
        </w:rPr>
        <w:t xml:space="preserve">4.3.4 Per-call cost</w:t>
      </w:r>
    </w:p>
    <w:p>
      <w:pPr>
        <w:pStyle w:val="FirstParagraph"/>
        <w:spacing w:line="312" w:lineRule="auto" w:after="80"/>
        <w:jc w:val="both"/>
      </w:pPr>
      <w:r>
        <w:rPr>
          <w:rFonts w:ascii="Times New Roman" w:hAnsi="Times New Roman" w:eastAsia="Times New Roman" w:cs="Times New Roman"/>
          <w:color w:val="000000"/>
          <w:sz w:val="24"/>
        </w:rPr>
        <w:t xml:space="preserve">Cost uses the Vertex AI Gemini 2.5 Flash rates in effect at measurement time: input $0.075 / 1 M tokens and output $0.30 / 1 M tokens. The blended run used an estimated 608 input tokens and 1 118 output tokens per call on average; Table 4.6 summarises the resulting per-call and projected monthly cost figures.</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4.6: Per-call LLM-side cost, in US dollars, at the Vertex AI Gemini 2.5 Flash rates in effect at measurement time. The estimator follows the ~4-characters-per-token rule of thumb and does not include all server-side prompt overhead, so the figures are order-of-magnitude rather than billing-grade.</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154"/>
        <w:gridCol w:w="2381"/>
        <w:gridCol w:w="4309"/>
      </w:tblGrid>
      <w:tr>
        <w:trPr>
          <w:tblHeader w:val="on"/>
        </w:trPr>
        <w:tc>
          <w:tcPr>
            <w:tcW w:type="dxa" w:w="215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Statistic</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Blended mode</w:t>
            </w:r>
          </w:p>
        </w:tc>
        <w:tc>
          <w:tcPr>
            <w:tcW w:type="dxa" w:w="430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Heuristic v2 mode</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Average per-call cost</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$0.00038</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$0.00000</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95th-percentile per-call cost</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$0.00042</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$0.00000</w:t>
            </w:r>
          </w:p>
        </w:tc>
      </w:tr>
      <w:tr>
        <w:tc>
          <w:tcPr>
            <w:tcW w:type="dxa" w:w="215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Projected monthly cost at 1 000 analyses/day</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$11.43</w:t>
            </w:r>
          </w:p>
        </w:tc>
        <w:tc>
          <w:tcPr>
            <w:tcW w:type="dxa" w:w="430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Token counts are approximations following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~4 characters per token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rule of thumb that the Vertex AI documentation uses. The input-token figure counts the resume and the job description text the harness sends; the system prompt and the locked-payload block are configured server-side in the analytical service and contribute additional per-call overhead that is not captured by the harness’s estimator. Exact tokeniser-derived counts are deferred to future work; the headline cost claim in this section is an order-of-magnitude statement, not a billing-grade figure. The recomputation that produces this table is implemented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scripts/recompute_eval_cost.py</w:t>
      </w:r>
      <w:r>
        <w:rPr>
          <w:rFonts w:ascii="Times New Roman" w:hAnsi="Times New Roman" w:eastAsia="Times New Roman" w:cs="Times New Roman"/>
          <w:color w:val="000000"/>
          <w:sz w:val="24"/>
        </w:rPr>
        <w:t xml:space="preserve">, which rebuilds the prompt for every pair without a second LLM call.</w:t>
      </w:r>
    </w:p>
    <w:p>
      <w:pPr>
        <w:pStyle w:val="BodyText"/>
        <w:spacing w:line="312" w:lineRule="auto" w:after="80"/>
        <w:ind w:firstLine="283"/>
        <w:jc w:val="both"/>
      </w:pPr>
      <w:r>
        <w:rPr>
          <w:rFonts w:ascii="Times New Roman" w:hAnsi="Times New Roman" w:eastAsia="Times New Roman" w:cs="Times New Roman"/>
          <w:color w:val="000000"/>
          <w:sz w:val="24"/>
        </w:rPr>
        <w:t xml:space="preserve">This absolute cost is small at thesis scale, but the ratio matters for mode design. A demonstration, outage fallback, or high-volume preview flow can use the heuristic path without accumulating third-party inference cost. The blended path can then be reserved for cases where richer explanations are worth the additional latency.</w:t>
      </w:r>
    </w:p>
    <w:bookmarkEnd w:id="98"/>
    <w:bookmarkStart w:id="99" w:name="Xc5b9496d48d597ec2064019f244ae133cf5ccd1"/>
    <w:p>
      <w:pPr>
        <w:pStyle w:val="Heading3"/>
        <w:keepNext/>
        <w:jc w:val="left"/>
      </w:pPr>
      <w:r>
        <w:rPr>
          <w:rFonts w:ascii="Times New Roman" w:hAnsi="Times New Roman" w:eastAsia="Times New Roman" w:cs="Times New Roman"/>
          <w:b/>
          <w:i/>
          <w:color w:val="000000"/>
          <w:sz w:val="24"/>
        </w:rPr>
        <w:t xml:space="preserve">4.3.5 Sensitivity to the score-combination weights</w:t>
      </w:r>
    </w:p>
    <w:p>
      <w:pPr>
        <w:pStyle w:val="FirstParagraph"/>
        <w:spacing w:line="312" w:lineRule="auto" w:after="80"/>
        <w:jc w:val="both"/>
      </w:pPr>
      <w:r>
        <w:rPr>
          <w:rFonts w:ascii="Times New Roman" w:hAnsi="Times New Roman" w:eastAsia="Times New Roman" w:cs="Times New Roman"/>
          <w:color w:val="000000"/>
          <w:sz w:val="24"/>
        </w:rP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 Table 4.7 reports the result.</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4.7: Sensitivity of the blended-versus-heuristic agreement to the score-combination weights. The Δ row shows the absolute movement after switching from the author-selected weighting to equal weights.</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154"/>
        <w:gridCol w:w="2381"/>
        <w:gridCol w:w="4309"/>
      </w:tblGrid>
      <w:tr>
        <w:trPr>
          <w:tblHeader w:val="on"/>
        </w:trPr>
        <w:tc>
          <w:tcPr>
            <w:tcW w:type="dxa" w:w="215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Weighting</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Pearson</w:t>
            </w:r>
            <w:r>
              <w:rPr>
                <w:rFonts w:ascii="Times New Roman" w:hAnsi="Times New Roman" w:eastAsia="Times New Roman" w:cs="Times New Roman"/>
                <w:b/>
                <w:color w:val="000000"/>
                <w:sz w:val="18"/>
              </w:rPr>
              <w:t xml:space="preserve"> </w:t>
            </w:r>
            <w:r>
              <w:rPr>
                <w:rFonts w:ascii="Times New Roman" w:hAnsi="Times New Roman" w:eastAsia="Times New Roman" w:cs="Times New Roman"/>
                <w:b/>
                <w:i/>
                <w:iCs/>
                <w:color w:val="000000"/>
                <w:sz w:val="18"/>
              </w:rPr>
              <w:t xml:space="preserve">r</w:t>
            </w:r>
          </w:p>
        </w:tc>
        <w:tc>
          <w:tcPr>
            <w:tcW w:type="dxa" w:w="430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Spearman ρ</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Author-selected (0.30, 0.25, 0.15, 0.15, 0.15)</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0.836</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0.847</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Equal (0.20 across all five)</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0.813</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0.823</w:t>
            </w:r>
          </w:p>
        </w:tc>
      </w:tr>
      <w:tr>
        <w:tc>
          <w:tcPr>
            <w:tcW w:type="dxa" w:w="215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Δ</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−0.023</w:t>
            </w:r>
          </w:p>
        </w:tc>
        <w:tc>
          <w:tcPr>
            <w:tcW w:type="dxa" w:w="430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−0.024</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Pearson moves by Δ = −0.023 and Spearman by Δ = −0.024 after rounding to three decimals. Both remain above the practical 0.7 interpretation anchor, so the value-association result is not dependent on the exact heuristic sub-score weighting choice. The rank-agreement reading is similarly robust; the comparative claim of Section 4.3.1 is therefore weighting-invariant within this evaluation set rather than weighting-specific.</w:t>
      </w:r>
    </w:p>
    <w:bookmarkEnd w:id="99"/>
    <w:bookmarkStart w:id="100" w:name="heuristic-enhancement-ablation-stage-h"/>
    <w:p>
      <w:pPr>
        <w:pStyle w:val="Heading3"/>
        <w:keepNext/>
        <w:jc w:val="left"/>
      </w:pPr>
      <w:r>
        <w:rPr>
          <w:rFonts w:ascii="Times New Roman" w:hAnsi="Times New Roman" w:eastAsia="Times New Roman" w:cs="Times New Roman"/>
          <w:b/>
          <w:i/>
          <w:color w:val="000000"/>
          <w:sz w:val="24"/>
        </w:rPr>
        <w:t xml:space="preserve">4.3.6 Heuristic-enhancement ablation (Stage H)</w:t>
      </w:r>
    </w:p>
    <w:p>
      <w:pPr>
        <w:pStyle w:val="FirstParagraph"/>
        <w:spacing w:line="312" w:lineRule="auto" w:after="80"/>
        <w:jc w:val="both"/>
      </w:pPr>
      <w:r>
        <w:rPr>
          <w:rFonts w:ascii="Times New Roman" w:hAnsi="Times New Roman" w:eastAsia="Times New Roman" w:cs="Times New Roman"/>
          <w:color w:val="000000"/>
          <w:sz w:val="24"/>
        </w:rPr>
        <w:t xml:space="preserve">Stage H tested whether targeted heuristic enhancements could close the LLM-only residual without adding a deployed neural dependency. A separate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quality_signals_v3.py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module added five gated signals: SBERT semantic fallback with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all-MiniLM-L6-v2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at cosine threshold 0.65 (H.1), STAR-format detection (H.2), cross-axis coherence checks (H.3), bigram/trigram matching (H.4), and ESCO expansion from 107 to 354 entries (H.5). Each variant was compared against the same post-hoc LLM-only baseline, so no additional LLM calls were issued.</w:t>
      </w:r>
    </w:p>
    <w:p>
      <w:pPr>
        <w:pStyle w:val="BodyText"/>
        <w:keepLines/>
        <w:spacing w:line="312" w:lineRule="auto" w:after="80"/>
        <w:ind w:firstLine="0"/>
        <w:jc w:val="center"/>
      </w:pPr>
      <w:r>
        <w:rPr>
          <w:rFonts w:ascii="Times New Roman" w:hAnsi="Times New Roman" w:eastAsia="Times New Roman" w:cs="Times New Roman"/>
          <w:i/>
          <w:color w:val="000000"/>
          <w:sz w:val="24"/>
        </w:rPr>
        <w:t xml:space="preserve">Table 4.8 reports the Pearson correlation against the post-hoc LLM-only score for each variant, with the cluster-bootstrap interval and the absolute delta against the v2 baseline.</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4.8: Stage H ablation. Pearson correlation between each variant and the post-hoc LLM-only score, with cluster-bootstrap 95% confidence intervals (</w:t>
      </w:r>
      <w:r>
        <w:rPr>
          <w:rStyle w:val="VerbatimChar"/>
          <w:rFonts w:ascii="Times New Roman" w:hAnsi="Times New Roman" w:eastAsia="Times New Roman" w:cs="Times New Roman"/>
          <w:i/>
          <w:iCs/>
          <w:color w:val="000000"/>
          <w:sz w:val="24"/>
        </w:rPr>
        <w:t xml:space="preserve">resume_id</w:t>
      </w:r>
      <w:r>
        <w:rPr>
          <w:rFonts w:ascii="Times New Roman" w:hAnsi="Times New Roman" w:eastAsia="Times New Roman" w:cs="Times New Roman"/>
          <w:i/>
          <w:iCs/>
          <w:color w:val="000000"/>
          <w:sz w:val="24"/>
        </w:rPr>
        <w:t xml:space="preserve"> </w:t>
      </w:r>
      <w:r>
        <w:rPr>
          <w:rFonts w:ascii="Times New Roman" w:hAnsi="Times New Roman" w:eastAsia="Times New Roman" w:cs="Times New Roman"/>
          <w:i/>
          <w:iCs/>
          <w:color w:val="000000"/>
          <w:sz w:val="24"/>
        </w:rPr>
        <w:t xml:space="preserve">clusters, 2 000 resamples, seed = 42). Bold rows mark the v2 baseline and the full v3 stack endpoints of the ablation.</w:t>
      </w:r>
    </w:p>
    <w:tbl>
      <w:tblPr>
        <w:tblW w:type="dxa" w:w="8618"/>
        <w:jc w:val="center"/>
        <w:tblLayout w:type="fixed"/>
        <w:tblLook w:firstRow="1" w:lastRow="0" w:firstColumn="0" w:lastColumn="0" w:noHBand="0" w:noVBand="0" w:val="0020"/>
        <w:tblCellMar>
          <w:top w:w="65" w:type="dxa"/>
          <w:left w:w="65" w:type="dxa"/>
          <w:bottom w:w="65" w:type="dxa"/>
          <w:right w:w="65" w:type="dxa"/>
        </w:tblCellMar>
      </w:tblPr>
      <w:tblGrid>
        <w:gridCol w:w="2891"/>
        <w:gridCol w:w="1814"/>
        <w:gridCol w:w="1530"/>
        <w:gridCol w:w="1247"/>
        <w:gridCol w:w="1134"/>
      </w:tblGrid>
      <w:tr>
        <w:trPr>
          <w:tblHeader w:val="on"/>
        </w:trPr>
        <w:tc>
          <w:tcPr>
            <w:tcW w:type="dxa" w:w="289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Variant</w:t>
            </w:r>
          </w:p>
        </w:tc>
        <w:tc>
          <w:tcPr>
            <w:tcW w:type="dxa" w:w="181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Pearson</w:t>
            </w:r>
            <w:r>
              <w:rPr>
                <w:rFonts w:ascii="Times New Roman" w:hAnsi="Times New Roman" w:eastAsia="Times New Roman" w:cs="Times New Roman"/>
                <w:b/>
                <w:color w:val="000000"/>
                <w:sz w:val="18"/>
              </w:rPr>
              <w:t xml:space="preserve"> </w:t>
            </w:r>
            <w:r>
              <w:rPr>
                <w:rFonts w:ascii="Times New Roman" w:hAnsi="Times New Roman" w:eastAsia="Times New Roman" w:cs="Times New Roman"/>
                <w:b/>
                <w:i/>
                <w:iCs/>
                <w:color w:val="000000"/>
                <w:sz w:val="18"/>
              </w:rPr>
              <w:t xml:space="preserve">r</w:t>
            </w:r>
          </w:p>
        </w:tc>
        <w:tc>
          <w:tcPr>
            <w:tcW w:type="dxa" w:w="153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95% CI</w:t>
            </w:r>
          </w:p>
        </w:tc>
        <w:tc>
          <w:tcPr>
            <w:tcW w:type="dxa" w:w="1247"/>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Spearman ρ</w:t>
            </w:r>
          </w:p>
        </w:tc>
        <w:tc>
          <w:tcPr>
            <w:tcW w:type="dxa" w:w="113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Δ vs v2</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heuristic-v2 (BM25 + ESCO + fuzzy)</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0.627</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[0.470, 0.758]</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0.596</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baseline</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heuristic-v3 with no Stage H features</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0.627</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[0.470, 0.758]</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0.596</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+0.000</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Bigram/trigram matching (H.4)</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0.629</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[0.470, 0.758]</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0.583</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+0.002</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SBERT semantic fallback (H.1)</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0.623</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[0.452, 0.759]</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0.573</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−0.004</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STAR detection (H.2)</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0.621</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[0.463, 0.755]</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0.596</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−0.006</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ESCO expansion 107 → 354 (H.5)</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0.617</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[0.461, 0.752]</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0.578</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−0.009</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Cross-axis coherence (H.3)</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0.605</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[0.438, 0.746]</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0.568</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−0.022</w:t>
            </w:r>
          </w:p>
        </w:tc>
      </w:tr>
      <w:tr>
        <w:tc>
          <w:tcPr>
            <w:tcW w:type="dxa" w:w="289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heuristic-v3 full stack</w:t>
            </w:r>
          </w:p>
        </w:tc>
        <w:tc>
          <w:tcPr>
            <w:tcW w:type="dxa" w:w="181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0.590</w:t>
            </w:r>
          </w:p>
        </w:tc>
        <w:tc>
          <w:tcPr>
            <w:tcW w:type="dxa" w:w="153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[0.415, 0.735]</w:t>
            </w:r>
          </w:p>
        </w:tc>
        <w:tc>
          <w:tcPr>
            <w:tcW w:type="dxa" w:w="1247"/>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0.556</w:t>
            </w:r>
          </w:p>
        </w:tc>
        <w:tc>
          <w:tcPr>
            <w:tcW w:type="dxa" w:w="113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−0.036</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The result is a controlled null with small negative drift in the full configuration.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v3-empty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reproduces v2 exactly to three decimals, validating the module boundary. Single-feature deltas range from +0.002 to −0.022 and remain inside the cluster-bootstrap interval width on the 100-pair set, so none of the variants are statistically distinguishable from the v2 baseline. The full v3 stack falls to</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0.590 (Δ = −0.036), suggesting that small false-positive effects compound when all five gated signals fire simultaneously.</w:t>
      </w:r>
    </w:p>
    <w:p>
      <w:pPr>
        <w:pStyle w:val="BodyText"/>
        <w:spacing w:line="312" w:lineRule="auto" w:after="80"/>
        <w:ind w:firstLine="283"/>
        <w:jc w:val="both"/>
      </w:pPr>
      <w:r>
        <w:rPr>
          <w:rFonts w:ascii="Times New Roman" w:hAnsi="Times New Roman" w:eastAsia="Times New Roman" w:cs="Times New Roman"/>
          <w:color w:val="000000"/>
          <w:sz w:val="24"/>
        </w:rPr>
        <w:t xml:space="preserve">The likely explanation is that the synthetic benchmark already exposes canonical skill overlap, so extra keyword recall through SBERT, n-grams, or ESCO expansion adds little. The remaining gap to the LLM-only score reflects prose quality, narrative coherence, and role-fit judgement rather than missing keyword evidence. The ablation is reproducible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scripts/eval_scoring_v3_ablation.py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scripts/analyze_v3_ablation.py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backend/app/services/quality_signals_v3.py</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backend/app/data/esco_skills_expanded.json</w:t>
      </w:r>
      <w:r>
        <w:rPr>
          <w:rFonts w:ascii="Times New Roman" w:hAnsi="Times New Roman" w:eastAsia="Times New Roman" w:cs="Times New Roman"/>
          <w:color w:val="000000"/>
          <w:sz w:val="24"/>
        </w:rPr>
        <w:t xml:space="preserve">; PyTorch and sentence-transformers stay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backend/requirements-thesis-eval.txt</w:t>
      </w:r>
      <w:r>
        <w:rPr>
          <w:rFonts w:ascii="Times New Roman" w:hAnsi="Times New Roman" w:eastAsia="Times New Roman" w:cs="Times New Roman"/>
          <w:color w:val="000000"/>
          <w:sz w:val="24"/>
        </w:rPr>
        <w:t xml:space="preserve">, outside the production requirements.</w:t>
      </w:r>
    </w:p>
    <w:p>
      <w:pPr>
        <w:pStyle w:val="BodyText"/>
        <w:spacing w:line="312" w:lineRule="auto" w:after="80"/>
        <w:ind w:firstLine="283"/>
        <w:jc w:val="both"/>
      </w:pPr>
      <w:r>
        <w:rPr>
          <w:rFonts w:ascii="Times New Roman" w:hAnsi="Times New Roman" w:eastAsia="Times New Roman" w:cs="Times New Roman"/>
          <w:color w:val="000000"/>
          <w:sz w:val="24"/>
        </w:rPr>
        <w:t xml:space="preserve">This null result is still useful. It prevents the future-work section from overstating sentence-transformer matching as an obvious next production step. On this benchmark, the strict v2 heuristic is already near the available keyword-and-structure ceiling, and the unresolved gap sits in evidence classes that require either different features or a different evaluation surface.</w:t>
      </w:r>
    </w:p>
    <w:bookmarkEnd w:id="100"/>
    <w:bookmarkStart w:id="101" w:name="Xcff2c0d3320ec1ce82f83c9b1d53013643ebe8f"/>
    <w:p>
      <w:pPr>
        <w:pStyle w:val="Heading3"/>
        <w:keepNext/>
        <w:jc w:val="left"/>
      </w:pPr>
      <w:r>
        <w:rPr>
          <w:rFonts w:ascii="Times New Roman" w:hAnsi="Times New Roman" w:eastAsia="Times New Roman" w:cs="Times New Roman"/>
          <w:b/>
          <w:i/>
          <w:color w:val="000000"/>
          <w:sz w:val="24"/>
        </w:rPr>
        <w:t xml:space="preserve">4.3.7 Implementation note on Stage H reproducibility</w:t>
      </w:r>
    </w:p>
    <w:p>
      <w:pPr>
        <w:pStyle w:val="FirstParagraph"/>
        <w:spacing w:line="312" w:lineRule="auto" w:after="80"/>
        <w:jc w:val="both"/>
      </w:pPr>
      <w:r>
        <w:rPr>
          <w:rFonts w:ascii="Times New Roman" w:hAnsi="Times New Roman" w:eastAsia="Times New Roman" w:cs="Times New Roman"/>
          <w:color w:val="000000"/>
          <w:sz w:val="24"/>
        </w:rPr>
        <w:t xml:space="preserve">The ablation reuses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 Stage G and recovers LLM-only scores through the identity in Section 4.3.1’. It runs in approximately 4 minutes on commodity hardware: about 110 s for SBERT first load and inference, and about 10 s combined for deterministic variants. This keeps Stage H as a research artefact rather than a production dependency.</w:t>
      </w:r>
    </w:p>
    <w:bookmarkEnd w:id="101"/>
    <w:bookmarkEnd w:id="102"/>
    <w:bookmarkStart w:id="103" w:name="discussion-and-limitations"/>
    <w:p>
      <w:pPr>
        <w:pStyle w:val="Heading2"/>
        <w:keepNext/>
        <w:jc w:val="left"/>
      </w:pPr>
      <w:r>
        <w:rPr>
          <w:rFonts w:ascii="Times New Roman" w:hAnsi="Times New Roman" w:eastAsia="Times New Roman" w:cs="Times New Roman"/>
          <w:b/>
          <w:i w:val="0"/>
          <w:color w:val="000000"/>
          <w:sz w:val="28"/>
        </w:rPr>
        <w:t xml:space="preserve">4.4 Discussion and limitations</w:t>
      </w:r>
    </w:p>
    <w:p>
      <w:pPr>
        <w:pStyle w:val="FirstParagraph"/>
        <w:spacing w:line="312" w:lineRule="auto" w:after="80"/>
        <w:jc w:val="both"/>
      </w:pPr>
      <w:r>
        <w:rPr>
          <w:rFonts w:ascii="Times New Roman" w:hAnsi="Times New Roman" w:eastAsia="Times New Roman" w:cs="Times New Roman"/>
          <w:color w:val="000000"/>
          <w:sz w:val="24"/>
        </w:rPr>
        <w:t xml:space="preserve">Within this synthetic evaluation set, the fully heuristic mode recovers most of the blended mode’s aggregate discrimination: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0.836 [95% CI 0.762, 0.896], Spearman ρ = 0.847, median latency 25.5 ms rather than 18.2 s, and zero LLM-side marginal cost. After removing the structural 0.40 heuristic share in the blended formula, LLM-only versus heuristic agreement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0.627 [95% CI 0.476, 0.765]. The deterministic baseline is therefore strong enough to justify deployment as a fallback and runtime mode, while the blended mode remains valuable for qualitative explanations and clarity-sensitive judgement.</w:t>
      </w:r>
    </w:p>
    <w:p>
      <w:pPr>
        <w:pStyle w:val="BodyText"/>
        <w:spacing w:line="312" w:lineRule="auto" w:after="80"/>
        <w:ind w:firstLine="283"/>
        <w:jc w:val="both"/>
      </w:pPr>
      <w:r>
        <w:rPr>
          <w:rFonts w:ascii="Times New Roman" w:hAnsi="Times New Roman" w:eastAsia="Times New Roman" w:cs="Times New Roman"/>
          <w:color w:val="000000"/>
          <w:sz w:val="24"/>
        </w:rPr>
        <w:t xml:space="preserve">Four limitations constrain the claim.</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Single-language scope: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all evaluation resumes and job descriptions are in English, although ESCO is multilingual.</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Single-subject evaluation: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one author synthesised all 30 resumes, so stylistic regularities may not generalise.</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 LLM provider: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blended mode uses Gemini 2.5 Flash only.</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Bias and fairness: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benchmark has no demographic annotations and cannot support disparate-impact analysis; production deployment beyond thesis scope would require a fairness audit aligned with algorithmic-hiring literature [22, 23, 24].</w:t>
      </w:r>
    </w:p>
    <w:p>
      <w:pPr>
        <w:pStyle w:val="BodyText"/>
        <w:spacing w:line="312" w:lineRule="auto" w:after="80"/>
        <w:ind w:firstLine="283"/>
        <w:jc w:val="both"/>
      </w:pPr>
      <w:r>
        <w:rPr>
          <w:rFonts w:ascii="Times New Roman" w:hAnsi="Times New Roman" w:eastAsia="Times New Roman" w:cs="Times New Roman"/>
          <w:color w:val="000000"/>
          <w:sz w:val="24"/>
        </w:rPr>
        <w:t xml:space="preserve">The per-sub-score breakdown is the most useful diagnostic result. Keywords and structure converge strongly, while clarity diverges. This explains why the heuristic can be fast, cheap, and operationally useful without replacing the LLM component entirely.</w:t>
      </w:r>
    </w:p>
    <w:p>
      <w:pPr>
        <w:pStyle w:val="BodyText"/>
        <w:spacing w:line="312" w:lineRule="auto" w:after="80"/>
        <w:ind w:firstLine="283"/>
        <w:jc w:val="both"/>
      </w:pPr>
      <w:r>
        <w:rPr>
          <w:rFonts w:ascii="Times New Roman" w:hAnsi="Times New Roman" w:eastAsia="Times New Roman" w:cs="Times New Roman"/>
          <w:color w:val="000000"/>
          <w:sz w:val="24"/>
        </w:rPr>
        <w:t xml:space="preserve">A final limitation concerns trend awareness. The approved topic includes current job-market trends, but the implemented system reasons over a static resume and the current text of a job description. It does not model posting-frequency changes, regional demand, salary movement, or temporal skill adoption. Those signals would require a separate labour-market data layer and are left to future work.</w:t>
      </w:r>
    </w:p>
    <w:bookmarkEnd w:id="103"/>
    <w:bookmarkEnd w:id="104"/>
    <w:bookmarkStart w:id="108" w:name="chapter-5-conclusions"/>
    <w:p>
      <w:pPr>
        <w:pStyle w:val="Heading1"/>
        <w:keepNext/>
        <w:pageBreakBefore/>
        <w:spacing w:before="480" w:after="240"/>
        <w:jc w:val="left"/>
      </w:pPr>
      <w:r>
        <w:rPr>
          <w:rFonts w:ascii="Times New Roman" w:hAnsi="Times New Roman" w:eastAsia="Times New Roman" w:cs="Times New Roman"/>
          <w:b/>
          <w:i w:val="0"/>
          <w:color w:val="000000"/>
          <w:sz w:val="36"/>
        </w:rPr>
        <w:t xml:space="preserve">Chapter 5 — Conclusions</w:t>
      </w:r>
    </w:p>
    <w:p>
      <w:pPr>
        <w:pStyle w:val="FirstParagraph"/>
        <w:spacing w:line="312" w:lineRule="auto" w:after="80"/>
        <w:jc w:val="both"/>
      </w:pPr>
      <w:r>
        <w:rPr>
          <w:rFonts w:ascii="Times New Roman" w:hAnsi="Times New Roman" w:eastAsia="Times New Roman" w:cs="Times New Roman"/>
          <w:color w:val="000000"/>
          <w:sz w:val="24"/>
        </w:rPr>
        <w:t xml:space="preserve">This thesis presented the design, implementation, and empirical evaluation of a system for personalised career recommendation, scoped as a Bachelor-level engineering thesis at the Faculty of Electronics, Photonics and Microsystems of Wrocław University of Science and Technology.</w:t>
      </w:r>
    </w:p>
    <w:bookmarkStart w:id="105" w:name="results-1"/>
    <w:p>
      <w:pPr>
        <w:pStyle w:val="Heading2"/>
        <w:keepNext/>
        <w:jc w:val="left"/>
      </w:pPr>
      <w:r>
        <w:rPr>
          <w:rFonts w:ascii="Times New Roman" w:hAnsi="Times New Roman" w:eastAsia="Times New Roman" w:cs="Times New Roman"/>
          <w:b/>
          <w:i w:val="0"/>
          <w:color w:val="000000"/>
          <w:sz w:val="28"/>
        </w:rPr>
        <w:t xml:space="preserve">5.1 Results</w:t>
      </w:r>
    </w:p>
    <w:p>
      <w:pPr>
        <w:pStyle w:val="FirstParagraph"/>
        <w:spacing w:line="312" w:lineRule="auto" w:after="80"/>
        <w:jc w:val="both"/>
      </w:pPr>
      <w:r>
        <w:rPr>
          <w:rFonts w:ascii="Times New Roman" w:hAnsi="Times New Roman" w:eastAsia="Times New Roman" w:cs="Times New Roman"/>
          <w:b/>
          <w:bCs/>
          <w:color w:val="000000"/>
          <w:sz w:val="24"/>
        </w:rPr>
        <w:t xml:space="preserve">A deployed integrated system.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system is deployed on Railway as a single application surface and integrates six tools: Resume Analyzer, Job Match, Career Path, Cover Letter, Interview Q&amp;A, and Portfolio Planner. Chapters 2 and 3 documented the architecture, the shared pipeline, and the tool implementations. The system supports authenticated accounts, guest demonstrations, persisted tool history, regeneration chains, and runtime switching between scoring modes.</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A defendable heuristic baseline.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Chapter 4 introduced strong heuristic v2, a strictly non-neural scoring pipeline based on TF–IDF and BM25 [5, 6], ESCO-aligned skill normalisation [8, 9, 12], string-similarity fuzzy matching [7], section-weighted evidence [18], quantification detection, and action-verb scoring. The score-combination weights are author-selected but were checked through the sensitivity analysis in Section 4.3.5.</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A characterisation of the heuristic-versus-blended trade-off.</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 4.3 reported four metric families measured across 100 (resume, job-description) pairs on the post-mitigation disjoint-vocabulary dataset. On the overall score the heuristic mode tracks the blended mode at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0.836 [95% CI 0.762, 0.896 under cluster bootstrap on resume identity] and Spearman ρ = 0.847, both well above the 0.7 reference threshold, while running roughly two-to-three orders of magnitude faster (median 25.5 ms versus 18.2 s) at zero LLM-side marginal cost. The post-hoc LLM-only-versus-heuristic correlation, isolated from the structural blended-formula component (Section 4.3.1’, T2 mitigation),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0.627 [95% CI 0.476, 0.765]; this is the cross-mode agreement after controlling for the 0.40 heuristic share that the blended mode carries by construction. The agreement is dominated by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keywords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axis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0.937), where both modes consume the same evidence, and is weakest on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clarity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axis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0.395), where the language model contributes prose-quality evidence the heuristic does not see. Independently of the aggregate numbers, the blended mode produces qualitatively richer prose recommendations that the heuristic does not attempt to produce; this qualitative dimension is reserved for separate user-research investigation.</w:t>
      </w:r>
    </w:p>
    <w:p>
      <w:pPr>
        <w:pStyle w:val="BodyText"/>
        <w:spacing w:line="312" w:lineRule="auto" w:after="80"/>
        <w:ind w:firstLine="283"/>
        <w:jc w:val="both"/>
      </w:pPr>
      <w:r>
        <w:rPr>
          <w:rFonts w:ascii="Times New Roman" w:hAnsi="Times New Roman" w:eastAsia="Times New Roman" w:cs="Times New Roman"/>
          <w:color w:val="000000"/>
          <w:sz w:val="24"/>
        </w:rPr>
        <w:t xml:space="preserve">With the benefit of hindsight, the single decision the author would change is the order in which the tools were built. The first months of work went into the Resume Analyzer and the Job Match tool, each shipped as a self-contained pipeline with its own cache, its own persistence call, and its own observability boilerplate copy-pasted from the other. Only after the third tool joined the system did the duplication become painful enough to motivate the shared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run_tool_pipeline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refactor. A more disciplined approach would have written the pipeline first and built the first tool against it, even at the cost of a slightly slower start; a meaningful fraction of the early bugs in this project turned out to be variations on the same forgotten cache-key argument across three nearly-identical service modules.</w:t>
      </w:r>
    </w:p>
    <w:p>
      <w:pPr>
        <w:pStyle w:val="BodyText"/>
        <w:spacing w:line="312" w:lineRule="auto" w:after="80"/>
        <w:ind w:firstLine="283"/>
        <w:jc w:val="both"/>
      </w:pPr>
      <w:r>
        <w:rPr>
          <w:rFonts w:ascii="Times New Roman" w:hAnsi="Times New Roman" w:eastAsia="Times New Roman" w:cs="Times New Roman"/>
          <w:color w:val="000000"/>
          <w:sz w:val="24"/>
        </w:rPr>
        <w:t xml:space="preserve">The main research lesson is methodological: a deterministic baseline should be measured rather than treated as a fallback of last resort. Before the comparison, heuristic mode existed mainly as a reliability mechanism, justified only by N3 of Chapter 2. After the study, it can be described much more precisely: weaker on prose-quality judgement (clarity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0.395) but strong enough on aggregate ranking and on legitimate skill-overlap evidence (keywords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0.937, structure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0.830) to justify its place in the deployed system as both an emergency fallback and a runtime-switchable mode for cost-sensitive or audit-sensitive deployments.</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Validity-threat closure reported in Chapter 4.</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Three measurements address threats T1, T2, and T3 of Section 4.1.4, and their numerical results are reported inline in Chapter 4.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LLM-only baseline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per pair, recovered post-hoc from the locked-payload identity rather than from a second LLM rerun, is reported in Section 4.3.1’ and addresses threat T2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(LLM-only, heuristic) = 0.627 [95% CI 0.476, 0.765]).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vocabulary-disjoint regeneration of the synthetic benchmark</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(under which the resume side and the job-description side draw from non-overlapping phrase pools by construction, with the per-pair content-token overlap audited at zero pairs above the &gt;3-token threshold) is the dataset on which every number in Section 4.3 is computed and addresses T1.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by-resume cluster-bootstrap confidence intervals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 all headline correlations, computed by resampling resume identifiers with replacement (</w:t>
      </w:r>
      <w:r>
        <w:rPr>
          <w:rStyle w:val="VerbatimChar"/>
          <w:rFonts w:ascii="Times New Roman" w:hAnsi="Times New Roman" w:eastAsia="Times New Roman" w:cs="Times New Roman"/>
          <w:color w:val="000000"/>
          <w:sz w:val="24"/>
        </w:rPr>
        <w:t xml:space="preserve">cluster_bootstrap_pearson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scripts/analyze_eval_results.py</w:t>
      </w:r>
      <w:r>
        <w:rPr>
          <w:rFonts w:ascii="Times New Roman" w:hAnsi="Times New Roman" w:eastAsia="Times New Roman" w:cs="Times New Roman"/>
          <w:color w:val="000000"/>
          <w:sz w:val="24"/>
        </w:rPr>
        <w:t xml:space="preserve">, 2 000 resamples, seed = 42), are reported alongside the point estimates in Sections 4.3.1 and 4.3.1’ and address T3. The three closures together support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strong-agreement-within-this-synthetic-evaluation-set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characterisation in Section 4.4. T4 (post-hoc heuristic design) remains a disclosed limitation rather than a closed one.</w:t>
      </w:r>
    </w:p>
    <w:bookmarkEnd w:id="105"/>
    <w:bookmarkStart w:id="106" w:name="limitations"/>
    <w:p>
      <w:pPr>
        <w:pStyle w:val="Heading2"/>
        <w:keepNext/>
        <w:jc w:val="left"/>
      </w:pPr>
      <w:r>
        <w:rPr>
          <w:rFonts w:ascii="Times New Roman" w:hAnsi="Times New Roman" w:eastAsia="Times New Roman" w:cs="Times New Roman"/>
          <w:b/>
          <w:i w:val="0"/>
          <w:color w:val="000000"/>
          <w:sz w:val="28"/>
        </w:rPr>
        <w:t xml:space="preserve">5.2 Limitations</w:t>
      </w:r>
    </w:p>
    <w:p>
      <w:pPr>
        <w:pStyle w:val="FirstParagraph"/>
        <w:spacing w:line="312" w:lineRule="auto" w:after="80"/>
        <w:jc w:val="both"/>
      </w:pPr>
      <w:r>
        <w:rPr>
          <w:rFonts w:ascii="Times New Roman" w:hAnsi="Times New Roman" w:eastAsia="Times New Roman" w:cs="Times New Roman"/>
          <w:color w:val="000000"/>
          <w:sz w:val="24"/>
        </w:rPr>
        <w:t xml:space="preserve">The empirical claim is bounded by the evaluation design. The dataset is</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single-language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(English) and</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single-author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(all 30 resumes were synthesised by one author), so the result is a within-author baseline rather than a cross-population hiring claim. The blended mode uses a</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 LLM provider</w:t>
      </w:r>
      <w:r>
        <w:rPr>
          <w:rFonts w:ascii="Times New Roman" w:hAnsi="Times New Roman" w:eastAsia="Times New Roman" w:cs="Times New Roman"/>
          <w:color w:val="000000"/>
          <w:sz w:val="24"/>
        </w:rPr>
        <w:t xml:space="preserve">, Google Vertex AI Gemini 2.5 Flash, and should not be assumed to behave identically with Claude, GPT, Llama, or another hosted model.</w:t>
      </w:r>
    </w:p>
    <w:p>
      <w:pPr>
        <w:pStyle w:val="BodyText"/>
        <w:spacing w:line="312" w:lineRule="auto" w:after="80"/>
        <w:ind w:firstLine="283"/>
        <w:jc w:val="both"/>
      </w:pPr>
      <w:r>
        <w:rPr>
          <w:rFonts w:ascii="Times New Roman" w:hAnsi="Times New Roman" w:eastAsia="Times New Roman" w:cs="Times New Roman"/>
          <w:color w:val="000000"/>
          <w:sz w:val="24"/>
        </w:rPr>
        <w:t xml:space="preserve">Two operational limits also remain. First, the in-memory cache is not shared between processes; this is acceptable for thesis-scope traffic but not for larger production scale. Second, the implemented system covers skills and experience but does not yet model temporal job-market trends such as posting-frequency shifts, regional demand changes, or hiring-rate dynamics.</w:t>
      </w:r>
    </w:p>
    <w:p>
      <w:pPr>
        <w:pStyle w:val="BodyText"/>
        <w:spacing w:line="312" w:lineRule="auto" w:after="80"/>
        <w:ind w:firstLine="283"/>
        <w:jc w:val="both"/>
      </w:pPr>
      <w:r>
        <w:rPr>
          <w:rFonts w:ascii="Times New Roman" w:hAnsi="Times New Roman" w:eastAsia="Times New Roman" w:cs="Times New Roman"/>
          <w:color w:val="000000"/>
          <w:sz w:val="24"/>
        </w:rPr>
        <w:t xml:space="preserve">Finally, the system is a thesis demonstration rather than a sustainable commercial product. The monetisation strategy described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docs/spec.md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deliberately deferred to a post-thesis V1.1 release and is not evaluated here.</w:t>
      </w:r>
    </w:p>
    <w:p>
      <w:pPr>
        <w:pStyle w:val="BodyText"/>
        <w:spacing w:line="312" w:lineRule="auto" w:after="80"/>
        <w:ind w:firstLine="283"/>
        <w:jc w:val="both"/>
      </w:pPr>
      <w:r>
        <w:rPr>
          <w:rFonts w:ascii="Times New Roman" w:hAnsi="Times New Roman" w:eastAsia="Times New Roman" w:cs="Times New Roman"/>
          <w:color w:val="000000"/>
          <w:sz w:val="24"/>
        </w:rPr>
        <w:t xml:space="preserve">The fairness limitation is separate from those operational issues. Automated hiring tools can reproduce or amplify bias when resume content, model training data, or historical decisions correlate with protected attributes [22, 23, 24]. The present benchmark has no demographic labels, so disparate-impact diagnostics cannot be computed.</w:t>
      </w:r>
    </w:p>
    <w:p>
      <w:pPr>
        <w:pStyle w:val="BodyText"/>
        <w:spacing w:line="312" w:lineRule="auto" w:after="80"/>
        <w:ind w:firstLine="283"/>
        <w:jc w:val="both"/>
      </w:pPr>
      <w:r>
        <w:rPr>
          <w:rFonts w:ascii="Times New Roman" w:hAnsi="Times New Roman" w:eastAsia="Times New Roman" w:cs="Times New Roman"/>
          <w:color w:val="000000"/>
          <w:sz w:val="24"/>
        </w:rPr>
        <w:t xml:space="preserve">A further methodological limitation is that the evaluation measures score agreement rather than downstream user outcomes. The study shows how closely two scoring modes track each other on the synthetic benchmark, but it does not measure whether candidates rewrite better resumes, receive more interviews, or make better career decisions after using the system. Those outcomes would require a longitudinal user study with consented participants, which is outside the thesis schedule.</w:t>
      </w:r>
    </w:p>
    <w:bookmarkEnd w:id="106"/>
    <w:bookmarkStart w:id="107" w:name="future-development"/>
    <w:p>
      <w:pPr>
        <w:pStyle w:val="Heading2"/>
        <w:keepNext/>
        <w:jc w:val="left"/>
      </w:pPr>
      <w:r>
        <w:rPr>
          <w:rFonts w:ascii="Times New Roman" w:hAnsi="Times New Roman" w:eastAsia="Times New Roman" w:cs="Times New Roman"/>
          <w:b/>
          <w:i w:val="0"/>
          <w:color w:val="000000"/>
          <w:sz w:val="28"/>
        </w:rPr>
        <w:t xml:space="preserve">5.3 Future development</w:t>
      </w:r>
    </w:p>
    <w:p>
      <w:pPr>
        <w:pStyle w:val="FirstParagraph"/>
        <w:spacing w:line="312" w:lineRule="auto" w:after="80"/>
        <w:jc w:val="both"/>
      </w:pPr>
      <w:r>
        <w:rPr>
          <w:rFonts w:ascii="Times New Roman" w:hAnsi="Times New Roman" w:eastAsia="Times New Roman" w:cs="Times New Roman"/>
          <w:color w:val="000000"/>
          <w:sz w:val="24"/>
        </w:rPr>
        <w:t xml:space="preserve">Future work follows directly from these limitations.</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Polish-language coverage.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ESCO is multilingual, but the current bundled subset uses English labels. Adding Polish labels would make the system more relevant to a Wrocław-based deployment. The required change is contained: language detection, Polish-aware preprocessing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quality_signals_v2.py</w:t>
      </w:r>
      <w:r>
        <w:rPr>
          <w:rFonts w:ascii="Times New Roman" w:hAnsi="Times New Roman" w:eastAsia="Times New Roman" w:cs="Times New Roman"/>
          <w:color w:val="000000"/>
          <w:sz w:val="24"/>
        </w:rPr>
        <w:t xml:space="preserve">, and locale-specific prompt branches.</w:t>
      </w:r>
    </w:p>
    <w:p>
      <w:pPr>
        <w:pStyle w:val="BodyText"/>
        <w:spacing w:line="312" w:lineRule="auto" w:after="80"/>
        <w:ind w:firstLine="283"/>
        <w:jc w:val="both"/>
      </w:pPr>
      <w:r>
        <w:rPr>
          <w:rFonts w:ascii="Times New Roman" w:hAnsi="Times New Roman" w:eastAsia="Times New Roman" w:cs="Times New Roman"/>
          <w:color w:val="000000"/>
          <w:sz w:val="24"/>
        </w:rPr>
        <w:t xml:space="preserve">This extension would also test whether the top-down ESCO strategy remains robust when resumes mix Polish headings, English technical skills, and hybrid phrasing common in local technology roles. The architecture separates preprocessing, prompt construction, and scoring, so the work is mainly data and language handling rather than a new system design.</w:t>
      </w:r>
    </w:p>
    <w:p>
      <w:pPr>
        <w:pStyle w:val="BodyText"/>
        <w:spacing w:line="312" w:lineRule="auto" w:after="80"/>
        <w:ind w:firstLine="283"/>
        <w:jc w:val="both"/>
      </w:pPr>
      <w:r>
        <w:rPr>
          <w:rFonts w:ascii="Times New Roman" w:hAnsi="Times New Roman" w:eastAsia="Times New Roman" w:cs="Times New Roman"/>
          <w:color w:val="000000"/>
          <w:sz w:val="24"/>
        </w:rPr>
        <w:t xml:space="preserve">The Polish extension should not be treated as a translation-only task. Resume section labels, education terminology, contract types, and local job-title conventions differ from English examples, and technical resumes often mix languages in one document. A useful implementation would therefore combine ESCO label expansion with Polish section detection and bilingual prompt evaluation.</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Sentence-transformer intermediate tier.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third scoring mode could sit between strict classical IR and full LLM inference: a sentence-transformer semantic matcher such as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all-MiniLM-L6-v2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[20, 21]. Stage H tested this idea as an ablation, but on the synthetic benchmark the SBERT-only variant reached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0.623 (Δ = −0.004 versus v2) and the full v3 stack reached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0.590 (Δ = −0.036). These results suggest that promotion to production should wait for evaluation on real-world resumes and job descriptions with more prose variation than the synthetic templates expose.</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Retrieval-augmented blended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blended mode could retrieve curated labour-market documents, ESCO occupation descriptions, salary surveys, or role-progression standards before invoking the LLM [25]. This would make recommendations more source-attributed without changing the persistence model or response contracts.</w:t>
      </w:r>
    </w:p>
    <w:p>
      <w:pPr>
        <w:pStyle w:val="BodyText"/>
        <w:spacing w:line="312" w:lineRule="auto" w:after="80"/>
        <w:ind w:firstLine="283"/>
        <w:jc w:val="both"/>
      </w:pPr>
      <w:r>
        <w:rPr>
          <w:rFonts w:ascii="Times New Roman" w:hAnsi="Times New Roman" w:eastAsia="Times New Roman" w:cs="Times New Roman"/>
          <w:color w:val="000000"/>
          <w:sz w:val="24"/>
        </w:rPr>
        <w:t xml:space="preserve">This direction is the most product-facing one. It addresses the limitation that current recommendations are reasoned from the resume and job description but are not grounded in external labour-market evidence. A retrieval stage would let the system cite recent documents while preserving the existing LLM response shape.</w:t>
      </w:r>
    </w:p>
    <w:p>
      <w:pPr>
        <w:pStyle w:val="BodyText"/>
        <w:spacing w:line="312" w:lineRule="auto" w:after="80"/>
        <w:ind w:firstLine="283"/>
        <w:jc w:val="both"/>
      </w:pPr>
      <w:r>
        <w:rPr>
          <w:rFonts w:ascii="Times New Roman" w:hAnsi="Times New Roman" w:eastAsia="Times New Roman" w:cs="Times New Roman"/>
          <w:color w:val="000000"/>
          <w:sz w:val="24"/>
        </w:rPr>
        <w:t xml:space="preserve">The retrieval layer would also help with the approved-topic phrase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“current job-market trends”</w:t>
      </w:r>
      <w:r>
        <w:rPr>
          <w:rFonts w:ascii="Times New Roman" w:hAnsi="Times New Roman" w:eastAsia="Times New Roman" w:cs="Times New Roman"/>
          <w:color w:val="000000"/>
          <w:sz w:val="24"/>
        </w:rPr>
        <w:t xml:space="preserve">. Instead of asking the LLM to infer market context from its pretraining, the system could retrieve recent, source-attributed evidence and attach it to the recommendation. This would make the trend dimension auditable in a way that the present static job-description comparison is not.</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Redis-backed cache.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Replacing the in-memory cache with Redis would allow cache sharing across backend processes and is the smallest operational upgrade once traffic exceeds a single-instance deployment.</w:t>
      </w:r>
    </w:p>
    <w:p>
      <w:pPr>
        <w:pStyle w:val="BodyText"/>
        <w:spacing w:line="312" w:lineRule="auto" w:after="80"/>
        <w:ind w:firstLine="283"/>
        <w:jc w:val="both"/>
      </w:pPr>
      <w:r>
        <w:rPr>
          <w:rFonts w:ascii="Times New Roman" w:hAnsi="Times New Roman" w:eastAsia="Times New Roman" w:cs="Times New Roman"/>
          <w:color w:val="000000"/>
          <w:sz w:val="24"/>
        </w:rPr>
        <w:t xml:space="preserve">This change would preserve the current cache-key design while moving storage out of process memory. It would also make latency measurements easier to interpret in a scaled deployment because cache hits would not depend on which backend worker received the request.</w:t>
      </w:r>
    </w:p>
    <w:p>
      <w:pPr>
        <w:pStyle w:val="BodyText"/>
        <w:spacing w:line="312" w:lineRule="auto" w:after="80"/>
        <w:ind w:firstLine="283"/>
        <w:jc w:val="both"/>
      </w:pPr>
      <w:r>
        <w:rPr>
          <w:rFonts w:ascii="Times New Roman" w:hAnsi="Times New Roman" w:eastAsia="Times New Roman" w:cs="Times New Roman"/>
          <w:color w:val="000000"/>
          <w:sz w:val="24"/>
        </w:rPr>
        <w:t xml:space="preserve">Among the four future-work directions, no single ranking holds across all the criteria that would matter. The sentence-transformer intermediate tier is the most technically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probed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of the four: Stage H of this thesis (Section 4.3.6) implemented an SBERT semantic-fallback layer alongside four other classical-IR enhancements and reported a controlled null on the synthetic evaluation set, with the SBERT-only variant at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0.623 (Δ = −0.004) and the full-stack v3 configuration at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0.590 (Δ = −0.036), all comfortably inside the ±0.15 half-width of the cluster-bootstrap noise band on the 100-pair set. The case for promoting the SBERT tier from an ablation cell to a deployed component rests on a different evaluation surface than the comparative-study benchmark of Chapter 4, likely a real-world resume and job-description corpus with prose-quality variation that the synthetic templates suppress. The retrieval-augmented blended mode is the most product-relevant of the four because the most consistent informal feedback on the deployed system has been a request for source attribution behind the recommendations. The Polish-language extension is the most regionally concrete one and would benefit from a native-Polish collaborator rather than from a single-author execution. The Redis-backed cache is the smallest of the four in scope and the only one that does not require new research data. Which of the four becomes the next deliverable depends on whether the project continues as a personal study, transitions into a paid product, or feeds into a future Master’s-level extension.</w:t>
      </w:r>
    </w:p>
    <w:p>
      <w:pPr>
        <w:pStyle w:val="BodyText"/>
        <w:spacing w:line="312" w:lineRule="auto" w:after="80"/>
        <w:ind w:firstLine="283"/>
        <w:jc w:val="both"/>
      </w:pPr>
      <w:r>
        <w:rPr>
          <w:rFonts w:ascii="Times New Roman" w:hAnsi="Times New Roman" w:eastAsia="Times New Roman" w:cs="Times New Roman"/>
          <w:color w:val="000000"/>
          <w:sz w:val="24"/>
        </w:rPr>
        <w:t xml:space="preserve">The thesis contributions are therefore an integrated, deployed system that brings six career tools together around a single resume representation, a defendable strictly-non-neural heuristic baseline, and an empirical characterisation of how that baseline compares to a language-model-augmented mode on score agreement, latency, and cost, all within the synthetic evaluation set described in Chapter 4. The deployment is live at the time of submission and the administrative scoring-mode endpoint introduced in Chapter 4.2.9 is operable for live demonstration during the diploma defence.</w:t>
      </w:r>
    </w:p>
    <w:p>
      <w:pPr>
        <w:pStyle w:val="BodyText"/>
        <w:spacing w:line="312" w:lineRule="auto" w:after="80"/>
        <w:ind w:firstLine="283"/>
        <w:jc w:val="both"/>
      </w:pPr>
      <w:r>
        <w:rPr>
          <w:rFonts w:ascii="Times New Roman" w:hAnsi="Times New Roman" w:eastAsia="Times New Roman" w:cs="Times New Roman"/>
          <w:color w:val="000000"/>
          <w:sz w:val="24"/>
        </w:rPr>
        <w:t xml:space="preserve">That broader evaluation set would be the natural bridge from a Bachelor-level engineering thesis to a Master’s-level research project. It would allow the same architecture and scoring modes to be tested under less synthetic language variation, with demographic safeguards and real user outcomes added to the evaluation design.</w:t>
      </w:r>
    </w:p>
    <w:bookmarkEnd w:id="107"/>
    <w:bookmarkEnd w:id="108"/>
    <w:bookmarkStart w:id="119" w:name="bibliography"/>
    <w:p>
      <w:pPr>
        <w:pStyle w:val="Heading1"/>
        <w:keepNext/>
        <w:pageBreakBefore/>
        <w:jc w:val="left"/>
      </w:pPr>
      <w:r>
        <w:rPr>
          <w:rFonts w:ascii="Times New Roman" w:hAnsi="Times New Roman" w:eastAsia="Times New Roman" w:cs="Times New Roman"/>
          <w:b/>
          <w:i w:val="0"/>
          <w:color w:val="000000"/>
          <w:sz w:val="36"/>
        </w:rPr>
        <w:t xml:space="preserve">Bibliography</w:t>
      </w:r>
    </w:p>
    <w:bookmarkStart w:id="109" w:name="Xe524d447c5cf25a4d8e2fc35a266a2d3c4bfbe5"/>
    <w:p>
      <w:pPr>
        <w:pStyle w:val="Heading2"/>
        <w:keepNext/>
        <w:jc w:val="left"/>
      </w:pPr>
      <w:r>
        <w:rPr>
          <w:rFonts w:ascii="Times New Roman" w:hAnsi="Times New Roman" w:eastAsia="Times New Roman" w:cs="Times New Roman"/>
          <w:b/>
          <w:i w:val="0"/>
          <w:color w:val="000000"/>
          <w:sz w:val="28"/>
        </w:rPr>
        <w:t xml:space="preserve">1. Foundational AI for organisational decision-making</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[1] M. Stone, E. Aravopoulou, Y. Ekinci, G. Evans, M. Hobbs, A. Labib, P. Laughlin, J. Machtynger, and L. Machtynger,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“Artificial intelligence (AI) in strategic marketing decision-making: a research agenda,”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The Bottom Line</w:t>
      </w:r>
      <w:r>
        <w:rPr>
          <w:rFonts w:ascii="Times New Roman" w:hAnsi="Times New Roman" w:eastAsia="Times New Roman" w:cs="Times New Roman"/>
          <w:color w:val="000000"/>
          <w:sz w:val="24"/>
        </w:rPr>
        <w:t xml:space="preserve">, vol. 33, no. 2, pp. 183–200, 2020. https://doi.org/10.1108/BL-03-2020-0022</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[2] S. Gupta, S. Modgil, S. Bhattacharyya,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et al.</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“Artificial intelligence for decision support systems in the field of operations research: review and future scope of research,”</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Annals of Operations Research</w:t>
      </w:r>
      <w:r>
        <w:rPr>
          <w:rFonts w:ascii="Times New Roman" w:hAnsi="Times New Roman" w:eastAsia="Times New Roman" w:cs="Times New Roman"/>
          <w:color w:val="000000"/>
          <w:sz w:val="24"/>
        </w:rPr>
        <w:t xml:space="preserve">, vol. 308, pp. 215–274, 2022. https://doi.org/10.1007/s10479-020-03856-6</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[3] A. M. Rahmani, B. Rezazadeh, M. Haghparast, W.-C. Chang, and S. G. Ting,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“Applications of artificial intelligence in the economy, including applications in stock trading, market analysis, and risk management,”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IEEE Access</w:t>
      </w:r>
      <w:r>
        <w:rPr>
          <w:rFonts w:ascii="Times New Roman" w:hAnsi="Times New Roman" w:eastAsia="Times New Roman" w:cs="Times New Roman"/>
          <w:color w:val="000000"/>
          <w:sz w:val="24"/>
        </w:rPr>
        <w:t xml:space="preserve">, vol. 11, pp. 80769–80793, 2023. https://doi.org/10.1109/ACCESS.2023.3300036</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[4] Y. Kang, Z. Cai, C. W. Tan, Q. Huang, and H. Liu,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“Natural language processing (NLP) in management research: A literature review,”</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of Management Analytics</w:t>
      </w:r>
      <w:r>
        <w:rPr>
          <w:rFonts w:ascii="Times New Roman" w:hAnsi="Times New Roman" w:eastAsia="Times New Roman" w:cs="Times New Roman"/>
          <w:color w:val="000000"/>
          <w:sz w:val="24"/>
        </w:rPr>
        <w:t xml:space="preserve">, vol. 7, no. 2, pp. 139–172, 2020. https://doi.org/10.1080/23270012.2020.1756939</w:t>
      </w:r>
    </w:p>
    <w:bookmarkEnd w:id="109"/>
    <w:bookmarkStart w:id="110" w:name="foundational-information-retrieval"/>
    <w:p>
      <w:pPr>
        <w:pStyle w:val="Heading2"/>
        <w:keepNext/>
        <w:jc w:val="left"/>
      </w:pPr>
      <w:r>
        <w:rPr>
          <w:rFonts w:ascii="Times New Roman" w:hAnsi="Times New Roman" w:eastAsia="Times New Roman" w:cs="Times New Roman"/>
          <w:b/>
          <w:i w:val="0"/>
          <w:color w:val="000000"/>
          <w:sz w:val="28"/>
        </w:rPr>
        <w:t xml:space="preserve">2. Foundational information retrieval</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[5] G. Salton and M. J. McGill,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Introduction to modern information retrieval</w:t>
      </w:r>
      <w:r>
        <w:rPr>
          <w:rFonts w:ascii="Times New Roman" w:hAnsi="Times New Roman" w:eastAsia="Times New Roman" w:cs="Times New Roman"/>
          <w:color w:val="000000"/>
          <w:sz w:val="24"/>
        </w:rPr>
        <w:t xml:space="preserve">. New York: McGraw-Hill, 1983.</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[6] S. Robertson and H. Zaragoza,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probabilistic relevance framework: BM25 and beyond,”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Foundations and Trends in Information Retrieval</w:t>
      </w:r>
      <w:r>
        <w:rPr>
          <w:rFonts w:ascii="Times New Roman" w:hAnsi="Times New Roman" w:eastAsia="Times New Roman" w:cs="Times New Roman"/>
          <w:color w:val="000000"/>
          <w:sz w:val="24"/>
        </w:rPr>
        <w:t xml:space="preserve">, vol. 3, no. 4, pp. 333–389, 2009. https://doi.org/10.1561/1500000019</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[7] V. I. Levenshtein,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“Binary codes capable of correcting deletions, insertions, and reversals,”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Soviet Physics Doklady</w:t>
      </w:r>
      <w:r>
        <w:rPr>
          <w:rFonts w:ascii="Times New Roman" w:hAnsi="Times New Roman" w:eastAsia="Times New Roman" w:cs="Times New Roman"/>
          <w:color w:val="000000"/>
          <w:sz w:val="24"/>
        </w:rPr>
        <w:t xml:space="preserve">, vol. 10, no. 8, pp. 707–710, 1966.</w:t>
      </w:r>
    </w:p>
    <w:bookmarkEnd w:id="110"/>
    <w:bookmarkStart w:id="111" w:name="Xdd898e929631c1ac7dcaafa863450eac8c4687c"/>
    <w:p>
      <w:pPr>
        <w:pStyle w:val="Heading2"/>
        <w:keepNext/>
        <w:jc w:val="left"/>
      </w:pPr>
      <w:r>
        <w:rPr>
          <w:rFonts w:ascii="Times New Roman" w:hAnsi="Times New Roman" w:eastAsia="Times New Roman" w:cs="Times New Roman"/>
          <w:b/>
          <w:i w:val="0"/>
          <w:color w:val="000000"/>
          <w:sz w:val="28"/>
        </w:rPr>
        <w:t xml:space="preserve">3. Skill extraction and labour-market taxonomies (ESCO, O*NET)</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[8] M. le Vrang, A. Papantoniou, E. Pauwels, P. Fannes, D. Vandensteen, and J. De Smedt,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“ESCO: Boosting job matching in Europe with semantic interoperability,”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IEEE Computer</w:t>
      </w:r>
      <w:r>
        <w:rPr>
          <w:rFonts w:ascii="Times New Roman" w:hAnsi="Times New Roman" w:eastAsia="Times New Roman" w:cs="Times New Roman"/>
          <w:color w:val="000000"/>
          <w:sz w:val="24"/>
        </w:rPr>
        <w:t xml:space="preserve">, vol. 47, no. 10, pp. 57–64, 2014. https://doi.org/10.1109/MC.2014.283</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[9] D. C. Kavargyris, K. Georgiou, E. Papaioannou, K. Petrakis, N. Mittas, and L. Angelis,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“ESCOX: A tool for skill and occupation extraction using LLMs from unstructured text,”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Software Impacts</w:t>
      </w:r>
      <w:r>
        <w:rPr>
          <w:rFonts w:ascii="Times New Roman" w:hAnsi="Times New Roman" w:eastAsia="Times New Roman" w:cs="Times New Roman"/>
          <w:color w:val="000000"/>
          <w:sz w:val="24"/>
        </w:rPr>
        <w:t xml:space="preserve">, vol. 25, art. 100772, 2025. https://doi.org/10.1016/j.simpa.2025.100772</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[10] A. Herandi, Y. Li, Z. Liu, X. Hu, and X. Cai,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“Skill-LLM: Repurposing general-purpose LLMs for skill extraction,”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arXiv:2410.12052</w:t>
      </w:r>
      <w:r>
        <w:rPr>
          <w:rFonts w:ascii="Times New Roman" w:hAnsi="Times New Roman" w:eastAsia="Times New Roman" w:cs="Times New Roman"/>
          <w:color w:val="000000"/>
          <w:sz w:val="24"/>
        </w:rPr>
        <w:t xml:space="preserve">, 2024. https://arxiv.org/abs/2410.12052</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[11] S. Saroglou, K. Diamantaras, F. Preta, M. Delianidi, A. Benisis, and C. J. Meyer,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“Enhancing job matching: Occupation, skill and qualification linking with the ESCO and EQF taxonomies,”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arXiv:2512.03195</w:t>
      </w:r>
      <w:r>
        <w:rPr>
          <w:rFonts w:ascii="Times New Roman" w:hAnsi="Times New Roman" w:eastAsia="Times New Roman" w:cs="Times New Roman"/>
          <w:color w:val="000000"/>
          <w:sz w:val="24"/>
        </w:rPr>
        <w:t xml:space="preserve">, 2025. https://arxiv.org/abs/2512.03195</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[12] C. Panzaru and A. Grama,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“Towards explicit soft skills labelling in ESCO through semantic NLP analysis,”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for Labour Market Research</w:t>
      </w:r>
      <w:r>
        <w:rPr>
          <w:rFonts w:ascii="Times New Roman" w:hAnsi="Times New Roman" w:eastAsia="Times New Roman" w:cs="Times New Roman"/>
          <w:color w:val="000000"/>
          <w:sz w:val="24"/>
        </w:rPr>
        <w:t xml:space="preserve">, vol. 59, no. 1, art. 18, 2025. https://doi.org/10.1186/s12651-025-00409-x</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[13] M. de Groot, J. Schutte, and D. Graus,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“Job posting-enriched knowledge graph for skills-based matching,”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arXiv:2109.02554</w:t>
      </w:r>
      <w:r>
        <w:rPr>
          <w:rFonts w:ascii="Times New Roman" w:hAnsi="Times New Roman" w:eastAsia="Times New Roman" w:cs="Times New Roman"/>
          <w:color w:val="000000"/>
          <w:sz w:val="24"/>
        </w:rPr>
        <w:t xml:space="preserve">, 2021. https://arxiv.org/abs/2109.02554</w:t>
      </w:r>
    </w:p>
    <w:bookmarkEnd w:id="111"/>
    <w:bookmarkStart w:id="112" w:name="X1796bfef32d736987f1174fc0e433d96cea39d8"/>
    <w:p>
      <w:pPr>
        <w:pStyle w:val="Heading2"/>
        <w:keepNext/>
        <w:jc w:val="left"/>
      </w:pPr>
      <w:r>
        <w:rPr>
          <w:rFonts w:ascii="Times New Roman" w:hAnsi="Times New Roman" w:eastAsia="Times New Roman" w:cs="Times New Roman"/>
          <w:b/>
          <w:i w:val="0"/>
          <w:color w:val="000000"/>
          <w:sz w:val="28"/>
        </w:rPr>
        <w:t xml:space="preserve">4. Resume parsing and information extraction</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[14] K. Yu, G. Guan, and M. Zhou,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“Resume information extraction with cascaded hybrid model,”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the 43rd Annual Meeting of the Association for Computational Linguistics (ACL ’05)</w:t>
      </w:r>
      <w:r>
        <w:rPr>
          <w:rFonts w:ascii="Times New Roman" w:hAnsi="Times New Roman" w:eastAsia="Times New Roman" w:cs="Times New Roman"/>
          <w:color w:val="000000"/>
          <w:sz w:val="24"/>
        </w:rPr>
        <w:t xml:space="preserve">, 2005, pp. 499–506. https://aclanthology.org/P05-1062/</w:t>
      </w:r>
    </w:p>
    <w:bookmarkEnd w:id="112"/>
    <w:bookmarkStart w:id="113" w:name="ai-based-career-recommendation-systems"/>
    <w:p>
      <w:pPr>
        <w:pStyle w:val="Heading2"/>
        <w:keepNext/>
        <w:jc w:val="left"/>
      </w:pPr>
      <w:r>
        <w:rPr>
          <w:rFonts w:ascii="Times New Roman" w:hAnsi="Times New Roman" w:eastAsia="Times New Roman" w:cs="Times New Roman"/>
          <w:b/>
          <w:i w:val="0"/>
          <w:color w:val="000000"/>
          <w:sz w:val="28"/>
        </w:rPr>
        <w:t xml:space="preserve">5. AI-based career recommendation systems</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[15] H. Al-Dossari, F. A. Nughaymish, Z. Al-Qahtani, M. Alkahlifah, and A. Alqahtani,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“CareerRec: A machine learning approach to career path choice for information technology graduates,”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Engineering, Technology &amp; Applied Science Research</w:t>
      </w:r>
      <w:r>
        <w:rPr>
          <w:rFonts w:ascii="Times New Roman" w:hAnsi="Times New Roman" w:eastAsia="Times New Roman" w:cs="Times New Roman"/>
          <w:color w:val="000000"/>
          <w:sz w:val="24"/>
        </w:rPr>
        <w:t xml:space="preserve">, vol. 10, no. 6, pp. 6589–6596, 2020. https://doi.org/10.48084/etasr.3821</w:t>
      </w:r>
    </w:p>
    <w:bookmarkEnd w:id="113"/>
    <w:bookmarkStart w:id="114" w:name="large-language-models-in-recruitment"/>
    <w:p>
      <w:pPr>
        <w:pStyle w:val="Heading2"/>
        <w:keepNext/>
        <w:jc w:val="left"/>
      </w:pPr>
      <w:r>
        <w:rPr>
          <w:rFonts w:ascii="Times New Roman" w:hAnsi="Times New Roman" w:eastAsia="Times New Roman" w:cs="Times New Roman"/>
          <w:b/>
          <w:i w:val="0"/>
          <w:color w:val="000000"/>
          <w:sz w:val="28"/>
        </w:rPr>
        <w:t xml:space="preserve">6. Large language models in recruitment</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[16] C. Gan, Q. Zhang, and T. Mori,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“Application of LLM agents in recruitment: A novel framework for resume screening,”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arXiv:2401.08315</w:t>
      </w:r>
      <w:r>
        <w:rPr>
          <w:rFonts w:ascii="Times New Roman" w:hAnsi="Times New Roman" w:eastAsia="Times New Roman" w:cs="Times New Roman"/>
          <w:color w:val="000000"/>
          <w:sz w:val="24"/>
        </w:rPr>
        <w:t xml:space="preserve">, 2024. https://arxiv.org/abs/2401.08315</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[17] F. P.-W. Lo, J. Qiu, Z. Wang, H. Yu, Y. Chen, G. Zhang, and B. Lo,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“AI hiring with LLMs: A context-aware and explainable multi-agent framework for resume screening,”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 IEEE/CVF Conf. on Computer Vision and Pattern Recognition Workshops (CVPRW)</w:t>
      </w:r>
      <w:r>
        <w:rPr>
          <w:rFonts w:ascii="Times New Roman" w:hAnsi="Times New Roman" w:eastAsia="Times New Roman" w:cs="Times New Roman"/>
          <w:color w:val="000000"/>
          <w:sz w:val="24"/>
        </w:rPr>
        <w:t xml:space="preserve">, 2025, pp. 4184–4193. https://doi.org/10.1109/CVPRW67362.2025.00402</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[18] R. V. K. Bevara, N. R. Mannuru, S. P. Karedla, B. D. Lund, T. Xiao, H. Pasem, S. C. Dronavalli, and S. Rupeshkumar,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“Resume2Vec: Transforming applicant tracking systems with intelligent resume embeddings for precise candidate matching,”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Electronics</w:t>
      </w:r>
      <w:r>
        <w:rPr>
          <w:rFonts w:ascii="Times New Roman" w:hAnsi="Times New Roman" w:eastAsia="Times New Roman" w:cs="Times New Roman"/>
          <w:color w:val="000000"/>
          <w:sz w:val="24"/>
        </w:rPr>
        <w:t xml:space="preserve">, vol. 14, no. 4, art. 794, 2025. https://doi.org/10.3390/electronics14040794</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[19] A. Jagadeesh, C. R. Shankar, S. N. Patel, M. Levantesi, G. Semeraro, and E. W. De Luca,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“AI-driven resume analysis and enhancement using semantic modeling and large language feedback loops,”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CLiC-it 2025</w:t>
      </w:r>
      <w:r>
        <w:rPr>
          <w:rFonts w:ascii="Times New Roman" w:hAnsi="Times New Roman" w:eastAsia="Times New Roman" w:cs="Times New Roman"/>
          <w:color w:val="000000"/>
          <w:sz w:val="24"/>
        </w:rPr>
        <w:t xml:space="preserve">, 2025. https://aclanthology.org/2025.clicit-1.51/</w:t>
      </w:r>
    </w:p>
    <w:bookmarkEnd w:id="114"/>
    <w:bookmarkStart w:id="115" w:name="Xe3796102e15fa10b5c24e38851c753906160937"/>
    <w:p>
      <w:pPr>
        <w:pStyle w:val="Heading2"/>
        <w:keepNext/>
        <w:jc w:val="left"/>
      </w:pPr>
      <w:r>
        <w:rPr>
          <w:rFonts w:ascii="Times New Roman" w:hAnsi="Times New Roman" w:eastAsia="Times New Roman" w:cs="Times New Roman"/>
          <w:b/>
          <w:i w:val="0"/>
          <w:color w:val="000000"/>
          <w:sz w:val="28"/>
        </w:rPr>
        <w:t xml:space="preserve">7. Semantic matching and sentence embeddings</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[20] N. Reimers and I. Gurevych,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“Sentence-BERT: Sentence embeddings using Siamese BERT-networks,”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EMNLP-IJCNLP 2019</w:t>
      </w:r>
      <w:r>
        <w:rPr>
          <w:rFonts w:ascii="Times New Roman" w:hAnsi="Times New Roman" w:eastAsia="Times New Roman" w:cs="Times New Roman"/>
          <w:color w:val="000000"/>
          <w:sz w:val="24"/>
        </w:rPr>
        <w:t xml:space="preserve">, Hong Kong, 2019. https://arxiv.org/abs/1908.10084</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[21] V. Zadykian, B. Andrade, and H. Afli,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“Towards explainable job title matching: Leveraging semantic textual relatedness and knowledge graphs,”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arXiv:2509.09522</w:t>
      </w:r>
      <w:r>
        <w:rPr>
          <w:rFonts w:ascii="Times New Roman" w:hAnsi="Times New Roman" w:eastAsia="Times New Roman" w:cs="Times New Roman"/>
          <w:color w:val="000000"/>
          <w:sz w:val="24"/>
        </w:rPr>
        <w:t xml:space="preserve">, 2025. https://arxiv.org/abs/2509.09522</w:t>
      </w:r>
    </w:p>
    <w:bookmarkEnd w:id="115"/>
    <w:bookmarkStart w:id="116" w:name="bias-and-fairness-in-algorithmic-hiring"/>
    <w:p>
      <w:pPr>
        <w:pStyle w:val="Heading2"/>
        <w:keepNext/>
        <w:jc w:val="left"/>
      </w:pPr>
      <w:r>
        <w:rPr>
          <w:rFonts w:ascii="Times New Roman" w:hAnsi="Times New Roman" w:eastAsia="Times New Roman" w:cs="Times New Roman"/>
          <w:b/>
          <w:i w:val="0"/>
          <w:color w:val="000000"/>
          <w:sz w:val="28"/>
        </w:rPr>
        <w:t xml:space="preserve">8. Bias and fairness in algorithmic hiring</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[22] A. Köchling and M. C. Wehner,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“Discriminated by an algorithm: A systematic review of discrimination and fairness by algorithmic decision-making in the context of HR recruitment and HR development,”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Business Research</w:t>
      </w:r>
      <w:r>
        <w:rPr>
          <w:rFonts w:ascii="Times New Roman" w:hAnsi="Times New Roman" w:eastAsia="Times New Roman" w:cs="Times New Roman"/>
          <w:color w:val="000000"/>
          <w:sz w:val="24"/>
        </w:rPr>
        <w:t xml:space="preserve">, vol. 13, no. 3, pp. 795–848, 2020. https://doi.org/10.1007/s40685-020-00134-w</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[23] M. Raghavan, S. Barocas, J. Kleinberg, and K. Levy,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“Mitigating bias in algorithmic hiring: Evaluating claims and practices,”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the 2020 Conference on Fairness, Accountability, and Transparency (FAccT ’20)</w:t>
      </w:r>
      <w:r>
        <w:rPr>
          <w:rFonts w:ascii="Times New Roman" w:hAnsi="Times New Roman" w:eastAsia="Times New Roman" w:cs="Times New Roman"/>
          <w:color w:val="000000"/>
          <w:sz w:val="24"/>
        </w:rPr>
        <w:t xml:space="preserve">, 2020, pp. 469–481. https://doi.org/10.1145/3351095.3372828</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[24] Z. Chen,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“Ethics and discrimination in artificial intelligence-enabled recruitment practices,”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Humanities and Social Sciences Communications</w:t>
      </w:r>
      <w:r>
        <w:rPr>
          <w:rFonts w:ascii="Times New Roman" w:hAnsi="Times New Roman" w:eastAsia="Times New Roman" w:cs="Times New Roman"/>
          <w:color w:val="000000"/>
          <w:sz w:val="24"/>
        </w:rPr>
        <w:t xml:space="preserve">, vol. 10, art. 567, 2023. https://doi.org/10.1057/s41599-023-02079-x</w:t>
      </w:r>
    </w:p>
    <w:bookmarkEnd w:id="116"/>
    <w:bookmarkStart w:id="117" w:name="retrieval-augmented-generation"/>
    <w:p>
      <w:pPr>
        <w:pStyle w:val="Heading2"/>
        <w:keepNext/>
        <w:jc w:val="left"/>
      </w:pPr>
      <w:r>
        <w:rPr>
          <w:rFonts w:ascii="Times New Roman" w:hAnsi="Times New Roman" w:eastAsia="Times New Roman" w:cs="Times New Roman"/>
          <w:b/>
          <w:i w:val="0"/>
          <w:color w:val="000000"/>
          <w:sz w:val="28"/>
        </w:rPr>
        <w:t xml:space="preserve">9. Retrieval-augmented generation</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[25] Y. Gao, Y. Xiong, X. Gao, K. Jia, J. Pan, Y. Bi, Y. Dai, J. Sun, and H. Wang,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“Retrieval-augmented generation for large language models: A survey,”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arXiv:2312.10997</w:t>
      </w:r>
      <w:r>
        <w:rPr>
          <w:rFonts w:ascii="Times New Roman" w:hAnsi="Times New Roman" w:eastAsia="Times New Roman" w:cs="Times New Roman"/>
          <w:color w:val="000000"/>
          <w:sz w:val="24"/>
        </w:rPr>
        <w:t xml:space="preserve">, 2023. https://arxiv.org/abs/2312.10997</w:t>
      </w:r>
    </w:p>
    <w:bookmarkEnd w:id="117"/>
    <w:bookmarkStart w:id="118" w:name="web-frameworks-and-system-tooling"/>
    <w:p>
      <w:pPr>
        <w:pStyle w:val="Heading2"/>
        <w:keepNext/>
        <w:jc w:val="left"/>
      </w:pPr>
      <w:r>
        <w:rPr>
          <w:rFonts w:ascii="Times New Roman" w:hAnsi="Times New Roman" w:eastAsia="Times New Roman" w:cs="Times New Roman"/>
          <w:b/>
          <w:i w:val="0"/>
          <w:color w:val="000000"/>
          <w:sz w:val="28"/>
        </w:rPr>
        <w:t xml:space="preserve">10. Web frameworks and system tooling</w:t>
      </w:r>
    </w:p>
    <w:p>
      <w:pPr>
        <w:pStyle w:val="FirstParagraph"/>
        <w:spacing w:line="312" w:lineRule="auto" w:after="80"/>
        <w:jc w:val="both"/>
      </w:pPr>
      <w:r>
        <w:rPr>
          <w:rFonts w:ascii="Times New Roman" w:hAnsi="Times New Roman" w:eastAsia="Times New Roman" w:cs="Times New Roman"/>
          <w:color w:val="000000"/>
          <w:sz w:val="24"/>
        </w:rPr>
        <w:t xml:space="preserve">Documentation references for the engineering chapters; kept separate from the numbered academic bibliography because they document implementation APIs rather than research claims.</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FastAPI documentation. https://fastapi.tiangolo.com</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TanStack Start / Router documentation. https://tanstack.com/router</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React 19 documentation. https://react.dev</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Vite documentation. https://vite.dev</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SQLAlchemy 2.0 documentation. https://www.sqlalchemy.org</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Alembic migration documentation. https://alembic.sqlalchemy.org</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PostgreSQL documentation. https://www.postgresql.org/docs/</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Google Cloud Vertex AI Gemini documentation. https://cloud.google.com/vertex-ai/generative-ai/docs</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Resend transactional email API. https://resend.com/docs</w:t>
      </w:r>
    </w:p>
    <w:bookmarkEnd w:id="118"/>
    <w:bookmarkEnd w:id="119"/>
    <w:bookmarkStart w:id="151" w:name="appendices"/>
    <w:p>
      <w:pPr>
        <w:pStyle w:val="Heading1"/>
        <w:keepNext/>
        <w:pageBreakBefore/>
        <w:jc w:val="left"/>
      </w:pPr>
      <w:r>
        <w:rPr>
          <w:rFonts w:ascii="Times New Roman" w:hAnsi="Times New Roman" w:eastAsia="Times New Roman" w:cs="Times New Roman"/>
          <w:b/>
          <w:i w:val="0"/>
          <w:color w:val="000000"/>
          <w:sz w:val="36"/>
        </w:rPr>
        <w:t xml:space="preserve">Appendices</w:t>
      </w:r>
    </w:p>
    <w:bookmarkStart w:id="124" w:name="appendix-a-source-listings"/>
    <w:p>
      <w:pPr>
        <w:pStyle w:val="Heading2"/>
        <w:keepNext/>
        <w:jc w:val="left"/>
      </w:pPr>
      <w:r>
        <w:rPr>
          <w:rFonts w:ascii="Times New Roman" w:hAnsi="Times New Roman" w:eastAsia="Times New Roman" w:cs="Times New Roman"/>
          <w:b/>
          <w:i w:val="0"/>
          <w:color w:val="000000"/>
          <w:sz w:val="28"/>
        </w:rPr>
        <w:t xml:space="preserve">Appendix A — Source listings</w:t>
      </w:r>
    </w:p>
    <w:p>
      <w:pPr>
        <w:pStyle w:val="BlockText"/>
        <w:spacing w:line="312" w:lineRule="auto" w:after="80"/>
        <w:jc w:val="both"/>
      </w:pPr>
      <w:r>
        <w:rPr>
          <w:rFonts w:ascii="Times New Roman" w:hAnsi="Times New Roman" w:eastAsia="Times New Roman" w:cs="Times New Roman"/>
          <w:color w:val="000000"/>
          <w:sz w:val="24"/>
        </w:rP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20" w:name="X815009366af60fa4723a257df1c3cfaaf97a2fb"/>
    <w:p>
      <w:pPr>
        <w:pStyle w:val="Heading3"/>
        <w:keepNext/>
        <w:jc w:val="left"/>
      </w:pPr>
      <w:r>
        <w:rPr>
          <w:rFonts w:ascii="Times New Roman" w:hAnsi="Times New Roman" w:eastAsia="Times New Roman" w:cs="Times New Roman"/>
          <w:b/>
          <w:i/>
          <w:color w:val="000000"/>
          <w:sz w:val="24"/>
        </w:rPr>
        <w:t xml:space="preserve">A.1 Strong heuristic v2 — public entry point</w:t>
      </w:r>
    </w:p>
    <w:p>
      <w:pPr>
        <w:pStyle w:val="FirstParagraph"/>
        <w:spacing w:line="312" w:lineRule="auto" w:after="80"/>
        <w:jc w:val="both"/>
      </w:pPr>
      <w:r>
        <w:rPr>
          <w:rStyle w:val="VerbatimChar"/>
          <w:rFonts w:ascii="Times New Roman" w:hAnsi="Times New Roman" w:eastAsia="Times New Roman" w:cs="Times New Roman"/>
          <w:color w:val="000000"/>
          <w:sz w:val="24"/>
        </w:rPr>
        <w:t xml:space="preserve">backend/app/services/quality_signals_v2.py</w:t>
      </w:r>
    </w:p>
    <w:p>
      <w:pPr>
        <w:pStyle w:val="SourceCode"/>
        <w:keepNext w:val="0"/>
        <w:keepLines/>
        <w:spacing w:line="240" w:lineRule="auto" w:before="40" w:after="40"/>
        <w:ind w:firstLine="0" w:left="227" w:right="227"/>
        <w:jc w:val="left"/>
        <w:shd w:val="clear" w:color="auto" w:fill="F5F5F5"/>
      </w:pPr>
      <w:r>
        <w:rPr>
          <w:rStyle w:val="KeywordTok"/>
          <w:rFonts w:ascii="Courier New" w:hAnsi="Courier New" w:eastAsia="Courier New" w:cs="Courier New"/>
          <w:b w:val="0"/>
          <w:i w:val="0"/>
          <w:color w:val="000000"/>
          <w:sz w:val="19"/>
        </w:rPr>
        <w:t xml:space="preserve">def</w:t>
      </w:r>
      <w:r>
        <w:rPr>
          <w:rStyle w:val="NormalTok"/>
          <w:rFonts w:ascii="Courier New" w:hAnsi="Courier New" w:eastAsia="Courier New" w:cs="Courier New"/>
          <w:b w:val="0"/>
          <w:i w:val="0"/>
          <w:color w:val="000000"/>
          <w:sz w:val="19"/>
        </w:rPr>
        <w:t xml:space="preserve"> build_resume_prepass_v2(</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resume_text: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job_description: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target_role_label: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ResumePrepassV2:</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text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resume_text </w:t>
      </w:r>
      <w:r>
        <w:rPr>
          <w:rStyle w:val="KeywordTok"/>
          <w:rFonts w:ascii="Courier New" w:hAnsi="Courier New" w:eastAsia="Courier New" w:cs="Courier New"/>
          <w:b w:val="0"/>
          <w:i w:val="0"/>
          <w:color w:val="000000"/>
          <w:sz w:val="19"/>
        </w:rPr>
        <w:t xml:space="preserve">or</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sections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_detect_sections(text)</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bullets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[m.group(</w:t>
      </w:r>
      <w:r>
        <w:rPr>
          <w:rStyle w:val="DecValTok"/>
          <w:rFonts w:ascii="Courier New" w:hAnsi="Courier New" w:eastAsia="Courier New" w:cs="Courier New"/>
          <w:b w:val="0"/>
          <w:i w:val="0"/>
          <w:color w:val="000000"/>
          <w:sz w:val="19"/>
        </w:rPr>
        <w:t xml:space="preserve">1</w:t>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for</w:t>
      </w:r>
      <w:r>
        <w:rPr>
          <w:rStyle w:val="NormalTok"/>
          <w:rFonts w:ascii="Courier New" w:hAnsi="Courier New" w:eastAsia="Courier New" w:cs="Courier New"/>
          <w:b w:val="0"/>
          <w:i w:val="0"/>
          <w:color w:val="000000"/>
          <w:sz w:val="19"/>
        </w:rPr>
        <w:t xml:space="preserve"> m </w:t>
      </w:r>
      <w:r>
        <w:rPr>
          <w:rStyle w:val="KeywordTok"/>
          <w:rFonts w:ascii="Courier New" w:hAnsi="Courier New" w:eastAsia="Courier New" w:cs="Courier New"/>
          <w:b w:val="0"/>
          <w:i w:val="0"/>
          <w:color w:val="000000"/>
          <w:sz w:val="19"/>
        </w:rPr>
        <w:t xml:space="preserve">in</w:t>
      </w:r>
      <w:r>
        <w:rPr>
          <w:rStyle w:val="NormalTok"/>
          <w:rFonts w:ascii="Courier New" w:hAnsi="Courier New" w:eastAsia="Courier New" w:cs="Courier New"/>
          <w:b w:val="0"/>
          <w:i w:val="0"/>
          <w:color w:val="000000"/>
          <w:sz w:val="19"/>
        </w:rPr>
        <w:t xml:space="preserve"> _BULLET_RE.finditer(text)]</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tokens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_tokenize(text)</w:t>
      </w:r>
      <w:r>
        <w:rPr>
          <w:rFonts w:ascii="Courier New" w:hAnsi="Courier New" w:eastAsia="Courier New" w:cs="Courier New"/>
          <w:b w:val="0"/>
          <w:i w:val="0"/>
          <w:color w:val="000000"/>
          <w:sz w:val="19"/>
        </w:rPr>
        <w:br/>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resume_skills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_normalise_skills(text)</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matched: </w:t>
      </w:r>
      <w:r>
        <w:rPr>
          <w:rStyle w:val="BuiltInTok"/>
          <w:rFonts w:ascii="Courier New" w:hAnsi="Courier New" w:eastAsia="Courier New" w:cs="Courier New"/>
          <w:b w:val="0"/>
          <w:i w:val="0"/>
          <w:color w:val="000000"/>
          <w:sz w:val="19"/>
        </w:rPr>
        <w:t xml:space="preserve">list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missing: </w:t>
      </w:r>
      <w:r>
        <w:rPr>
          <w:rStyle w:val="BuiltInTok"/>
          <w:rFonts w:ascii="Courier New" w:hAnsi="Courier New" w:eastAsia="Courier New" w:cs="Courier New"/>
          <w:b w:val="0"/>
          <w:i w:val="0"/>
          <w:color w:val="000000"/>
          <w:sz w:val="19"/>
        </w:rPr>
        <w:t xml:space="preserve">list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matched_locations: </w:t>
      </w:r>
      <w:r>
        <w:rPr>
          <w:rStyle w:val="BuiltInTok"/>
          <w:rFonts w:ascii="Courier New" w:hAnsi="Courier New" w:eastAsia="Courier New" w:cs="Courier New"/>
          <w:b w:val="0"/>
          <w:i w:val="0"/>
          <w:color w:val="000000"/>
          <w:sz w:val="19"/>
        </w:rPr>
        <w:t xml:space="preserve">list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tuple</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fuzzy_count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0</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mmentTok"/>
          <w:rFonts w:ascii="Courier New" w:hAnsi="Courier New" w:eastAsia="Courier New" w:cs="Courier New"/>
          <w:b w:val="0"/>
          <w:i w:val="0"/>
          <w:color w:val="000000"/>
          <w:sz w:val="19"/>
        </w:rPr>
        <w:t xml:space="preserve"># ... (full body in the source file; see Section 4.2 of the thesis for the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mmentTok"/>
          <w:rFonts w:ascii="Courier New" w:hAnsi="Courier New" w:eastAsia="Courier New" w:cs="Courier New"/>
          <w:b w:val="0"/>
          <w:i w:val="0"/>
          <w:color w:val="000000"/>
          <w:sz w:val="19"/>
        </w:rPr>
        <w:t xml:space="preserve"># accompanying methodological description)</w:t>
      </w:r>
    </w:p>
    <w:bookmarkEnd w:id="120"/>
    <w:bookmarkStart w:id="121" w:name="a.2-bm25-scoring"/>
    <w:p>
      <w:pPr>
        <w:pStyle w:val="Heading3"/>
        <w:keepNext/>
        <w:jc w:val="left"/>
      </w:pPr>
      <w:r>
        <w:rPr>
          <w:rFonts w:ascii="Times New Roman" w:hAnsi="Times New Roman" w:eastAsia="Times New Roman" w:cs="Times New Roman"/>
          <w:b/>
          <w:i/>
          <w:color w:val="000000"/>
          <w:sz w:val="24"/>
        </w:rPr>
        <w:t xml:space="preserve">A.2 BM25 scoring</w:t>
      </w:r>
    </w:p>
    <w:p>
      <w:pPr>
        <w:pStyle w:val="FirstParagraph"/>
        <w:spacing w:line="312" w:lineRule="auto" w:after="80"/>
        <w:jc w:val="both"/>
      </w:pPr>
      <w:r>
        <w:rPr>
          <w:rStyle w:val="VerbatimChar"/>
          <w:rFonts w:ascii="Times New Roman" w:hAnsi="Times New Roman" w:eastAsia="Times New Roman" w:cs="Times New Roman"/>
          <w:color w:val="000000"/>
          <w:sz w:val="24"/>
        </w:rPr>
        <w:t xml:space="preserve">backend/app/services/quality_signals_v2.py</w:t>
      </w:r>
    </w:p>
    <w:p>
      <w:pPr>
        <w:pStyle w:val="SourceCode"/>
        <w:keepNext w:val="0"/>
        <w:keepLines/>
        <w:spacing w:line="240" w:lineRule="auto" w:before="40" w:after="40"/>
        <w:ind w:firstLine="0" w:left="227" w:right="227"/>
        <w:jc w:val="left"/>
        <w:shd w:val="clear" w:color="auto" w:fill="F5F5F5"/>
      </w:pPr>
      <w:r>
        <w:rPr>
          <w:rStyle w:val="KeywordTok"/>
          <w:rFonts w:ascii="Courier New" w:hAnsi="Courier New" w:eastAsia="Courier New" w:cs="Courier New"/>
          <w:b w:val="0"/>
          <w:i w:val="0"/>
          <w:color w:val="000000"/>
          <w:sz w:val="19"/>
        </w:rPr>
        <w:t xml:space="preserve">def</w:t>
      </w:r>
      <w:r>
        <w:rPr>
          <w:rStyle w:val="NormalTok"/>
          <w:rFonts w:ascii="Courier New" w:hAnsi="Courier New" w:eastAsia="Courier New" w:cs="Courier New"/>
          <w:b w:val="0"/>
          <w:i w:val="0"/>
          <w:color w:val="000000"/>
          <w:sz w:val="19"/>
        </w:rPr>
        <w:t xml:space="preserve"> _bm25_score(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resume_tf: </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int</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query_terms: </w:t>
      </w:r>
      <w:r>
        <w:rPr>
          <w:rStyle w:val="BuiltInTok"/>
          <w:rFonts w:ascii="Courier New" w:hAnsi="Courier New" w:eastAsia="Courier New" w:cs="Courier New"/>
          <w:b w:val="0"/>
          <w:i w:val="0"/>
          <w:color w:val="000000"/>
          <w:sz w:val="19"/>
        </w:rPr>
        <w:t xml:space="preserve">list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idf: </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float</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avg_dl: </w:t>
      </w:r>
      <w:r>
        <w:rPr>
          <w:rStyle w:val="BuiltInTok"/>
          <w:rFonts w:ascii="Courier New" w:hAnsi="Courier New" w:eastAsia="Courier New" w:cs="Courier New"/>
          <w:b w:val="0"/>
          <w:i w:val="0"/>
          <w:color w:val="000000"/>
          <w:sz w:val="19"/>
        </w:rPr>
        <w:t xml:space="preserve">float</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350.0</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k1: </w:t>
      </w:r>
      <w:r>
        <w:rPr>
          <w:rStyle w:val="BuiltInTok"/>
          <w:rFonts w:ascii="Courier New" w:hAnsi="Courier New" w:eastAsia="Courier New" w:cs="Courier New"/>
          <w:b w:val="0"/>
          <w:i w:val="0"/>
          <w:color w:val="000000"/>
          <w:sz w:val="19"/>
        </w:rPr>
        <w:t xml:space="preserve">float</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1.5</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b: </w:t>
      </w:r>
      <w:r>
        <w:rPr>
          <w:rStyle w:val="BuiltInTok"/>
          <w:rFonts w:ascii="Courier New" w:hAnsi="Courier New" w:eastAsia="Courier New" w:cs="Courier New"/>
          <w:b w:val="0"/>
          <w:i w:val="0"/>
          <w:color w:val="000000"/>
          <w:sz w:val="19"/>
        </w:rPr>
        <w:t xml:space="preserve">float</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0.75</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float</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mmentTok"/>
          <w:rFonts w:ascii="Courier New" w:hAnsi="Courier New" w:eastAsia="Courier New" w:cs="Courier New"/>
          <w:b w:val="0"/>
          <w:i w:val="0"/>
          <w:color w:val="000000"/>
          <w:sz w:val="19"/>
        </w:rPr>
        <w:t xml:space="preserve">"""Standard BM25 score of a query against a single document's term-frequencies."""</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if</w:t>
      </w:r>
      <w:r>
        <w:rPr>
          <w:rStyle w:val="NormalTok"/>
          <w:rFonts w:ascii="Courier New" w:hAnsi="Courier New" w:eastAsia="Courier New" w:cs="Courier New"/>
          <w:b w:val="0"/>
          <w:i w:val="0"/>
          <w:color w:val="000000"/>
          <w:sz w:val="19"/>
        </w:rPr>
        <w:t xml:space="preserve"> </w:t>
      </w:r>
      <w:r>
        <w:rPr>
          <w:rStyle w:val="KeywordTok"/>
          <w:rFonts w:ascii="Courier New" w:hAnsi="Courier New" w:eastAsia="Courier New" w:cs="Courier New"/>
          <w:b w:val="0"/>
          <w:i w:val="0"/>
          <w:color w:val="000000"/>
          <w:sz w:val="19"/>
        </w:rPr>
        <w:t xml:space="preserve">not</w:t>
      </w:r>
      <w:r>
        <w:rPr>
          <w:rStyle w:val="NormalTok"/>
          <w:rFonts w:ascii="Courier New" w:hAnsi="Courier New" w:eastAsia="Courier New" w:cs="Courier New"/>
          <w:b w:val="0"/>
          <w:i w:val="0"/>
          <w:color w:val="000000"/>
          <w:sz w:val="19"/>
        </w:rPr>
        <w:t xml:space="preserve"> query_terms:</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return</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0.0</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dl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sum</w:t>
      </w:r>
      <w:r>
        <w:rPr>
          <w:rStyle w:val="NormalTok"/>
          <w:rFonts w:ascii="Courier New" w:hAnsi="Courier New" w:eastAsia="Courier New" w:cs="Courier New"/>
          <w:b w:val="0"/>
          <w:i w:val="0"/>
          <w:color w:val="000000"/>
          <w:sz w:val="19"/>
        </w:rPr>
        <w:t xml:space="preserve">(resume_tf.values()) </w:t>
      </w:r>
      <w:r>
        <w:rPr>
          <w:rStyle w:val="KeywordTok"/>
          <w:rFonts w:ascii="Courier New" w:hAnsi="Courier New" w:eastAsia="Courier New" w:cs="Courier New"/>
          <w:b w:val="0"/>
          <w:i w:val="0"/>
          <w:color w:val="000000"/>
          <w:sz w:val="19"/>
        </w:rPr>
        <w:t xml:space="preserve">or</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1</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score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0.0</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for</w:t>
      </w:r>
      <w:r>
        <w:rPr>
          <w:rStyle w:val="NormalTok"/>
          <w:rFonts w:ascii="Courier New" w:hAnsi="Courier New" w:eastAsia="Courier New" w:cs="Courier New"/>
          <w:b w:val="0"/>
          <w:i w:val="0"/>
          <w:color w:val="000000"/>
          <w:sz w:val="19"/>
        </w:rPr>
        <w:t xml:space="preserve"> term </w:t>
      </w:r>
      <w:r>
        <w:rPr>
          <w:rStyle w:val="KeywordTok"/>
          <w:rFonts w:ascii="Courier New" w:hAnsi="Courier New" w:eastAsia="Courier New" w:cs="Courier New"/>
          <w:b w:val="0"/>
          <w:i w:val="0"/>
          <w:color w:val="000000"/>
          <w:sz w:val="19"/>
        </w:rPr>
        <w:t xml:space="preserve">in</w:t>
      </w:r>
      <w:r>
        <w:rPr>
          <w:rStyle w:val="NormalTok"/>
          <w:rFonts w:ascii="Courier New" w:hAnsi="Courier New" w:eastAsia="Courier New" w:cs="Courier New"/>
          <w:b w:val="0"/>
          <w:i w:val="0"/>
          <w:color w:val="000000"/>
          <w:sz w:val="19"/>
        </w:rPr>
        <w:t xml:space="preserve"> query_terms:</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resume_tf.get(term, </w:t>
      </w:r>
      <w:r>
        <w:rPr>
          <w:rStyle w:val="DecValTok"/>
          <w:rFonts w:ascii="Courier New" w:hAnsi="Courier New" w:eastAsia="Courier New" w:cs="Courier New"/>
          <w:b w:val="0"/>
          <w:i w:val="0"/>
          <w:color w:val="000000"/>
          <w:sz w:val="19"/>
        </w:rPr>
        <w:t xml:space="preserve">0</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if</w:t>
      </w:r>
      <w:r>
        <w:rPr>
          <w:rStyle w:val="NormalTok"/>
          <w:rFonts w:ascii="Courier New" w:hAnsi="Courier New" w:eastAsia="Courier New" w:cs="Courier New"/>
          <w:b w:val="0"/>
          <w:i w:val="0"/>
          <w:color w:val="000000"/>
          <w:sz w:val="19"/>
        </w:rPr>
        <w:t xml:space="preserve"> tf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0</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continue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term_idf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idf.get(term, math.log((</w:t>
      </w:r>
      <w:r>
        <w:rPr>
          <w:rStyle w:val="DecValTok"/>
          <w:rFonts w:ascii="Courier New" w:hAnsi="Courier New" w:eastAsia="Courier New" w:cs="Courier New"/>
          <w:b w:val="0"/>
          <w:i w:val="0"/>
          <w:color w:val="000000"/>
          <w:sz w:val="19"/>
        </w:rPr>
        <w:t xml:space="preserve">1</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0.5</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0</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0.5</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1</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norm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tf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(k1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1</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(tf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k1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1</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b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b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dl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avg_dl))</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score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term_idf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norm</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return</w:t>
      </w:r>
      <w:r>
        <w:rPr>
          <w:rStyle w:val="NormalTok"/>
          <w:rFonts w:ascii="Courier New" w:hAnsi="Courier New" w:eastAsia="Courier New" w:cs="Courier New"/>
          <w:b w:val="0"/>
          <w:i w:val="0"/>
          <w:color w:val="000000"/>
          <w:sz w:val="19"/>
        </w:rPr>
        <w:t xml:space="preserve"> score</w:t>
      </w:r>
    </w:p>
    <w:bookmarkEnd w:id="121"/>
    <w:bookmarkStart w:id="122" w:name="a.3-runtime-mode-toggle"/>
    <w:p>
      <w:pPr>
        <w:pStyle w:val="Heading3"/>
        <w:keepNext/>
        <w:jc w:val="left"/>
      </w:pPr>
      <w:r>
        <w:rPr>
          <w:rFonts w:ascii="Times New Roman" w:hAnsi="Times New Roman" w:eastAsia="Times New Roman" w:cs="Times New Roman"/>
          <w:b/>
          <w:i/>
          <w:color w:val="000000"/>
          <w:sz w:val="24"/>
        </w:rPr>
        <w:t xml:space="preserve">A.3 Runtime mode toggle</w:t>
      </w:r>
    </w:p>
    <w:p>
      <w:pPr>
        <w:pStyle w:val="FirstParagraph"/>
        <w:spacing w:line="312" w:lineRule="auto" w:after="80"/>
        <w:jc w:val="both"/>
      </w:pPr>
      <w:r>
        <w:rPr>
          <w:rStyle w:val="VerbatimChar"/>
          <w:rFonts w:ascii="Times New Roman" w:hAnsi="Times New Roman" w:eastAsia="Times New Roman" w:cs="Times New Roman"/>
          <w:color w:val="000000"/>
          <w:sz w:val="24"/>
        </w:rPr>
        <w:t xml:space="preserve">backend/app/services/runtime_settings.py</w:t>
      </w:r>
    </w:p>
    <w:p>
      <w:pPr>
        <w:pStyle w:val="SourceCode"/>
        <w:keepNext w:val="0"/>
        <w:keepLines/>
        <w:spacing w:line="240" w:lineRule="auto" w:before="40" w:after="40"/>
        <w:ind w:firstLine="0" w:left="227" w:right="227"/>
        <w:jc w:val="left"/>
        <w:shd w:val="clear" w:color="auto" w:fill="F5F5F5"/>
      </w:pPr>
      <w:r>
        <w:rPr>
          <w:rStyle w:val="NormalTok"/>
          <w:rFonts w:ascii="Courier New" w:hAnsi="Courier New" w:eastAsia="Courier New" w:cs="Courier New"/>
          <w:b w:val="0"/>
          <w:i w:val="0"/>
          <w:color w:val="000000"/>
          <w:sz w:val="19"/>
        </w:rPr>
        <w:t xml:space="preserve">ScoringMode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Literal[</w:t>
      </w:r>
      <w:r>
        <w:rPr>
          <w:rStyle w:val="StringTok"/>
          <w:rFonts w:ascii="Courier New" w:hAnsi="Courier New" w:eastAsia="Courier New" w:cs="Courier New"/>
          <w:b w:val="0"/>
          <w:i w:val="0"/>
          <w:color w:val="000000"/>
          <w:sz w:val="19"/>
        </w:rPr>
        <w:t xml:space="preserve">"blended"</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"heuristic"</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_VALID_MODES: </w:t>
      </w:r>
      <w:r>
        <w:rPr>
          <w:rStyle w:val="BuiltInTok"/>
          <w:rFonts w:ascii="Courier New" w:hAnsi="Courier New" w:eastAsia="Courier New" w:cs="Courier New"/>
          <w:b w:val="0"/>
          <w:i w:val="0"/>
          <w:color w:val="000000"/>
          <w:sz w:val="19"/>
        </w:rPr>
        <w:t xml:space="preserve">tuple</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"blended"</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"heuristic"</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_initial_mode: ScoringMode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"blended"</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configured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getattr</w:t>
      </w:r>
      <w:r>
        <w:rPr>
          <w:rStyle w:val="NormalTok"/>
          <w:rFonts w:ascii="Courier New" w:hAnsi="Courier New" w:eastAsia="Courier New" w:cs="Courier New"/>
          <w:b w:val="0"/>
          <w:i w:val="0"/>
          <w:color w:val="000000"/>
          <w:sz w:val="19"/>
        </w:rPr>
        <w:t xml:space="preserve">(settings, </w:t>
      </w:r>
      <w:r>
        <w:rPr>
          <w:rStyle w:val="StringTok"/>
          <w:rFonts w:ascii="Courier New" w:hAnsi="Courier New" w:eastAsia="Courier New" w:cs="Courier New"/>
          <w:b w:val="0"/>
          <w:i w:val="0"/>
          <w:color w:val="000000"/>
          <w:sz w:val="19"/>
        </w:rPr>
        <w:t xml:space="preserve">"SCORING_MODE"</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"blended"</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ControlFlowTok"/>
          <w:rFonts w:ascii="Courier New" w:hAnsi="Courier New" w:eastAsia="Courier New" w:cs="Courier New"/>
          <w:b w:val="0"/>
          <w:i w:val="0"/>
          <w:color w:val="000000"/>
          <w:sz w:val="19"/>
        </w:rPr>
        <w:t xml:space="preserve">if</w:t>
      </w:r>
      <w:r>
        <w:rPr>
          <w:rStyle w:val="NormalTok"/>
          <w:rFonts w:ascii="Courier New" w:hAnsi="Courier New" w:eastAsia="Courier New" w:cs="Courier New"/>
          <w:b w:val="0"/>
          <w:i w:val="0"/>
          <w:color w:val="000000"/>
          <w:sz w:val="19"/>
        </w:rPr>
        <w:t xml:space="preserve"> configured </w:t>
      </w:r>
      <w:r>
        <w:rPr>
          <w:rStyle w:val="KeywordTok"/>
          <w:rFonts w:ascii="Courier New" w:hAnsi="Courier New" w:eastAsia="Courier New" w:cs="Courier New"/>
          <w:b w:val="0"/>
          <w:i w:val="0"/>
          <w:color w:val="000000"/>
          <w:sz w:val="19"/>
        </w:rPr>
        <w:t xml:space="preserve">in</w:t>
      </w:r>
      <w:r>
        <w:rPr>
          <w:rStyle w:val="NormalTok"/>
          <w:rFonts w:ascii="Courier New" w:hAnsi="Courier New" w:eastAsia="Courier New" w:cs="Courier New"/>
          <w:b w:val="0"/>
          <w:i w:val="0"/>
          <w:color w:val="000000"/>
          <w:sz w:val="19"/>
        </w:rPr>
        <w:t xml:space="preserve"> _VALID_MODES:</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_initial_mode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configured</w:t>
      </w:r>
      <w:r>
        <w:rPr>
          <w:rFonts w:ascii="Courier New" w:hAnsi="Courier New" w:eastAsia="Courier New" w:cs="Courier New"/>
          <w:b w:val="0"/>
          <w:i w:val="0"/>
          <w:color w:val="000000"/>
          <w:sz w:val="19"/>
        </w:rPr>
        <w:br/>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_current_mode: ScoringMode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_initial_mode</w:t>
      </w:r>
      <w:r>
        <w:rPr>
          <w:rFonts w:ascii="Courier New" w:hAnsi="Courier New" w:eastAsia="Courier New" w:cs="Courier New"/>
          <w:b w:val="0"/>
          <w:i w:val="0"/>
          <w:color w:val="000000"/>
          <w:sz w:val="19"/>
        </w:rPr>
        <w:br/>
      </w:r>
      <w:r>
        <w:rPr>
          <w:rFonts w:ascii="Courier New" w:hAnsi="Courier New" w:eastAsia="Courier New" w:cs="Courier New"/>
          <w:b w:val="0"/>
          <w:i w:val="0"/>
          <w:color w:val="000000"/>
          <w:sz w:val="19"/>
        </w:rPr>
        <w:br/>
      </w:r>
      <w:r>
        <w:rPr>
          <w:rStyle w:val="KeywordTok"/>
          <w:rFonts w:ascii="Courier New" w:hAnsi="Courier New" w:eastAsia="Courier New" w:cs="Courier New"/>
          <w:b w:val="0"/>
          <w:i w:val="0"/>
          <w:color w:val="000000"/>
          <w:sz w:val="19"/>
        </w:rPr>
        <w:t xml:space="preserve">def</w:t>
      </w:r>
      <w:r>
        <w:rPr>
          <w:rStyle w:val="NormalTok"/>
          <w:rFonts w:ascii="Courier New" w:hAnsi="Courier New" w:eastAsia="Courier New" w:cs="Courier New"/>
          <w:b w:val="0"/>
          <w:i w:val="0"/>
          <w:color w:val="000000"/>
          <w:sz w:val="19"/>
        </w:rPr>
        <w:t xml:space="preserve"> get_scoring_mode()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ScoringMode: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return</w:t>
      </w:r>
      <w:r>
        <w:rPr>
          <w:rStyle w:val="NormalTok"/>
          <w:rFonts w:ascii="Courier New" w:hAnsi="Courier New" w:eastAsia="Courier New" w:cs="Courier New"/>
          <w:b w:val="0"/>
          <w:i w:val="0"/>
          <w:color w:val="000000"/>
          <w:sz w:val="19"/>
        </w:rPr>
        <w:t xml:space="preserve"> _current_mode</w:t>
      </w:r>
      <w:r>
        <w:rPr>
          <w:rFonts w:ascii="Courier New" w:hAnsi="Courier New" w:eastAsia="Courier New" w:cs="Courier New"/>
          <w:b w:val="0"/>
          <w:i w:val="0"/>
          <w:color w:val="000000"/>
          <w:sz w:val="19"/>
        </w:rPr>
        <w:br/>
      </w:r>
      <w:r>
        <w:rPr>
          <w:rFonts w:ascii="Courier New" w:hAnsi="Courier New" w:eastAsia="Courier New" w:cs="Courier New"/>
          <w:b w:val="0"/>
          <w:i w:val="0"/>
          <w:color w:val="000000"/>
          <w:sz w:val="19"/>
        </w:rPr>
        <w:br/>
      </w:r>
      <w:r>
        <w:rPr>
          <w:rStyle w:val="KeywordTok"/>
          <w:rFonts w:ascii="Courier New" w:hAnsi="Courier New" w:eastAsia="Courier New" w:cs="Courier New"/>
          <w:b w:val="0"/>
          <w:i w:val="0"/>
          <w:color w:val="000000"/>
          <w:sz w:val="19"/>
        </w:rPr>
        <w:t xml:space="preserve">def</w:t>
      </w:r>
      <w:r>
        <w:rPr>
          <w:rStyle w:val="NormalTok"/>
          <w:rFonts w:ascii="Courier New" w:hAnsi="Courier New" w:eastAsia="Courier New" w:cs="Courier New"/>
          <w:b w:val="0"/>
          <w:i w:val="0"/>
          <w:color w:val="000000"/>
          <w:sz w:val="19"/>
        </w:rPr>
        <w:t xml:space="preserve"> set_scoring_mode(mode: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ScoringMode: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KeywordTok"/>
          <w:rFonts w:ascii="Courier New" w:hAnsi="Courier New" w:eastAsia="Courier New" w:cs="Courier New"/>
          <w:b w:val="0"/>
          <w:i w:val="0"/>
          <w:color w:val="000000"/>
          <w:sz w:val="19"/>
        </w:rPr>
        <w:t xml:space="preserve">global</w:t>
      </w:r>
      <w:r>
        <w:rPr>
          <w:rStyle w:val="NormalTok"/>
          <w:rFonts w:ascii="Courier New" w:hAnsi="Courier New" w:eastAsia="Courier New" w:cs="Courier New"/>
          <w:b w:val="0"/>
          <w:i w:val="0"/>
          <w:color w:val="000000"/>
          <w:sz w:val="19"/>
        </w:rPr>
        <w:t xml:space="preserve"> _current_mode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if</w:t>
      </w:r>
      <w:r>
        <w:rPr>
          <w:rStyle w:val="NormalTok"/>
          <w:rFonts w:ascii="Courier New" w:hAnsi="Courier New" w:eastAsia="Courier New" w:cs="Courier New"/>
          <w:b w:val="0"/>
          <w:i w:val="0"/>
          <w:color w:val="000000"/>
          <w:sz w:val="19"/>
        </w:rPr>
        <w:t xml:space="preserve"> mode </w:t>
      </w:r>
      <w:r>
        <w:rPr>
          <w:rStyle w:val="KeywordTok"/>
          <w:rFonts w:ascii="Courier New" w:hAnsi="Courier New" w:eastAsia="Courier New" w:cs="Courier New"/>
          <w:b w:val="0"/>
          <w:i w:val="0"/>
          <w:color w:val="000000"/>
          <w:sz w:val="19"/>
        </w:rPr>
        <w:t xml:space="preserve">not</w:t>
      </w:r>
      <w:r>
        <w:rPr>
          <w:rStyle w:val="NormalTok"/>
          <w:rFonts w:ascii="Courier New" w:hAnsi="Courier New" w:eastAsia="Courier New" w:cs="Courier New"/>
          <w:b w:val="0"/>
          <w:i w:val="0"/>
          <w:color w:val="000000"/>
          <w:sz w:val="19"/>
        </w:rPr>
        <w:t xml:space="preserve"> </w:t>
      </w:r>
      <w:r>
        <w:rPr>
          <w:rStyle w:val="KeywordTok"/>
          <w:rFonts w:ascii="Courier New" w:hAnsi="Courier New" w:eastAsia="Courier New" w:cs="Courier New"/>
          <w:b w:val="0"/>
          <w:i w:val="0"/>
          <w:color w:val="000000"/>
          <w:sz w:val="19"/>
        </w:rPr>
        <w:t xml:space="preserve">in</w:t>
      </w:r>
      <w:r>
        <w:rPr>
          <w:rStyle w:val="NormalTok"/>
          <w:rFonts w:ascii="Courier New" w:hAnsi="Courier New" w:eastAsia="Courier New" w:cs="Courier New"/>
          <w:b w:val="0"/>
          <w:i w:val="0"/>
          <w:color w:val="000000"/>
          <w:sz w:val="19"/>
        </w:rPr>
        <w:t xml:space="preserve"> _VALID_MODES:</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raise</w:t>
      </w:r>
      <w:r>
        <w:rPr>
          <w:rStyle w:val="NormalTok"/>
          <w:rFonts w:ascii="Courier New" w:hAnsi="Courier New" w:eastAsia="Courier New" w:cs="Courier New"/>
          <w:b w:val="0"/>
          <w:i w:val="0"/>
          <w:color w:val="000000"/>
          <w:sz w:val="19"/>
        </w:rPr>
        <w:t xml:space="preserve"> </w:t>
      </w:r>
      <w:r>
        <w:rPr>
          <w:rStyle w:val="PreprocessorTok"/>
          <w:rFonts w:ascii="Courier New" w:hAnsi="Courier New" w:eastAsia="Courier New" w:cs="Courier New"/>
          <w:b w:val="0"/>
          <w:i w:val="0"/>
          <w:color w:val="000000"/>
          <w:sz w:val="19"/>
        </w:rPr>
        <w:t xml:space="preserve">ValueError</w:t>
      </w:r>
      <w:r>
        <w:rPr>
          <w:rStyle w:val="NormalTok"/>
          <w:rFonts w:ascii="Courier New" w:hAnsi="Courier New" w:eastAsia="Courier New" w:cs="Courier New"/>
          <w:b w:val="0"/>
          <w:i w:val="0"/>
          <w:color w:val="000000"/>
          <w:sz w:val="19"/>
        </w:rPr>
        <w:t xml:space="preserve">(</w:t>
      </w:r>
      <w:r>
        <w:rPr>
          <w:rStyle w:val="SpecialStringTok"/>
          <w:rFonts w:ascii="Courier New" w:hAnsi="Courier New" w:eastAsia="Courier New" w:cs="Courier New"/>
          <w:b w:val="0"/>
          <w:i w:val="0"/>
          <w:color w:val="000000"/>
          <w:sz w:val="19"/>
        </w:rPr>
        <w:t xml:space="preserve">f"unknown scoring mode: </w:t>
      </w:r>
      <w:r>
        <w:rPr>
          <w:rStyle w:val="SpecialCha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mode</w:t>
      </w:r>
      <w:r>
        <w:rPr>
          <w:rStyle w:val="SpecialCharTok"/>
          <w:rFonts w:ascii="Courier New" w:hAnsi="Courier New" w:eastAsia="Courier New" w:cs="Courier New"/>
          <w:b w:val="0"/>
          <w:i w:val="0"/>
          <w:color w:val="000000"/>
          <w:sz w:val="19"/>
        </w:rPr>
        <w:t xml:space="preserve">!r}</w:t>
      </w:r>
      <w:r>
        <w:rPr>
          <w:rStyle w:val="SpecialString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_current_mode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mode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return</w:t>
      </w:r>
      <w:r>
        <w:rPr>
          <w:rStyle w:val="NormalTok"/>
          <w:rFonts w:ascii="Courier New" w:hAnsi="Courier New" w:eastAsia="Courier New" w:cs="Courier New"/>
          <w:b w:val="0"/>
          <w:i w:val="0"/>
          <w:color w:val="000000"/>
          <w:sz w:val="19"/>
        </w:rPr>
        <w:t xml:space="preserve"> _current_mode</w:t>
      </w:r>
    </w:p>
    <w:bookmarkEnd w:id="122"/>
    <w:bookmarkStart w:id="123" w:name="a.4-shared-tool-pipeline"/>
    <w:p>
      <w:pPr>
        <w:pStyle w:val="Heading3"/>
        <w:keepNext/>
        <w:jc w:val="left"/>
      </w:pPr>
      <w:r>
        <w:rPr>
          <w:rFonts w:ascii="Times New Roman" w:hAnsi="Times New Roman" w:eastAsia="Times New Roman" w:cs="Times New Roman"/>
          <w:b/>
          <w:i/>
          <w:color w:val="000000"/>
          <w:sz w:val="24"/>
        </w:rPr>
        <w:t xml:space="preserve">A.4 Shared tool pipeline</w:t>
      </w:r>
    </w:p>
    <w:p>
      <w:pPr>
        <w:pStyle w:val="FirstParagraph"/>
        <w:spacing w:line="312" w:lineRule="auto" w:after="80"/>
        <w:jc w:val="both"/>
      </w:pPr>
      <w:r>
        <w:rPr>
          <w:rStyle w:val="VerbatimChar"/>
          <w:rFonts w:ascii="Times New Roman" w:hAnsi="Times New Roman" w:eastAsia="Times New Roman" w:cs="Times New Roman"/>
          <w:color w:val="000000"/>
          <w:sz w:val="24"/>
        </w:rPr>
        <w:t xml:space="preserve">backend/app/services/tool_pipeline.py</w:t>
      </w:r>
    </w:p>
    <w:p>
      <w:pPr>
        <w:pStyle w:val="SourceCode"/>
        <w:keepNext w:val="0"/>
        <w:keepLines/>
        <w:spacing w:line="240" w:lineRule="auto" w:before="40" w:after="40"/>
        <w:ind w:firstLine="0" w:left="227" w:right="227"/>
        <w:jc w:val="left"/>
        <w:shd w:val="clear" w:color="auto" w:fill="F5F5F5"/>
      </w:pPr>
      <w:r>
        <w:rPr>
          <w:rStyle w:val="ControlFlowTok"/>
          <w:rFonts w:ascii="Courier New" w:hAnsi="Courier New" w:eastAsia="Courier New" w:cs="Courier New"/>
          <w:b w:val="0"/>
          <w:i w:val="0"/>
          <w:color w:val="000000"/>
          <w:sz w:val="19"/>
        </w:rPr>
        <w:t xml:space="preserve">async</w:t>
      </w:r>
      <w:r>
        <w:rPr>
          <w:rStyle w:val="NormalTok"/>
          <w:rFonts w:ascii="Courier New" w:hAnsi="Courier New" w:eastAsia="Courier New" w:cs="Courier New"/>
          <w:b w:val="0"/>
          <w:i w:val="0"/>
          <w:color w:val="000000"/>
          <w:sz w:val="19"/>
        </w:rPr>
        <w:t xml:space="preserve"> </w:t>
      </w:r>
      <w:r>
        <w:rPr>
          <w:rStyle w:val="KeywordTok"/>
          <w:rFonts w:ascii="Courier New" w:hAnsi="Courier New" w:eastAsia="Courier New" w:cs="Courier New"/>
          <w:b w:val="0"/>
          <w:i w:val="0"/>
          <w:color w:val="000000"/>
          <w:sz w:val="19"/>
        </w:rPr>
        <w:t xml:space="preserve">def</w:t>
      </w:r>
      <w:r>
        <w:rPr>
          <w:rStyle w:val="NormalTok"/>
          <w:rFonts w:ascii="Courier New" w:hAnsi="Courier New" w:eastAsia="Courier New" w:cs="Courier New"/>
          <w:b w:val="0"/>
          <w:i w:val="0"/>
          <w:color w:val="000000"/>
          <w:sz w:val="19"/>
        </w:rPr>
        <w:t xml:space="preserve"> run_tool_pipeline(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tool_name: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service_fn: Callable[..., Awaitable[</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Any]]],</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service_kwargs: </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Any],</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label_fn: Callable[[</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Any]],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resume_text: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job_description: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feedback: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parent_run_id: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workspace_id: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linked_context_ids: </w:t>
      </w:r>
      <w:r>
        <w:rPr>
          <w:rStyle w:val="BuiltInTok"/>
          <w:rFonts w:ascii="Courier New" w:hAnsi="Courier New" w:eastAsia="Courier New" w:cs="Courier New"/>
          <w:b w:val="0"/>
          <w:i w:val="0"/>
          <w:color w:val="000000"/>
          <w:sz w:val="19"/>
        </w:rPr>
        <w:t xml:space="preserve">list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current_user: User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db: Session,</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cache_extra_keys: </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Any]:</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mmentTok"/>
          <w:rFonts w:ascii="Courier New" w:hAnsi="Courier New" w:eastAsia="Courier New" w:cs="Courier New"/>
          <w:b w:val="0"/>
          <w:i w:val="0"/>
          <w:color w:val="000000"/>
          <w:sz w:val="19"/>
        </w:rPr>
        <w:t xml:space="preserve">"""Shared pipeline: sanitize -&gt; cache -&gt; service -&gt; fallback -&gt; persist -&gt; respond."""</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mmentTok"/>
          <w:rFonts w:ascii="Courier New" w:hAnsi="Courier New" w:eastAsia="Courier New" w:cs="Courier New"/>
          <w:b w:val="0"/>
          <w:i w:val="0"/>
          <w:color w:val="000000"/>
          <w:sz w:val="19"/>
        </w:rPr>
        <w:t xml:space="preserve"># ... (sanitisation, cache lookup, service call, persistence, observability)</w:t>
      </w:r>
    </w:p>
    <w:bookmarkEnd w:id="123"/>
    <w:bookmarkEnd w:id="124"/>
    <w:bookmarkStart w:id="129" w:name="Xe2691035b1ea9be44987f1df6fe865ef1936dcd"/>
    <w:p>
      <w:pPr>
        <w:pStyle w:val="Heading2"/>
        <w:keepNext/>
        <w:jc w:val="left"/>
      </w:pPr>
      <w:r>
        <w:rPr>
          <w:rFonts w:ascii="Times New Roman" w:hAnsi="Times New Roman" w:eastAsia="Times New Roman" w:cs="Times New Roman"/>
          <w:b/>
          <w:i w:val="0"/>
          <w:color w:val="000000"/>
          <w:sz w:val="28"/>
        </w:rPr>
        <w:t xml:space="preserve">Appendix B — Evaluation dataset description</w:t>
      </w:r>
    </w:p>
    <w:p>
      <w:pPr>
        <w:pStyle w:val="FirstParagraph"/>
        <w:spacing w:line="312" w:lineRule="auto" w:after="80"/>
        <w:jc w:val="both"/>
      </w:pPr>
      <w:r>
        <w:rPr>
          <w:rFonts w:ascii="Times New Roman" w:hAnsi="Times New Roman" w:eastAsia="Times New Roman" w:cs="Times New Roman"/>
          <w:color w:val="000000"/>
          <w:sz w:val="24"/>
        </w:rPr>
        <w:t xml:space="preserve">The evaluation dataset used in Chapter 4.3 contains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30 resumes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20 job descriptions, organised into six role tracks: backend engineering, frontend engineering, full-stack engineering, data analytics, product design, and product management.</w:t>
      </w:r>
    </w:p>
    <w:bookmarkStart w:id="125" w:name="b.1-resume-synthesis-procedure"/>
    <w:p>
      <w:pPr>
        <w:pStyle w:val="Heading3"/>
        <w:keepNext/>
        <w:jc w:val="left"/>
      </w:pPr>
      <w:r>
        <w:rPr>
          <w:rFonts w:ascii="Times New Roman" w:hAnsi="Times New Roman" w:eastAsia="Times New Roman" w:cs="Times New Roman"/>
          <w:b/>
          <w:i/>
          <w:color w:val="000000"/>
          <w:sz w:val="24"/>
        </w:rPr>
        <w:t xml:space="preserve">B.1 Resume synthesis procedure</w:t>
      </w:r>
    </w:p>
    <w:p>
      <w:pPr>
        <w:pStyle w:val="FirstParagraph"/>
        <w:spacing w:line="312" w:lineRule="auto" w:after="80"/>
        <w:jc w:val="both"/>
      </w:pPr>
      <w:r>
        <w:rPr>
          <w:rFonts w:ascii="Times New Roman" w:hAnsi="Times New Roman" w:eastAsia="Times New Roman" w:cs="Times New Roman"/>
          <w:color w:val="000000"/>
          <w:sz w:val="24"/>
        </w:rP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spacing w:line="312" w:lineRule="auto" w:after="80"/>
        <w:ind w:firstLine="283"/>
        <w:jc w:val="both"/>
      </w:pPr>
      <w:r>
        <w:rPr>
          <w:rFonts w:ascii="Times New Roman" w:hAnsi="Times New Roman" w:eastAsia="Times New Roman" w:cs="Times New Roman"/>
          <w:color w:val="000000"/>
          <w:sz w:val="24"/>
        </w:rPr>
        <w:t xml:space="preserve">The synthesis script is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scripts/synthesise_eval_dataset.py</w:t>
      </w:r>
      <w:r>
        <w:rPr>
          <w:rFonts w:ascii="Times New Roman" w:hAnsi="Times New Roman" w:eastAsia="Times New Roman" w:cs="Times New Roman"/>
          <w:color w:val="000000"/>
          <w:sz w:val="24"/>
        </w:rPr>
        <w:t xml:space="preserve">. It is fully deterministic: a fixed seed (</w:t>
      </w:r>
      <w:r>
        <w:rPr>
          <w:rStyle w:val="VerbatimChar"/>
          <w:rFonts w:ascii="Times New Roman" w:hAnsi="Times New Roman" w:eastAsia="Times New Roman" w:cs="Times New Roman"/>
          <w:color w:val="000000"/>
          <w:sz w:val="24"/>
        </w:rPr>
        <w:t xml:space="preserve">SEED = 42</w:t>
      </w:r>
      <w:r>
        <w:rPr>
          <w:rFonts w:ascii="Times New Roman" w:hAnsi="Times New Roman" w:eastAsia="Times New Roman" w:cs="Times New Roman"/>
          <w:color w:val="000000"/>
          <w:sz w:val="24"/>
        </w:rPr>
        <w:t xml:space="preserve">) produces the same 30 resumes and 20 job descriptions on every run, which makes the evaluation manifest reproducible from the script alone.</w:t>
      </w:r>
    </w:p>
    <w:bookmarkEnd w:id="125"/>
    <w:bookmarkStart w:id="126" w:name="b.2-job-description-synthesis-procedure"/>
    <w:p>
      <w:pPr>
        <w:pStyle w:val="Heading3"/>
        <w:keepNext/>
        <w:jc w:val="left"/>
      </w:pPr>
      <w:r>
        <w:rPr>
          <w:rFonts w:ascii="Times New Roman" w:hAnsi="Times New Roman" w:eastAsia="Times New Roman" w:cs="Times New Roman"/>
          <w:b/>
          <w:i/>
          <w:color w:val="000000"/>
          <w:sz w:val="24"/>
        </w:rPr>
        <w:t xml:space="preserve">B.2 Job description synthesis procedure</w:t>
      </w:r>
    </w:p>
    <w:p>
      <w:pPr>
        <w:pStyle w:val="FirstParagraph"/>
        <w:spacing w:line="312" w:lineRule="auto" w:after="80"/>
        <w:jc w:val="both"/>
      </w:pPr>
      <w:r>
        <w:rPr>
          <w:rFonts w:ascii="Times New Roman" w:hAnsi="Times New Roman" w:eastAsia="Times New Roman" w:cs="Times New Roman"/>
          <w:color w:val="000000"/>
          <w:sz w:val="24"/>
        </w:rP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26"/>
    <w:bookmarkStart w:id="127" w:name="b.3-pair-construction"/>
    <w:p>
      <w:pPr>
        <w:pStyle w:val="Heading3"/>
        <w:keepNext/>
        <w:jc w:val="left"/>
      </w:pPr>
      <w:r>
        <w:rPr>
          <w:rFonts w:ascii="Times New Roman" w:hAnsi="Times New Roman" w:eastAsia="Times New Roman" w:cs="Times New Roman"/>
          <w:b/>
          <w:i/>
          <w:color w:val="000000"/>
          <w:sz w:val="24"/>
        </w:rPr>
        <w:t xml:space="preserve">B.3 Pair construction</w:t>
      </w:r>
    </w:p>
    <w:p>
      <w:pPr>
        <w:pStyle w:val="FirstParagraph"/>
        <w:spacing w:line="312" w:lineRule="auto" w:after="80"/>
        <w:jc w:val="both"/>
      </w:pPr>
      <w:r>
        <w:rPr>
          <w:rFonts w:ascii="Times New Roman" w:hAnsi="Times New Roman" w:eastAsia="Times New Roman" w:cs="Times New Roman"/>
          <w:color w:val="000000"/>
          <w:sz w:val="24"/>
        </w:rPr>
        <w:t xml:space="preserve">The evaluation harness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scripts/eval_scoring.py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pairs each resume with every job description inside the same role track. The JD distribution is three JDs in four tracks and four JDs in two tracks, which produces an exact total of one hundred (resume, JD) pairs.</w:t>
      </w:r>
    </w:p>
    <w:bookmarkEnd w:id="127"/>
    <w:bookmarkStart w:id="128" w:name="b.4-pair-manifest"/>
    <w:p>
      <w:pPr>
        <w:pStyle w:val="Heading3"/>
        <w:keepNext/>
        <w:jc w:val="left"/>
      </w:pPr>
      <w:r>
        <w:rPr>
          <w:rFonts w:ascii="Times New Roman" w:hAnsi="Times New Roman" w:eastAsia="Times New Roman" w:cs="Times New Roman"/>
          <w:b/>
          <w:i/>
          <w:color w:val="000000"/>
          <w:sz w:val="24"/>
        </w:rPr>
        <w:t xml:space="preserve">B.4 Pair manifest</w:t>
      </w:r>
    </w:p>
    <w:p>
      <w:pPr>
        <w:pStyle w:val="FirstParagraph"/>
        <w:spacing w:line="312" w:lineRule="auto" w:after="80"/>
        <w:jc w:val="both"/>
      </w:pPr>
      <w:r>
        <w:rPr>
          <w:rFonts w:ascii="Times New Roman" w:hAnsi="Times New Roman" w:eastAsia="Times New Roman" w:cs="Times New Roman"/>
          <w:color w:val="000000"/>
          <w:sz w:val="24"/>
        </w:rPr>
        <w:t xml:space="preserve">The manifest produced by the synthesis script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thesis/eval-dataset.json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 list of one hundred objects with the shape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{id, resume, jd, role_track}</w:t>
      </w:r>
      <w:r>
        <w:rPr>
          <w:rFonts w:ascii="Times New Roman" w:hAnsi="Times New Roman" w:eastAsia="Times New Roman" w:cs="Times New Roman"/>
          <w:color w:val="000000"/>
          <w:sz w:val="24"/>
        </w:rPr>
        <w:t xml:space="preserve">.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composed as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r-&lt;track&gt;-&lt;NN&gt;__jd-&lt;track&gt;-&lt;NN&gt;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so that every row is traceable back to its constituent resume and job description, and every per-pair result in Section 4.3 can be re-queried by id.</w:t>
      </w:r>
    </w:p>
    <w:bookmarkEnd w:id="128"/>
    <w:bookmarkEnd w:id="129"/>
    <w:bookmarkStart w:id="146" w:name="Xa5e1eb6ef87c5a83e8c05d91d91fb5c96834f8e"/>
    <w:p>
      <w:pPr>
        <w:pStyle w:val="Heading2"/>
        <w:keepNext/>
        <w:jc w:val="left"/>
      </w:pPr>
      <w:r>
        <w:rPr>
          <w:rFonts w:ascii="Times New Roman" w:hAnsi="Times New Roman" w:eastAsia="Times New Roman" w:cs="Times New Roman"/>
          <w:b/>
          <w:i w:val="0"/>
          <w:color w:val="000000"/>
          <w:sz w:val="28"/>
        </w:rPr>
        <w:t xml:space="preserve">Appendix C — Screenshots of the running system</w:t>
      </w:r>
    </w:p>
    <w:p>
      <w:pPr>
        <w:pStyle w:val="FirstParagraph"/>
        <w:spacing w:line="312" w:lineRule="auto" w:after="80"/>
        <w:jc w:val="both"/>
      </w:pPr>
      <w:r>
        <w:rPr>
          <w:rFonts w:ascii="Times New Roman" w:hAnsi="Times New Roman" w:eastAsia="Times New Roman" w:cs="Times New Roman"/>
          <w:color w:val="000000"/>
          <w:sz w:val="24"/>
        </w:rP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33" w:name="c.1-landing-page"/>
    <w:p>
      <w:pPr>
        <w:pStyle w:val="Heading3"/>
        <w:keepNext/>
        <w:jc w:val="left"/>
      </w:pPr>
      <w:r>
        <w:rPr>
          <w:rFonts w:ascii="Times New Roman" w:hAnsi="Times New Roman" w:eastAsia="Times New Roman" w:cs="Times New Roman"/>
          <w:b/>
          <w:i/>
          <w:color w:val="000000"/>
          <w:sz w:val="24"/>
        </w:rPr>
        <w:t xml:space="preserve">C.1 Landing page</w:t>
      </w:r>
    </w:p>
    <w:p>
      <w:pPr>
        <w:pStyle w:val="CaptionedFigure"/>
        <w:keepNext/>
        <w:spacing w:before="60" w:after="40"/>
        <w:jc w:val="center"/>
      </w:pPr>
      <w:r>
        <w:drawing>
          <wp:inline>
            <wp:extent cx="4031999" cy="2267999"/>
            <wp:effectExtent b="0" l="0" r="0" t="0"/>
            <wp:docPr descr="Figure C.1 — Career Workbench landing page (signed-out, production deployment)." title="" id="131" name="Picture"/>
            <a:graphic>
              <a:graphicData uri="http://schemas.openxmlformats.org/drawingml/2006/picture">
                <pic:pic>
                  <pic:nvPicPr>
                    <pic:cNvPr descr="figures/ui-01-landing.png" id="132" name="Picture"/>
                    <pic:cNvPicPr>
                      <a:picLocks noChangeArrowheads="1" noChangeAspect="1"/>
                    </pic:cNvPicPr>
                  </pic:nvPicPr>
                  <pic:blipFill>
                    <a:blip r:embed="rId130"/>
                    <a:stretch>
                      <a:fillRect/>
                    </a:stretch>
                  </pic:blipFill>
                  <pic:spPr bwMode="auto">
                    <a:xfrm>
                      <a:off x="0" y="0"/>
                      <a:ext cx="4031999" cy="2267999"/>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C.1 — Career Workbench landing page (signed-out, production deployment).</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Figure C.1: The public landing page at</w:t>
      </w:r>
      <w:r>
        <w:rPr>
          <w:rFonts w:ascii="Times New Roman" w:hAnsi="Times New Roman" w:eastAsia="Times New Roman" w:cs="Times New Roman"/>
          <w:i/>
          <w:iCs/>
          <w:color w:val="000000"/>
          <w:sz w:val="24"/>
        </w:rPr>
        <w:t xml:space="preserve"> </w:t>
      </w:r>
      <w:r>
        <w:rPr>
          <w:rStyle w:val="VerbatimChar"/>
          <w:rFonts w:ascii="Times New Roman" w:hAnsi="Times New Roman" w:eastAsia="Times New Roman" w:cs="Times New Roman"/>
          <w:i/>
          <w:iCs/>
          <w:color w:val="000000"/>
          <w:sz w:val="24"/>
        </w:rPr>
        <w:t xml:space="preserve">https://thecareerworkbench.com</w:t>
      </w:r>
      <w:r>
        <w:rPr>
          <w:rFonts w:ascii="Times New Roman" w:hAnsi="Times New Roman" w:eastAsia="Times New Roman" w:cs="Times New Roman"/>
          <w:i/>
          <w:iCs/>
          <w:color w:val="000000"/>
          <w:sz w:val="24"/>
        </w:rPr>
        <w:t xml:space="preserve">, presenting the six career-tooling pillars and the primary call-to-action to sign in or proceed as guest.</w:t>
      </w:r>
    </w:p>
    <w:bookmarkEnd w:id="133"/>
    <w:bookmarkStart w:id="137" w:name="c.2-resume-analyzer-input-page"/>
    <w:p>
      <w:pPr>
        <w:pStyle w:val="Heading3"/>
        <w:keepNext/>
        <w:jc w:val="left"/>
      </w:pPr>
      <w:r>
        <w:rPr>
          <w:rFonts w:ascii="Times New Roman" w:hAnsi="Times New Roman" w:eastAsia="Times New Roman" w:cs="Times New Roman"/>
          <w:b/>
          <w:i/>
          <w:color w:val="000000"/>
          <w:sz w:val="24"/>
        </w:rPr>
        <w:t xml:space="preserve">C.2 Resume Analyzer input page</w:t>
      </w:r>
    </w:p>
    <w:p>
      <w:pPr>
        <w:pStyle w:val="CaptionedFigure"/>
        <w:keepNext/>
        <w:spacing w:before="60" w:after="40"/>
        <w:jc w:val="center"/>
      </w:pPr>
      <w:r>
        <w:drawing>
          <wp:inline>
            <wp:extent cx="4031999" cy="2267999"/>
            <wp:effectExtent b="0" l="0" r="0" t="0"/>
            <wp:docPr descr="Figure C.2 — Resume Analyzer input page, guest mode." title="" id="135" name="Picture"/>
            <a:graphic>
              <a:graphicData uri="http://schemas.openxmlformats.org/drawingml/2006/picture">
                <pic:pic>
                  <pic:nvPicPr>
                    <pic:cNvPr descr="figures/ui-03-resume-input.png" id="136" name="Picture"/>
                    <pic:cNvPicPr>
                      <a:picLocks noChangeArrowheads="1" noChangeAspect="1"/>
                    </pic:cNvPicPr>
                  </pic:nvPicPr>
                  <pic:blipFill>
                    <a:blip r:embed="rId134"/>
                    <a:stretch>
                      <a:fillRect/>
                    </a:stretch>
                  </pic:blipFill>
                  <pic:spPr bwMode="auto">
                    <a:xfrm>
                      <a:off x="0" y="0"/>
                      <a:ext cx="4031999" cy="2267999"/>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C.2 — Resume Analyzer input page, guest mode.</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Figure C.2: The Resume Analyzer input page (</w:t>
      </w:r>
      <w:r>
        <w:rPr>
          <w:rStyle w:val="VerbatimChar"/>
          <w:rFonts w:ascii="Times New Roman" w:hAnsi="Times New Roman" w:eastAsia="Times New Roman" w:cs="Times New Roman"/>
          <w:i/>
          <w:iCs/>
          <w:color w:val="000000"/>
          <w:sz w:val="24"/>
        </w:rPr>
        <w:t xml:space="preserve">/resume</w:t>
      </w:r>
      <w:r>
        <w:rPr>
          <w:rFonts w:ascii="Times New Roman" w:hAnsi="Times New Roman" w:eastAsia="Times New Roman" w:cs="Times New Roman"/>
          <w:i/>
          <w:iCs/>
          <w:color w:val="000000"/>
          <w:sz w:val="24"/>
        </w:rPr>
        <w:t xml:space="preserve">) as it renders for a guest visitor. The input surface accepts a free-text or uploaded resume, with an optional target job description, before invoking the analytical pipeline described in Chapter 3.2.</w:t>
      </w:r>
    </w:p>
    <w:bookmarkEnd w:id="137"/>
    <w:bookmarkStart w:id="141" w:name="Xe92b625608c320df0d0e71eef401fce0fea85fc"/>
    <w:p>
      <w:pPr>
        <w:pStyle w:val="Heading3"/>
        <w:keepNext/>
        <w:jc w:val="left"/>
      </w:pPr>
      <w:r>
        <w:rPr>
          <w:rFonts w:ascii="Times New Roman" w:hAnsi="Times New Roman" w:eastAsia="Times New Roman" w:cs="Times New Roman"/>
          <w:b/>
          <w:i/>
          <w:color w:val="000000"/>
          <w:sz w:val="24"/>
        </w:rPr>
        <w:t xml:space="preserve">C.3 Resume Analyzer result page (blended mode)</w:t>
      </w:r>
    </w:p>
    <w:p>
      <w:pPr>
        <w:pStyle w:val="CaptionedFigure"/>
        <w:keepNext/>
        <w:spacing w:before="60" w:after="40"/>
        <w:jc w:val="center"/>
      </w:pPr>
      <w:r>
        <w:drawing>
          <wp:inline>
            <wp:extent cx="4031999" cy="4531798"/>
            <wp:effectExtent b="0" l="0" r="0" t="0"/>
            <wp:docPr descr="Figure C.3 — Resume Analyzer result page in blended mode." title="" id="139" name="Picture"/>
            <a:graphic>
              <a:graphicData uri="http://schemas.openxmlformats.org/drawingml/2006/picture">
                <pic:pic>
                  <pic:nvPicPr>
                    <pic:cNvPr descr="figures/ui-04-resume-result.png" id="140" name="Picture"/>
                    <pic:cNvPicPr>
                      <a:picLocks noChangeArrowheads="1" noChangeAspect="1"/>
                    </pic:cNvPicPr>
                  </pic:nvPicPr>
                  <pic:blipFill>
                    <a:blip r:embed="rId138"/>
                    <a:stretch>
                      <a:fillRect/>
                    </a:stretch>
                  </pic:blipFill>
                  <pic:spPr bwMode="auto">
                    <a:xfrm>
                      <a:off x="0" y="0"/>
                      <a:ext cx="4031999" cy="4531798"/>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C.3 — Resume Analyzer result page in blended mode.</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41"/>
    <w:bookmarkStart w:id="145" w:name="c.4-job-match-result-page"/>
    <w:p>
      <w:pPr>
        <w:pStyle w:val="Heading3"/>
        <w:keepNext/>
        <w:jc w:val="left"/>
      </w:pPr>
      <w:r>
        <w:rPr>
          <w:rFonts w:ascii="Times New Roman" w:hAnsi="Times New Roman" w:eastAsia="Times New Roman" w:cs="Times New Roman"/>
          <w:b/>
          <w:i/>
          <w:color w:val="000000"/>
          <w:sz w:val="24"/>
        </w:rPr>
        <w:t xml:space="preserve">C.4 Job Match result page</w:t>
      </w:r>
    </w:p>
    <w:p>
      <w:pPr>
        <w:pStyle w:val="CaptionedFigure"/>
        <w:keepNext/>
        <w:spacing w:before="60" w:after="40"/>
        <w:jc w:val="center"/>
      </w:pPr>
      <w:r>
        <w:drawing>
          <wp:inline>
            <wp:extent cx="4031999" cy="5520898"/>
            <wp:effectExtent b="0" l="0" r="0" t="0"/>
            <wp:docPr descr="Figure C.4 — Job Match result page on the same resume / job-description pair." title="" id="143" name="Picture"/>
            <a:graphic>
              <a:graphicData uri="http://schemas.openxmlformats.org/drawingml/2006/picture">
                <pic:pic>
                  <pic:nvPicPr>
                    <pic:cNvPr descr="figures/ui-05-job-match-result.png" id="144" name="Picture"/>
                    <pic:cNvPicPr>
                      <a:picLocks noChangeArrowheads="1" noChangeAspect="1"/>
                    </pic:cNvPicPr>
                  </pic:nvPicPr>
                  <pic:blipFill>
                    <a:blip r:embed="rId142"/>
                    <a:stretch>
                      <a:fillRect/>
                    </a:stretch>
                  </pic:blipFill>
                  <pic:spPr bwMode="auto">
                    <a:xfrm>
                      <a:off x="0" y="0"/>
                      <a:ext cx="4031999" cy="5520898"/>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C.4 — Job Match result page on the same resume / job-description pair.</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bookmarkEnd w:id="145"/>
    <w:bookmarkEnd w:id="146"/>
    <w:bookmarkStart w:id="150" w:name="appendix-d-configuration-reference"/>
    <w:p>
      <w:pPr>
        <w:pStyle w:val="Heading2"/>
        <w:keepNext/>
        <w:jc w:val="left"/>
      </w:pPr>
      <w:r>
        <w:rPr>
          <w:rFonts w:ascii="Times New Roman" w:hAnsi="Times New Roman" w:eastAsia="Times New Roman" w:cs="Times New Roman"/>
          <w:b/>
          <w:i w:val="0"/>
          <w:color w:val="000000"/>
          <w:sz w:val="28"/>
        </w:rPr>
        <w:t xml:space="preserve">Appendix D — Configuration reference</w:t>
      </w:r>
    </w:p>
    <w:bookmarkStart w:id="147" w:name="d.1-backend-environment-variables"/>
    <w:p>
      <w:pPr>
        <w:pStyle w:val="Heading3"/>
        <w:keepNext/>
        <w:jc w:val="left"/>
      </w:pPr>
      <w:r>
        <w:rPr>
          <w:rFonts w:ascii="Times New Roman" w:hAnsi="Times New Roman" w:eastAsia="Times New Roman" w:cs="Times New Roman"/>
          <w:b/>
          <w:i/>
          <w:color w:val="000000"/>
          <w:sz w:val="24"/>
        </w:rPr>
        <w:t xml:space="preserve">D.1 Backend environment variables</w:t>
      </w:r>
    </w:p>
    <w:p>
      <w:pPr>
        <w:pStyle w:val="FirstParagraph"/>
        <w:spacing w:line="312" w:lineRule="auto" w:after="80"/>
        <w:jc w:val="both"/>
      </w:pPr>
      <w:r>
        <w:rPr>
          <w:rFonts w:ascii="Times New Roman" w:hAnsi="Times New Roman" w:eastAsia="Times New Roman" w:cs="Times New Roman"/>
          <w:color w:val="000000"/>
          <w:sz w:val="24"/>
        </w:rPr>
        <w:t xml:space="preserve">The following environment variables are read at process start and configure the deployed system. Defaults shown in parentheses; consult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backend/app/config.py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 the authoritative list.</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608"/>
        <w:gridCol w:w="3969"/>
        <w:gridCol w:w="2268"/>
      </w:tblGrid>
      <w:tr>
        <w:trPr>
          <w:tblHeader w:val="on"/>
        </w:trPr>
        <w:tc>
          <w:tcPr>
            <w:tcW w:type="dxa" w:w="2608"/>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Variable</w:t>
            </w:r>
          </w:p>
        </w:tc>
        <w:tc>
          <w:tcPr>
            <w:tcW w:type="dxa" w:w="396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Purpose</w:t>
            </w:r>
          </w:p>
        </w:tc>
        <w:tc>
          <w:tcPr>
            <w:tcW w:type="dxa" w:w="2268"/>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Default</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DATABASE_URL</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PostgreSQL DSN</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sqlite:///./career_platform.db</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SECRET_KEY</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JWT signing secret</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(must override)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ACCESS_TOKEN_EXPIRE_MINUTES</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Access-token lifetime</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30</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REFRESH_TOKEN_EXPIRE_DAYS</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Refresh-token lifetime</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LLM_PROVIDER</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LLM dispatch backend</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vertex</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LLM_MODEL</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Primary Gemini model</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gemini-2.5-flash</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LLM_PRACTICE_MODEL</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Cheaper model used for interview practice feedback</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(empty → falls back to</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LLM_MODEL</w:t>
            </w:r>
            <w:r>
              <w:rPr>
                <w:rFonts w:ascii="Times New Roman" w:hAnsi="Times New Roman" w:eastAsia="Times New Roman" w:cs="Times New Roman"/>
                <w:b w:val="0"/>
                <w:color w:val="000000"/>
                <w:sz w:val="18"/>
              </w:rPr>
              <w:t xml:space="preserv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VERTEX_PROJECT_ID</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Google Cloud project</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(must override)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VERTEX_LOCATION</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Vertex region</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us-central1</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BLENDED_SCORING_ENABLED</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Apply 60/40 LLM/heuristic blend</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true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SCORING_MODE</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Scoring core mode (</w:t>
            </w:r>
            <w:r>
              <w:rPr>
                <w:rStyle w:val="VerbatimChar"/>
                <w:rFonts w:ascii="Times New Roman" w:hAnsi="Times New Roman" w:eastAsia="Times New Roman" w:cs="Times New Roman"/>
                <w:b w:val="0"/>
                <w:color w:val="000000"/>
                <w:sz w:val="18"/>
              </w:rPr>
              <w:t xml:space="preserve">blended</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or</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heuristic</w:t>
            </w:r>
            <w:r>
              <w:rPr>
                <w:rFonts w:ascii="Times New Roman" w:hAnsi="Times New Roman" w:eastAsia="Times New Roman" w:cs="Times New Roman"/>
                <w:b w:val="0"/>
                <w:color w:val="000000"/>
                <w:sz w:val="18"/>
              </w:rPr>
              <w:t xml:space="preserve">) — added with the comparative study</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blended</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RESULT_CACHE_ENABLED</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In-memory cache</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true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RESULT_CACHE_TTL_SECONDS</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Cache TTL</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3600</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CORS_ORIGINS</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Allowed CORS origins</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localhost</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defaults</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FRONTEND_URL</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Canonical frontend URL</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(set in production)</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GOOGLE_CLIENT_ID</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GOOGLE_CLIENT_SECRET</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GOOGLE_REDIRECT_URI</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Google OAuth</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(must override)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RESEND_API_KEY</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Transactional email</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(must override)</w:t>
            </w:r>
          </w:p>
        </w:tc>
      </w:tr>
      <w:tr>
        <w:tc>
          <w:tcPr>
            <w:tcW w:type="dxa" w:w="2608"/>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SENTRY_DSN</w:t>
            </w:r>
          </w:p>
        </w:tc>
        <w:tc>
          <w:tcPr>
            <w:tcW w:type="dxa" w:w="396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Error tracking</w:t>
            </w:r>
          </w:p>
        </w:tc>
        <w:tc>
          <w:tcPr>
            <w:tcW w:type="dxa" w:w="2268"/>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(empty disables)</w:t>
            </w:r>
          </w:p>
        </w:tc>
      </w:tr>
    </w:tbl>
    <w:bookmarkEnd w:id="147"/>
    <w:bookmarkStart w:id="148" w:name="d.2-administrative-endpoints"/>
    <w:p>
      <w:pPr>
        <w:pStyle w:val="Heading3"/>
        <w:keepNext/>
        <w:jc w:val="left"/>
      </w:pPr>
      <w:r>
        <w:rPr>
          <w:rFonts w:ascii="Times New Roman" w:hAnsi="Times New Roman" w:eastAsia="Times New Roman" w:cs="Times New Roman"/>
          <w:b/>
          <w:i/>
          <w:color w:val="000000"/>
          <w:sz w:val="24"/>
        </w:rPr>
        <w:t xml:space="preserve">D.2 Administrative endpoints</w:t>
      </w:r>
    </w:p>
    <w:p>
      <w:pPr>
        <w:pStyle w:val="FirstParagraph"/>
        <w:spacing w:line="312" w:lineRule="auto" w:after="80"/>
        <w:jc w:val="both"/>
      </w:pPr>
      <w:r>
        <w:rPr>
          <w:rFonts w:ascii="Times New Roman" w:hAnsi="Times New Roman" w:eastAsia="Times New Roman" w:cs="Times New Roman"/>
          <w:color w:val="000000"/>
          <w:sz w:val="24"/>
        </w:rPr>
        <w:t xml:space="preserve">The administrative HTTP API used for the comparative study is exposed under</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/api/v1/admin/</w:t>
      </w:r>
      <w:r>
        <w:rPr>
          <w:rFonts w:ascii="Times New Roman" w:hAnsi="Times New Roman" w:eastAsia="Times New Roman" w:cs="Times New Roman"/>
          <w:color w:val="000000"/>
          <w:sz w:val="24"/>
        </w:rPr>
        <w:t xml:space="preserve">:</w:t>
      </w:r>
    </w:p>
    <w:p>
      <w:pPr>
        <w:pStyle w:val="Compact"/>
        <w:numPr>
          <w:ilvl w:val="0"/>
          <w:numId w:val="1008"/>
        </w:numPr>
        <w:spacing w:line="312" w:lineRule="auto" w:after="80"/>
        <w:ind w:firstLine="283"/>
        <w:jc w:val="both"/>
      </w:pPr>
      <w:r>
        <w:rPr>
          <w:rStyle w:val="VerbatimChar"/>
          <w:rFonts w:ascii="Times New Roman" w:hAnsi="Times New Roman" w:eastAsia="Times New Roman" w:cs="Times New Roman"/>
          <w:color w:val="000000"/>
          <w:sz w:val="24"/>
        </w:rPr>
        <w:t xml:space="preserve">GET /api/v1/admin/scoring-mode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AdminScoringModeResponse</w:t>
      </w:r>
    </w:p>
    <w:p>
      <w:pPr>
        <w:pStyle w:val="Compact"/>
        <w:numPr>
          <w:ilvl w:val="0"/>
          <w:numId w:val="1008"/>
        </w:numPr>
        <w:spacing w:line="312" w:lineRule="auto" w:after="80"/>
        <w:ind w:firstLine="283"/>
        <w:jc w:val="both"/>
      </w:pPr>
      <w:r>
        <w:rPr>
          <w:rStyle w:val="VerbatimChar"/>
          <w:rFonts w:ascii="Times New Roman" w:hAnsi="Times New Roman" w:eastAsia="Times New Roman" w:cs="Times New Roman"/>
          <w:color w:val="000000"/>
          <w:sz w:val="24"/>
        </w:rPr>
        <w:t xml:space="preserve">POST /api/v1/admin/scoring-mode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 body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 "mode": "blended" | "heuristic"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returns the updated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AdminScoringModeResponse</w:t>
      </w:r>
    </w:p>
    <w:p>
      <w:pPr>
        <w:pStyle w:val="FirstParagraph"/>
        <w:spacing w:line="312" w:lineRule="auto" w:after="80"/>
        <w:ind w:firstLine="283"/>
        <w:jc w:val="both"/>
      </w:pPr>
      <w:r>
        <w:rPr>
          <w:rFonts w:ascii="Times New Roman" w:hAnsi="Times New Roman" w:eastAsia="Times New Roman" w:cs="Times New Roman"/>
          <w:color w:val="000000"/>
          <w:sz w:val="24"/>
        </w:rPr>
        <w:t xml:space="preserve">The response shape returned by both endpoints is:</w:t>
      </w:r>
    </w:p>
    <w:p>
      <w:pPr>
        <w:pStyle w:val="SourceCode"/>
        <w:keepNext w:val="0"/>
        <w:keepLines/>
        <w:spacing w:line="240" w:lineRule="auto" w:before="40" w:after="40"/>
        <w:ind w:firstLine="0" w:left="227" w:right="227"/>
        <w:jc w:val="left"/>
        <w:shd w:val="clear" w:color="auto" w:fill="F5F5F5"/>
      </w:pPr>
      <w:r>
        <w:rPr>
          <w:rStyle w:val="Function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DataTypeTok"/>
          <w:rFonts w:ascii="Courier New" w:hAnsi="Courier New" w:eastAsia="Courier New" w:cs="Courier New"/>
          <w:b w:val="0"/>
          <w:i w:val="0"/>
          <w:color w:val="000000"/>
          <w:sz w:val="19"/>
        </w:rPr>
        <w:t xml:space="preserve">"mode"</w:t>
      </w:r>
      <w:r>
        <w:rPr>
          <w:rStyle w:val="Funct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"blended"</w:t>
      </w:r>
      <w:r>
        <w:rPr>
          <w:rStyle w:val="Function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DataTypeTok"/>
          <w:rFonts w:ascii="Courier New" w:hAnsi="Courier New" w:eastAsia="Courier New" w:cs="Courier New"/>
          <w:b w:val="0"/>
          <w:i w:val="0"/>
          <w:color w:val="000000"/>
          <w:sz w:val="19"/>
        </w:rPr>
        <w:t xml:space="preserve">"heuristic_version"</w:t>
      </w:r>
      <w:r>
        <w:rPr>
          <w:rStyle w:val="Funct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"v1"</w:t>
      </w:r>
      <w:r>
        <w:rPr>
          <w:rStyle w:val="Function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DataTypeTok"/>
          <w:rFonts w:ascii="Courier New" w:hAnsi="Courier New" w:eastAsia="Courier New" w:cs="Courier New"/>
          <w:b w:val="0"/>
          <w:i w:val="0"/>
          <w:color w:val="000000"/>
          <w:sz w:val="19"/>
        </w:rPr>
        <w:t xml:space="preserve">"blended_weight_heuristic"</w:t>
      </w:r>
      <w:r>
        <w:rPr>
          <w:rStyle w:val="Funct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0.4</w:t>
      </w:r>
      <w:r>
        <w:rPr>
          <w:rStyle w:val="Function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DataTypeTok"/>
          <w:rFonts w:ascii="Courier New" w:hAnsi="Courier New" w:eastAsia="Courier New" w:cs="Courier New"/>
          <w:b w:val="0"/>
          <w:i w:val="0"/>
          <w:color w:val="000000"/>
          <w:sz w:val="19"/>
        </w:rPr>
        <w:t xml:space="preserve">"blended_weight_llm"</w:t>
      </w:r>
      <w:r>
        <w:rPr>
          <w:rStyle w:val="Funct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0.6</w:t>
      </w:r>
      <w:r>
        <w:rPr>
          <w:rFonts w:ascii="Courier New" w:hAnsi="Courier New" w:eastAsia="Courier New" w:cs="Courier New"/>
          <w:b w:val="0"/>
          <w:i w:val="0"/>
          <w:color w:val="000000"/>
          <w:sz w:val="19"/>
        </w:rPr>
        <w:br/>
      </w:r>
      <w:r>
        <w:rPr>
          <w:rStyle w:val="FunctionTok"/>
          <w:rFonts w:ascii="Courier New" w:hAnsi="Courier New" w:eastAsia="Courier New" w:cs="Courier New"/>
          <w:b w:val="0"/>
          <w:i w:val="0"/>
          <w:color w:val="000000"/>
          <w:sz w:val="19"/>
        </w:rPr>
        <w:t xml:space="preserve">}</w:t>
      </w:r>
    </w:p>
    <w:p>
      <w:pPr>
        <w:pStyle w:val="FirstParagraph"/>
        <w:spacing w:line="312" w:lineRule="auto" w:after="80"/>
        <w:ind w:firstLine="283"/>
        <w:jc w:val="both"/>
      </w:pPr>
      <w:r>
        <w:rPr>
          <w:rFonts w:ascii="Times New Roman" w:hAnsi="Times New Roman" w:eastAsia="Times New Roman" w:cs="Times New Roman"/>
          <w:color w:val="000000"/>
          <w:sz w:val="24"/>
        </w:rPr>
        <w:t xml:space="preserve">Both endpoints require an authenticated administrator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users.is_admin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flag controls access) and are rate-limited at 60 requests per minute per administrator. The runtime mode change is held in process memory only; restarting the backend restores the configured default from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SCORING_MODE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environment variable.</w:t>
      </w:r>
    </w:p>
    <w:bookmarkEnd w:id="148"/>
    <w:bookmarkStart w:id="149" w:name="d.3-running-the-evaluation-harness"/>
    <w:p>
      <w:pPr>
        <w:pStyle w:val="Heading3"/>
        <w:keepNext/>
        <w:jc w:val="left"/>
      </w:pPr>
      <w:r>
        <w:rPr>
          <w:rFonts w:ascii="Times New Roman" w:hAnsi="Times New Roman" w:eastAsia="Times New Roman" w:cs="Times New Roman"/>
          <w:b/>
          <w:i/>
          <w:color w:val="000000"/>
          <w:sz w:val="24"/>
        </w:rPr>
        <w:t xml:space="preserve">D.3 Running the evaluation harness</w:t>
      </w:r>
    </w:p>
    <w:p>
      <w:pPr>
        <w:pStyle w:val="FirstParagraph"/>
        <w:spacing w:line="312" w:lineRule="auto" w:after="80"/>
        <w:jc w:val="both"/>
      </w:pPr>
      <w:r>
        <w:rPr>
          <w:rFonts w:ascii="Times New Roman" w:hAnsi="Times New Roman" w:eastAsia="Times New Roman" w:cs="Times New Roman"/>
          <w:color w:val="000000"/>
          <w:sz w:val="24"/>
        </w:rPr>
        <w:t xml:space="preserve">The evaluation run used the following commands at the repository root:</w:t>
      </w:r>
    </w:p>
    <w:p>
      <w:pPr>
        <w:pStyle w:val="SourceCode"/>
        <w:keepNext w:val="0"/>
        <w:keepLines/>
        <w:spacing w:line="240" w:lineRule="auto" w:before="40" w:after="40"/>
        <w:ind w:firstLine="0" w:left="227" w:right="227"/>
        <w:jc w:val="left"/>
        <w:shd w:val="clear" w:color="auto" w:fill="F5F5F5"/>
      </w:pPr>
      <w:r>
        <w:rPr>
          <w:rStyle w:val="Extens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cd backend</w:t>
      </w:r>
      <w:r>
        <w:rPr>
          <w:rFonts w:ascii="Courier New" w:hAnsi="Courier New" w:eastAsia="Courier New" w:cs="Courier New"/>
          <w:b w:val="0"/>
          <w:i w:val="0"/>
          <w:color w:val="000000"/>
          <w:sz w:val="19"/>
        </w:rPr>
        <w:br/>
      </w:r>
      <w:r>
        <w:rPr>
          <w:rStyle w:val="Extens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SCORING_MODE=blended RESULT_CACHE_ENABLED=false </w:t>
      </w:r>
      <w:r>
        <w:rPr>
          <w:rStyle w:val="DataType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python ../scripts/eval_scoring.py</w:t>
      </w:r>
      <w:r>
        <w:rPr>
          <w:rFonts w:ascii="Courier New" w:hAnsi="Courier New" w:eastAsia="Courier New" w:cs="Courier New"/>
          <w:b w:val="0"/>
          <w:i w:val="0"/>
          <w:color w:val="000000"/>
          <w:sz w:val="19"/>
        </w:rPr>
        <w:br/>
      </w:r>
      <w:r>
        <w:rPr>
          <w:rStyle w:val="Extens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python ../scripts/analyze_eval_results.py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../thesis/chapter-04-results.md</w:t>
      </w:r>
    </w:p>
    <w:p>
      <w:pPr>
        <w:pStyle w:val="FirstParagraph"/>
        <w:spacing w:line="312" w:lineRule="auto" w:after="80"/>
        <w:ind w:firstLine="283"/>
        <w:jc w:val="both"/>
      </w:pPr>
      <w:r>
        <w:rPr>
          <w:rFonts w:ascii="Times New Roman" w:hAnsi="Times New Roman" w:eastAsia="Times New Roman" w:cs="Times New Roman"/>
          <w:color w:val="000000"/>
          <w:sz w:val="24"/>
        </w:rPr>
        <w:t xml:space="preserve">The harness writes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thesis/eval-results.json</w:t>
      </w:r>
      <w:r>
        <w:rPr>
          <w:rFonts w:ascii="Times New Roman" w:hAnsi="Times New Roman" w:eastAsia="Times New Roman" w:cs="Times New Roman"/>
          <w:color w:val="000000"/>
          <w:sz w:val="24"/>
        </w:rPr>
        <w:t xml:space="preserve">; the analyzer prints the Markdown tables ready to paste into Chapter 4.3.</w:t>
      </w:r>
    </w:p>
    <w:bookmarkEnd w:id="149"/>
    <w:bookmarkEnd w:id="150"/>
    <w:bookmarkEnd w:id="151"/>
    <w:sectPr>
      <w:type w:val="nextPage"/>
      <w:footerReference w:type="default" r:id="rId143"/>
      <w:pgSz w:w="11906" w:h="16838"/>
      <w:pgMar w:top="1417" w:right="1417" w:bottom="1417" w:left="1417" w:header="709" w:footer="709" w:gutter="0"/>
      <w:pgNumType w:fmt="decimal"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2" w:lineRule="auto" w:after="80"/>
      <w:ind w:firstLine="283"/>
      <w:jc w:val="both"/>
    </w:pPr>
    <w:rPr>
      <w:rFonts w:ascii="Times New Roman" w:hAnsi="Times New Roman" w:eastAsia="Times New Roman" w:cs="Times New Roman"/>
      <w:color w:val="000000"/>
      <w:sz w:val="24"/>
    </w:rPr>
  </w:style>
  <w:style w:styleId="BodyText" w:type="paragraph">
    <w:name w:val="Body Text"/>
    <w:basedOn w:val="Normal"/>
    <w:link w:val="BodyTextChar"/>
    <w:qFormat/>
    <w:pPr>
      <w:spacing w:after="80" w:before="180" w:line="312" w:lineRule="auto"/>
      <w:ind w:firstLine="283"/>
      <w:jc w:val="both"/>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12" w:lineRule="auto" w:after="80"/>
      <w:ind w:firstLine="283"/>
      <w:jc w:val="both"/>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160" w:line="276" w:lineRule="auto"/>
      <w:outlineLvl w:val="0"/>
    </w:pPr>
    <w:rPr>
      <w:rFonts w:asciiTheme="majorHAnsi" w:cstheme="majorBidi" w:eastAsiaTheme="majorEastAsia" w:hAnsiTheme="majorHAnsi" w:ascii="Times New Roman" w:hAnsi="Times New Roman" w:eastAsia="Times New Roman" w:cs="Times New Roman"/>
      <w:b/>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76" w:lineRule="auto"/>
      <w:outlineLvl w:val="1"/>
    </w:pPr>
    <w:rPr>
      <w:rFonts w:asciiTheme="majorHAnsi" w:cstheme="majorBidi" w:eastAsiaTheme="majorEastAsia" w:hAnsiTheme="majorHAnsi" w:ascii="Times New Roman" w:hAnsi="Times New Roman" w:eastAsia="Times New Roman" w:cs="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76" w:lineRule="auto"/>
      <w:outlineLvl w:val="2"/>
    </w:pPr>
    <w:rPr>
      <w:rFonts w:cstheme="majorBidi" w:eastAsiaTheme="majorEastAsia" w:ascii="Times New Roman" w:hAnsi="Times New Roman" w:eastAsia="Times New Roman" w:cs="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basedOn w:val="Normal"/>
    <w:next w:val="Normal"/>
    <w:uiPriority w:val="39"/>
    <w:pPr>
      <w:ind w:left="0"/>
      <w:spacing w:before="0" w:after="60"/>
      <w:tabs>
        <w:tab w:val="right" w:leader="dot" w:pos="9072"/>
      </w:tabs>
    </w:pPr>
    <w:rPr>
      <w:rFonts w:ascii="Times New Roman" w:hAnsi="Times New Roman" w:eastAsia="Times New Roman" w:cs="Times New Roman"/>
      <w:sz w:val="24"/>
    </w:rPr>
  </w:style>
  <w:style w:type="paragraph" w:styleId="TOC2">
    <w:name w:val="toc 2"/>
    <w:basedOn w:val="Normal"/>
    <w:next w:val="Normal"/>
    <w:uiPriority w:val="39"/>
    <w:pPr>
      <w:ind w:left="360"/>
      <w:spacing w:before="0" w:after="60"/>
      <w:tabs>
        <w:tab w:val="right" w:leader="dot" w:pos="9072"/>
      </w:tabs>
    </w:pP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3" Type="http://schemas.openxmlformats.org/officeDocument/2006/relationships/image" Target="media/rId93.png"/><Relationship Id="rId130" Type="http://schemas.openxmlformats.org/officeDocument/2006/relationships/image" Target="media/rId130.png"/><Relationship Id="rId134" Type="http://schemas.openxmlformats.org/officeDocument/2006/relationships/image" Target="media/rId134.png"/><Relationship Id="rId138" Type="http://schemas.openxmlformats.org/officeDocument/2006/relationships/image" Target="media/rId138.png"/><Relationship Id="rId142" Type="http://schemas.openxmlformats.org/officeDocument/2006/relationships/image" Target="media/rId142.png"/><Relationship Id="rId28" Type="http://schemas.openxmlformats.org/officeDocument/2006/relationships/image" Target="media/rId28.png"/><Relationship Id="rId32" Type="http://schemas.openxmlformats.org/officeDocument/2006/relationships/image" Target="media/rId32.png"/><Relationship Id="rId45" Type="http://schemas.openxmlformats.org/officeDocument/2006/relationships/image" Target="media/rId45.png"/><Relationship Id="rId1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2026-05-08T14:58:08Z</dcterms:created>
  <dcterms:modified xsi:type="dcterms:W3CDTF">2026-05-08T14:58:08Z</dcterms:modified>
</cp:coreProperties>
</file>

<file path=docProps/custom.xml><?xml version="1.0" encoding="utf-8"?>
<Properties xmlns="http://schemas.openxmlformats.org/officeDocument/2006/custom-properties" xmlns:vt="http://schemas.openxmlformats.org/officeDocument/2006/docPropsVTypes"/>
</file>