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4.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spacing w:line="312" w:lineRule="auto" w:after="80"/>
        <w:ind w:firstLine="283"/>
        <w:jc w:val="both"/>
        <w:pageBreakBefore/>
      </w:pPr>
      <w:r>
        <w:rPr>
          <w:rFonts w:ascii="Times New Roman" w:hAnsi="Times New Roman" w:eastAsia="Times New Roman" w:cs="Times New Roman"/>
          <w:color w:val="000000"/>
          <w:sz w:val="24"/>
        </w:rPr>
        <w:t xml:space="preserve">Abstract — Streszczenie / Abstract</w:t>
      </w:r>
    </w:p>
    <w:bookmarkStart w:id="21" w:name="streszczenie"/>
    <w:p>
      <w:pPr>
        <w:pStyle w:val="Heading2"/>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Streszczenie</w:t>
      </w:r>
    </w:p>
    <w:p>
      <w:pPr>
        <w:pStyle w:val="FirstParagraph"/>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odpowiedzi na obawy dotyczące kosztu, opóźnienia oraz zależności od zewnętrznego dostawcy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łączy deterministyczną heurystykę ze strukturalnym wyjściem modelu językowego (40% / 60%).</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opiera się na klasycznych metodach wyszukiwania informacji: analizie słów kluczowych TF–IDF z rankingiem BM25, normalizacji umiejętności zgodnej z taksonomią ESCO, dopasowaniu rozmytym oraz ekstrakcji cech ważonych sekcjami.</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Kontrolowane studium porównawcze oceniło oba tryby na 100 parach (CV, opis stanowiska) obejmujących sześć ścieżek zawodowych. Zbiór ewaluacyjny stanowią deterministycznie wygenerowane syntetyczne CV oraz syntetyczne opisy stanowisk skonstruowane z rozłącznych słownikowo pul fraz; strona CV i strona opisu stanowiska nie współdzielą słownictwa treściowego poza kanonicznymi nazwami umiejętności. W tym zbiorze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działa około dwa do trzech rzędów wielkości szybciej (mediana 25,5 ms wobec 18,2 s) oraz nie ponosi krańcowego kosztu po stronie modelu językowego.</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Tryb mieszany zachowuje przewagę w zakresie dowodów jakości prozy (podwynik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motywuje utrzymanie komponentu językowego obok deterministycznej linii bazowej. Ograniczenia obejmują zakres jednojęzyczny (angielski), syntetyczny zbiór jednego autora oraz pojedynczą konfigurację dostawcy modelu językowego. Praca przyszła obejmuje integrację komponentu wyszukiwania wspomagającego, rozszerzenie o CV w języku polskim oraz uzupełnienie heurystyki o pośredni poziom dopasowania semantycznego oparty na transformatorach zdań.</w:t>
      </w:r>
    </w:p>
    <w:p>
      <w:pPr>
        <w:pStyle w:val="BodyText"/>
        <w:spacing w:line="312" w:lineRule="auto" w:after="8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21"/>
    <w:bookmarkStart w:id="22" w:name="abstract-english"/>
    <w:p>
      <w:pPr>
        <w:pStyle w:val="Heading2"/>
        <w:spacing w:line="312" w:lineRule="auto" w:after="80"/>
        <w:ind w:firstLine="283"/>
        <w:jc w:val="both"/>
      </w:pPr>
      <w:r>
        <w:rPr>
          <w:rFonts w:ascii="Times New Roman" w:hAnsi="Times New Roman" w:eastAsia="Times New Roman" w:cs="Times New Roman"/>
          <w:color w:val="000000"/>
          <w:sz w:val="24"/>
        </w:rPr>
        <w:t xml:space="preserve">Abstract (English)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string-similarity fuzzy matching, and section-weighted feature extraction.</w:t>
      </w:r>
    </w:p>
    <w:p>
      <w:pPr>
        <w:pStyle w:val="BodyText"/>
        <w:spacing w:line="312" w:lineRule="auto" w:after="8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after controlling for the 0.40 heuristic share embedded in the blended formula.</w:t>
      </w:r>
    </w:p>
    <w:p>
      <w:pPr>
        <w:pStyle w:val="BodyText"/>
        <w:spacing w:line="312" w:lineRule="auto" w:after="80"/>
        <w:ind w:firstLine="283"/>
        <w:jc w:val="both"/>
      </w:pPr>
      <w:r>
        <w:rPr>
          <w:rFonts w:ascii="Times New Roman" w:hAnsi="Times New Roman" w:eastAsia="Times New Roman" w:cs="Times New Roman"/>
          <w:color w:val="000000"/>
          <w:sz w:val="24"/>
        </w:rPr>
        <w:t xml:space="preserve">The result supports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ESCO support, retrieval-augmented grounding, and a sentence-transformer intermediate tier.</w:t>
      </w:r>
    </w:p>
    <w:p>
      <w:pPr>
        <w:pStyle w:val="BodyText"/>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22"/>
    <w:bookmarkEnd w:id="23"/>
    <w:bookmarkStart w:id="24" w:name="acknowledgements"/>
    <w:p>
      <w:pPr>
        <w:pStyle w:val="Heading1"/>
        <w:spacing w:line="312" w:lineRule="auto" w:after="80"/>
        <w:ind w:firstLine="283"/>
        <w:jc w:val="both"/>
      </w:pPr>
      <w:r>
        <w:rPr>
          <w:rFonts w:ascii="Times New Roman" w:hAnsi="Times New Roman" w:eastAsia="Times New Roman" w:cs="Times New Roman"/>
          <w:color w:val="000000"/>
          <w:sz w:val="24"/>
        </w:rPr>
        <w:t xml:space="preserve">Acknowledgements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312" w:lineRule="auto" w:after="8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312" w:lineRule="auto" w:after="8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312" w:lineRule="auto" w:after="8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24"/>
    <w:bookmarkStart w:id="26" w:name="list-of-abbreviations-and-symbols"/>
    <w:p>
      <w:pPr>
        <w:pStyle w:val="Heading1"/>
        <w:spacing w:line="312" w:lineRule="auto" w:after="80"/>
        <w:ind w:firstLine="283"/>
        <w:jc w:val="both"/>
      </w:pPr>
      <w:r>
        <w:rPr>
          <w:rFonts w:ascii="Times New Roman" w:hAnsi="Times New Roman" w:eastAsia="Times New Roman" w:cs="Times New Roman"/>
          <w:color w:val="000000"/>
          <w:sz w:val="24"/>
        </w:rPr>
        <w:t xml:space="preserve">List of abbreviations and symbols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Abbreviation</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Expansion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Artificial Intelligence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Application Programming Interface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Archive of Diploma Theses (USOS-APD)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ATS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Applicant Tracking System</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Best Match 25 (probabilistic relevance ranking function)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Confidence Interval / Continuous Integration, depending on context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CORS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Cross-Origin Resource Sharing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European Skills, Competences, Qualifications and Occupations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 web framework used by the backend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GDPR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General Data Protection Regulation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Gemini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large-language-model family used through Vertex AI</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HTTP / HTTPS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HyperText Transfer Protocol / HTTP Secure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Information Retrieval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JavaScript Object Notation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 Web Token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Kolmogorov–Smirnov statistical distance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Large Language Model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Named-Entity Recognition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NLP</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Natural Language Processing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OAuth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Open Authorisation / federated-identity protocol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Occupational Information Network taxonomy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Object–Relational Mapping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Portable Document Format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PWr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Politechnika Wrocławska / Wrocław University of Science and Technology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RAG</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Retrieval-Augmented Generation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Representational State Transfer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Sentence-BERT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Structured Query Language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TF–IDF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Term Frequency–Inverse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UI / UX</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User Interface / User Experience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URL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Uniform Resource Locator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 Archive of Diploma Theses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UUID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Universally Unique Identifier</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WEFiM</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Faculty of Electronics, Photonics and Microsystems</w:t>
            </w:r>
          </w:p>
        </w:tc>
      </w:tr>
    </w:tbl>
    <w:bookmarkStart w:id="25" w:name="symbols-used-in-formulas-in-chapter-4"/>
    <w:p>
      <w:pPr>
        <w:pStyle w:val="Heading2"/>
        <w:spacing w:line="312" w:lineRule="auto" w:after="80"/>
        <w:ind w:firstLine="283"/>
        <w:jc w:val="both"/>
      </w:pPr>
      <w:r>
        <w:rPr>
          <w:rFonts w:ascii="Times New Roman" w:hAnsi="Times New Roman" w:eastAsia="Times New Roman" w:cs="Times New Roman"/>
          <w:color w:val="000000"/>
          <w:sz w:val="24"/>
        </w:rPr>
        <w:t xml:space="preserve">Symbols (used in formulas in Chapter 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Symbol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Meaning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 correlation coefficient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ρ, 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and Kendall rank-correlation coefficients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 term-frequency saturation and document-length normalisation parameters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Fuzzy-matching similarity threshold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Number of resumes and number of job descriptions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 single resume and a single job description</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 extractor function</w:t>
            </w:r>
          </w:p>
        </w:tc>
      </w:tr>
    </w:tbl>
    <w:bookmarkEnd w:id="25"/>
    <w:bookmarkEnd w:id="26"/>
    <w:bookmarkStart w:id="3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54"/>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spacing w:line="312" w:lineRule="auto" w:after="80"/>
        <w:ind w:firstLine="283"/>
        <w:jc w:val="both"/>
      </w:pPr>
      <w:r>
        <w:rPr>
          <w:rFonts w:ascii="Times New Roman" w:hAnsi="Times New Roman" w:eastAsia="Times New Roman" w:cs="Times New Roman"/>
          <w:color w:val="000000"/>
          <w:sz w:val="24"/>
        </w:rPr>
        <w:t xml:space="preserve">Chapter 1 — Introduction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spacing w:line="312" w:lineRule="auto" w:after="80"/>
        <w:ind w:firstLine="283"/>
        <w:jc w:val="both"/>
      </w:pPr>
      <w:r>
        <w:rPr>
          <w:rFonts w:ascii="Times New Roman" w:hAnsi="Times New Roman" w:eastAsia="Times New Roman" w:cs="Times New Roman"/>
          <w:color w:val="000000"/>
          <w:sz w:val="24"/>
        </w:rPr>
        <w:t xml:space="preserve">A working candidate trying to answer those questions today typically uses a fragmented set of tools: a generic resume builder, a job board’s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“match score”</w:t>
      </w:r>
      <w:r>
        <w:rPr>
          <w:rFonts w:ascii="Times New Roman" w:hAnsi="Times New Roman" w:eastAsia="Times New Roman" w:cs="Times New Roman"/>
          <w:color w:val="000000"/>
          <w:sz w:val="24"/>
        </w:rP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spacing w:line="312" w:lineRule="auto" w:after="80"/>
        <w:ind w:firstLine="283"/>
        <w:jc w:val="both"/>
      </w:pPr>
      <w:r>
        <w:rPr>
          <w:rFonts w:ascii="Times New Roman" w:hAnsi="Times New Roman" w:eastAsia="Times New Roman" w:cs="Times New Roman"/>
          <w:color w:val="000000"/>
          <w:sz w:val="24"/>
        </w:rP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27" w:name="the-career-decision-problem"/>
    <w:p>
      <w:pPr>
        <w:pStyle w:val="Heading2"/>
        <w:spacing w:line="312" w:lineRule="auto" w:after="80"/>
        <w:ind w:firstLine="283"/>
        <w:jc w:val="both"/>
      </w:pPr>
      <w:r>
        <w:rPr>
          <w:rFonts w:ascii="Times New Roman" w:hAnsi="Times New Roman" w:eastAsia="Times New Roman" w:cs="Times New Roman"/>
          <w:color w:val="000000"/>
          <w:sz w:val="24"/>
        </w:rPr>
        <w:t xml:space="preserve">1.1 The career decision problem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27"/>
    <w:bookmarkStart w:id="28" w:name="Xb2b33d9c0e4613654e8bd0dc0463185643a1762"/>
    <w:p>
      <w:pPr>
        <w:pStyle w:val="Heading2"/>
        <w:spacing w:line="312" w:lineRule="auto" w:after="80"/>
        <w:ind w:firstLine="283"/>
        <w:jc w:val="both"/>
      </w:pPr>
      <w:r>
        <w:rPr>
          <w:rFonts w:ascii="Times New Roman" w:hAnsi="Times New Roman" w:eastAsia="Times New Roman" w:cs="Times New Roman"/>
          <w:color w:val="000000"/>
          <w:sz w:val="24"/>
        </w:rPr>
        <w:t xml:space="preserve">1.2 AI-based recommendation systems for careers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312" w:lineRule="auto" w:after="8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28"/>
    <w:bookmarkStart w:id="29" w:name="X0f507a345d505e2b6b09af5902860f6a3d367ad"/>
    <w:p>
      <w:pPr>
        <w:pStyle w:val="Heading2"/>
        <w:spacing w:line="312" w:lineRule="auto" w:after="80"/>
        <w:ind w:firstLine="283"/>
        <w:jc w:val="both"/>
      </w:pPr>
      <w:r>
        <w:rPr>
          <w:rFonts w:ascii="Times New Roman" w:hAnsi="Times New Roman" w:eastAsia="Times New Roman" w:cs="Times New Roman"/>
          <w:color w:val="000000"/>
          <w:sz w:val="24"/>
        </w:rPr>
        <w:t xml:space="preserve">1.3 Resume parsing and job-description analysis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312" w:lineRule="auto" w:after="8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312" w:lineRule="auto" w:after="8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29"/>
    <w:bookmarkStart w:id="30" w:name="Xa6a123f0eef37d7de42a3068fa80ba2182618c4"/>
    <w:p>
      <w:pPr>
        <w:pStyle w:val="Heading2"/>
        <w:spacing w:line="312" w:lineRule="auto" w:after="80"/>
        <w:ind w:firstLine="283"/>
        <w:jc w:val="both"/>
      </w:pPr>
      <w:r>
        <w:rPr>
          <w:rFonts w:ascii="Times New Roman" w:hAnsi="Times New Roman" w:eastAsia="Times New Roman" w:cs="Times New Roman"/>
          <w:color w:val="000000"/>
          <w:sz w:val="24"/>
        </w:rPr>
        <w:t xml:space="preserve">1.4 Heuristic and language-model scoring approaches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central design tension addressed by this thesis is the choice between two families of methods for scoring the alignment between a resume and a job description.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first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classical information-retrieval techniques that rely on statistical regularities of text. The foundational methods in this family,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TF–IDF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BM25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[6], weight individual terms by how distinctive they are within a corpus, so that a rare technical skill counts for more than a common word. Fuzzy-matching algorithms based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Levenshtein edit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[7] absorb minor surface variation, allowing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register as the same term. Skill-taxonomy lookups against ESCO or O</w:t>
      </w:r>
      <w:r>
        <w:rPr>
          <w:rFonts w:ascii="Times New Roman" w:hAnsi="Times New Roman" w:eastAsia="Times New Roman" w:cs="Times New Roman"/>
          <w:i/>
          <w:iCs/>
          <w:color w:val="000000"/>
          <w:sz w:val="24"/>
        </w:rPr>
        <w:t xml:space="preserve">NET [8, 9] provide the normalisation step described in the previous section. Section-weighted feature extraction recognises that a skill listed in a dedicated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milliseconds on commodity hardware. The defendable claim, supported by decades of information-retrieval research, is that these techniques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already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capture most of what a recruiter scans for during the first pass over a resume.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large-language-model (LLM) services that read the resume and the job description as natural language, reason over them, and emit structured output describing the alignment. Recent research demonstrates that LLM-based agents reduce the time-to-decision in resume screening by an order of magnitude relative to manual review [16, 17, 19] and produce qualitatively richer feedback than keyword-overlap baselines. Resume2Vec [18] documents the same effect on a ranking task. The cost of these methods is a per-call charge to a third-party API, latency on the order of one to several seconds per analysis, and an opaque reasoning process that is difficult to audit.</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dichotomy is the foundation of the comparative study reported in Chapter 4. The system described in this thesis exposes both modes through a single user-facing interface; an administrator can switch the analytical core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plus language model, weighted) at runtime, and the same input is then scored by both methods on demand. The research question is not whether one approach is universally better (both have well-understood failure modes) but rather: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deliberately within-set framing is important; the benchmark and its construction limits are documented in Section 4.1.4.</w:t>
      </w:r>
    </w:p>
    <w:p>
      <w:pPr>
        <w:pStyle w:val="BodyText"/>
        <w:spacing w:line="312" w:lineRule="auto" w:after="80"/>
        <w:ind w:firstLine="283"/>
        <w:jc w:val="both"/>
      </w:pPr>
      <w:r>
        <w:rPr>
          <w:rFonts w:ascii="Times New Roman" w:hAnsi="Times New Roman" w:eastAsia="Times New Roman" w:cs="Times New Roman"/>
          <w:color w:val="000000"/>
          <w:sz w:val="24"/>
        </w:rP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spacing w:line="312" w:lineRule="auto" w:after="80"/>
        <w:ind w:firstLine="283"/>
        <w:jc w:val="both"/>
      </w:pPr>
      <w:r>
        <w:rPr>
          <w:rFonts w:ascii="Times New Roman" w:hAnsi="Times New Roman" w:eastAsia="Times New Roman" w:cs="Times New Roman"/>
          <w:color w:val="000000"/>
          <w:sz w:val="24"/>
        </w:rP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spacing w:line="312" w:lineRule="auto" w:after="80"/>
        <w:ind w:firstLine="283"/>
        <w:jc w:val="both"/>
      </w:pPr>
      <w:r>
        <w:rPr>
          <w:rFonts w:ascii="Times New Roman" w:hAnsi="Times New Roman" w:eastAsia="Times New Roman" w:cs="Times New Roman"/>
          <w:color w:val="000000"/>
          <w:sz w:val="24"/>
        </w:rPr>
        <w:t xml:space="preserve">The dual-mode design followed from a more pragmatic motivation than would have been predicted at project start.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fallback policy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30"/>
    <w:bookmarkStart w:id="31" w:name="purpose-of-the-thesis"/>
    <w:p>
      <w:pPr>
        <w:pStyle w:val="Heading2"/>
        <w:spacing w:line="312" w:lineRule="auto" w:after="80"/>
        <w:ind w:firstLine="283"/>
        <w:jc w:val="both"/>
      </w:pPr>
      <w:r>
        <w:rPr>
          <w:rFonts w:ascii="Times New Roman" w:hAnsi="Times New Roman" w:eastAsia="Times New Roman" w:cs="Times New Roman"/>
          <w:color w:val="000000"/>
          <w:sz w:val="24"/>
        </w:rPr>
        <w:t xml:space="preserve">1.5 Purpose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312" w:lineRule="auto" w:after="8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using score agreement, distribution shape, latency, and per-call cost.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312" w:lineRule="auto" w:after="8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31"/>
    <w:bookmarkStart w:id="32" w:name="structure-of-the-thesis"/>
    <w:p>
      <w:pPr>
        <w:pStyle w:val="Heading2"/>
        <w:spacing w:line="312" w:lineRule="auto" w:after="80"/>
        <w:ind w:firstLine="283"/>
        <w:jc w:val="both"/>
      </w:pPr>
      <w:r>
        <w:rPr>
          <w:rFonts w:ascii="Times New Roman" w:hAnsi="Times New Roman" w:eastAsia="Times New Roman" w:cs="Times New Roman"/>
          <w:color w:val="000000"/>
          <w:sz w:val="24"/>
        </w:rPr>
        <w:t xml:space="preserve">1.6 Structure of the thesis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future work: Polish-language ESCO support, a sentence-transformer intermediate tier [20, 21], and retrieval-augmented grounding for LLM outputs [25].</w:t>
      </w:r>
    </w:p>
    <w:p>
      <w:pPr>
        <w:pStyle w:val="BodyText"/>
        <w:spacing w:line="312" w:lineRule="auto" w:after="8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32"/>
    <w:bookmarkEnd w:id="33"/>
    <w:bookmarkStart w:id="59" w:name="chapter-2-system-architecture"/>
    <w:p>
      <w:pPr>
        <w:pStyle w:val="Heading1"/>
        <w:spacing w:line="312" w:lineRule="auto" w:after="80"/>
        <w:ind w:firstLine="283"/>
        <w:jc w:val="both"/>
      </w:pPr>
      <w:r>
        <w:rPr>
          <w:rFonts w:ascii="Times New Roman" w:hAnsi="Times New Roman" w:eastAsia="Times New Roman" w:cs="Times New Roman"/>
          <w:color w:val="000000"/>
          <w:sz w:val="24"/>
        </w:rPr>
        <w:t xml:space="preserve">Chapter 2 — System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36" w:name="X543fc3ee69d8b9eebfbf21368042f80b38ec856"/>
    <w:p>
      <w:pPr>
        <w:pStyle w:val="Heading2"/>
        <w:spacing w:line="312" w:lineRule="auto" w:after="80"/>
        <w:ind w:firstLine="283"/>
        <w:jc w:val="both"/>
      </w:pPr>
      <w:r>
        <w:rPr>
          <w:rFonts w:ascii="Times New Roman" w:hAnsi="Times New Roman" w:eastAsia="Times New Roman" w:cs="Times New Roman"/>
          <w:color w:val="000000"/>
          <w:sz w:val="24"/>
        </w:rPr>
        <w:t xml:space="preserve">2.1 Functional and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was designed to satisfy six functional requirements, each corresponding to one of the user-facing tools, and seven non-functional requirements that constrain how those tools are delivered.</w:t>
      </w:r>
    </w:p>
    <w:bookmarkStart w:id="34" w:name="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2.1.1 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functional requirements are summarised in Table 2.1; each row corresponds to one of the six user-facing tools whose implementation is described in Chapter 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2.1: Functional requirements F1–F6, one per user-facing tool.</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680"/>
        <w:gridCol w:w="1644"/>
        <w:gridCol w:w="6520"/>
      </w:tblGrid>
      <w:tr>
        <w:trPr>
          <w:tblHeader w:val="on"/>
        </w:trPr>
        <w:tc>
          <w:tcPr>
            <w:tcW w:type="dxa" w:w="68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ID</w:t>
            </w:r>
          </w:p>
        </w:tc>
        <w:tc>
          <w:tcPr>
            <w:tcW w:type="dxa" w:w="164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Tool</w:t>
            </w:r>
          </w:p>
        </w:tc>
        <w:tc>
          <w:tcPr>
            <w:tcW w:type="dxa" w:w="652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Required behaviour</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F1</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Resume Analyzer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free-text or uploaded resume, return a structured assessment with overall score, per-category sub-scores, identified issues, prioritised actions, and detected strengths.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F2</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Match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(text or URL), return a match score, matched keywords, missing keywords, a recruiter-style verdict, and a list of evidence-grounded action items.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F3</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Career Path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optional preferences, return a ranked list of suggested career paths with rationale, requisite skills, and a notional progression timeline.</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F4</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Cover Letter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return a tailored cover letter with explicit structural sections that the user can copy and adapt.</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F5</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Interview Q&amp;A</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return a curated list of likely interview questions clustered by category (behavioural, technical, role-specific), each with a coaching note.</w:t>
            </w:r>
          </w:p>
        </w:tc>
      </w:tr>
      <w:tr>
        <w:tc>
          <w:tcPr>
            <w:tcW w:type="dxa" w:w="68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F6</w:t>
            </w:r>
          </w:p>
        </w:tc>
        <w:tc>
          <w:tcPr>
            <w:tcW w:type="dxa" w:w="164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Portfolio Planner</w:t>
            </w:r>
          </w:p>
        </w:tc>
        <w:tc>
          <w:tcPr>
            <w:tcW w:type="dxa" w:w="652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target role, return a prioritised list of skill gaps and concrete artefact ideas (project briefs, contributions, certifications) that would close those gaps.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34"/>
    <w:bookmarkStart w:id="35" w:name="non-functional-requirements"/>
    <w:p>
      <w:pPr>
        <w:pStyle w:val="Heading3"/>
        <w:spacing w:line="312" w:lineRule="auto" w:after="80"/>
        <w:ind w:firstLine="283"/>
        <w:jc w:val="both"/>
      </w:pPr>
      <w:r>
        <w:rPr>
          <w:rFonts w:ascii="Times New Roman" w:hAnsi="Times New Roman" w:eastAsia="Times New Roman" w:cs="Times New Roman"/>
          <w:color w:val="000000"/>
          <w:sz w:val="24"/>
        </w:rPr>
        <w:t xml:space="preserve">2.1.2 Non-functional requirements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non-functional requirements were derived from the practical constraints of a single-developer, thesis-scoped deployment.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stated separately because the analytical core supports two scoring modes (Section 4.2.9) whose cost models differ by two orders of magnitude.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N1a (heuristic-only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50 ms; everything in the path is local string processing on commodity hardware.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N1b (blended LLM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degraded but useful service is preferred over a hard failure. When the LLM call fails or times out, analytical tools (Resume, Job Match) fall back to a heuristic-only response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user. Generative tools (Cover Letter, Interview Q&amp;A) fail loudly with a structured error rather than producing fabricated content.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35"/>
    <w:bookmarkEnd w:id="36"/>
    <w:bookmarkStart w:id="37" w:name="technology-stack-and-rationale"/>
    <w:p>
      <w:pPr>
        <w:pStyle w:val="Heading2"/>
        <w:spacing w:line="312" w:lineRule="auto" w:after="80"/>
        <w:ind w:firstLine="283"/>
        <w:jc w:val="both"/>
      </w:pPr>
      <w:r>
        <w:rPr>
          <w:rFonts w:ascii="Times New Roman" w:hAnsi="Times New Roman" w:eastAsia="Times New Roman" w:cs="Times New Roman"/>
          <w:color w:val="000000"/>
          <w:sz w:val="24"/>
        </w:rPr>
        <w:t xml:space="preserve">2.2 Technology stack and rationale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technology stack is summarised in Table 2.2.</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2.2: System technology stack. Rationale entries record the specific property of each choice that makes it suitable for the thesis-scope deployment.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Layer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Choice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Rationale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Backend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 0.115</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Python-native, asynchronous, automatic OpenAPI generation, Pydantic-driven schema validation.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 and migrations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SQLAlchemy 2.0 + Alembic</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Mature, type-safe in 2.0, integrates with FastAPI’s dependency injection.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Database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16 (Railway managed)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Single-node managed Postgres is sufficient for the workload; no sharding required.</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provider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Vertex AI Gemini 2.5 Flash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Lowest cost per 1 M tokens in the production-quality tier at the time of selection; native asynchronous client; reliable structured-output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Frontend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React 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Concurrent rendering, automatic batching, and the most mature component ecosystem.</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Routing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TanStack Router via TanStack Start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File-based routes, type-safe links, search-param state co-location.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Build tool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Vite 7</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Sub-second hot module replacement during development.</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Styling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Tailwind 4 + Radix UI primitives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Utility-first CSS without a parallel design-token system; Radix provides accessibility-correct primitives for menus, dialogs, and toggles.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Animation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Framer Motion</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Declarative timeline animations for the input page heroes.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Authentication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in HttpOnly cookies + Google OAuth (authlib)</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No client-readable tokens; standard refresh-rotation pattern.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Resend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Used only for password-reset emails (no welcome or marketing email is sent in V1).</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Hosting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(backend, frontend, Postgres)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 dashboard, single billing relationship, native GitHub deploy hooks.</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Observability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built-in metrics + Sentry free tier</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Sufficient for thesis-scope traffic; can be extended to a paid tier without code changes.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stack decisions deserve explicit defence because either could plausibly have been made differently.</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FastAPI rather than a Node/TypeScript backend.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the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scikit-learn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TanStack Start rather than Next.js.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spacing w:line="312" w:lineRule="auto" w:after="80"/>
        <w:ind w:firstLine="283"/>
        <w:jc w:val="both"/>
      </w:pPr>
      <w:r>
        <w:rPr>
          <w:rFonts w:ascii="Times New Roman" w:hAnsi="Times New Roman" w:eastAsia="Times New Roman" w:cs="Times New Roman"/>
          <w:color w:val="000000"/>
          <w:sz w:val="24"/>
        </w:rP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tool_/result/$historyId.tsx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have required substantially more glue in a Next.js setup.</w:t>
      </w:r>
    </w:p>
    <w:p>
      <w:pPr>
        <w:pStyle w:val="BodyText"/>
        <w:spacing w:line="312" w:lineRule="auto" w:after="80"/>
        <w:ind w:firstLine="283"/>
        <w:jc w:val="both"/>
      </w:pPr>
      <w:r>
        <w:rPr>
          <w:rFonts w:ascii="Times New Roman" w:hAnsi="Times New Roman" w:eastAsia="Times New Roman" w:cs="Times New Roman"/>
          <w:color w:val="000000"/>
          <w:sz w:val="24"/>
        </w:rP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37"/>
    <w:bookmarkStart w:id="48" w:name="back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2.3 Backend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39" name="Picture"/>
            <a:graphic>
              <a:graphicData uri="http://schemas.openxmlformats.org/drawingml/2006/picture">
                <pic:pic>
                  <pic:nvPicPr>
                    <pic:cNvPr descr="figures/v2/figure-2-1.png" id="40" name="Picture"/>
                    <pic:cNvPicPr>
                      <a:picLocks noChangeArrowheads="1" noChangeAspect="1"/>
                    </pic:cNvPicPr>
                  </pic:nvPicPr>
                  <pic:blipFill>
                    <a:blip r:embed="rId3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41" w:name="routers"/>
    <w:p>
      <w:pPr>
        <w:pStyle w:val="Heading3"/>
        <w:spacing w:line="312" w:lineRule="auto" w:after="80"/>
        <w:ind w:firstLine="283"/>
        <w:jc w:val="both"/>
      </w:pPr>
      <w:r>
        <w:rPr>
          <w:rFonts w:ascii="Times New Roman" w:hAnsi="Times New Roman" w:eastAsia="Times New Roman" w:cs="Times New Roman"/>
          <w:color w:val="000000"/>
          <w:sz w:val="24"/>
        </w:rPr>
        <w:t xml:space="preserve">2.3.1 Routers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domain has its own router file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google_auth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career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cover_letter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portfolio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files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health</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telemetry</w:t>
      </w:r>
      <w:r>
        <w:rPr>
          <w:rFonts w:ascii="Times New Roman" w:hAnsi="Times New Roman" w:eastAsia="Times New Roman" w:cs="Times New Roman"/>
          <w:color w:val="000000"/>
          <w:sz w:val="24"/>
        </w:rPr>
        <w:t xml:space="preserve">. All routers are mounted under the API prefix</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41"/>
    <w:bookmarkStart w:id="45" w:name="the-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2.3.2 The shared tool pipeline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six functional tools share a single cross-cutting pipeline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exposed as the asynchronous function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Every tool router invokes this pipeline rather than calling the tool service directly. The pipeline has six stages, executed in order (Figure 2.2):</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the job description (if any), and any feedback string are passed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sanitize_user_input</w:t>
      </w:r>
      <w:r>
        <w:rPr>
          <w:rFonts w:ascii="Times New Roman" w:hAnsi="Times New Roman" w:eastAsia="Times New Roman" w:cs="Times New Roman"/>
          <w:color w:val="000000"/>
          <w:sz w:val="24"/>
        </w:rPr>
        <w:t xml:space="preserve">, which strips control characters, normalises whitespace, and bounds the input length. This is a defence-in-depth measure against prompt-injection-style payloads embedded in resumes.</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service function is invoked. Each tool service is a coroutine that returns a fully populated response dictionary.</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is built from the persisted record, including the history identifier and the access mode.</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43" name="Picture"/>
            <a:graphic>
              <a:graphicData uri="http://schemas.openxmlformats.org/drawingml/2006/picture">
                <pic:pic>
                  <pic:nvPicPr>
                    <pic:cNvPr descr="figures/v2/figure-2-2.png" id="44" name="Picture"/>
                    <pic:cNvPicPr>
                      <a:picLocks noChangeArrowheads="1" noChangeAspect="1"/>
                    </pic:cNvPicPr>
                  </pic:nvPicPr>
                  <pic:blipFill>
                    <a:blip r:embed="rId4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spacing w:line="312" w:lineRule="auto" w:after="80"/>
        <w:ind w:firstLine="283"/>
        <w:jc w:val="both"/>
      </w:pPr>
      <w:r>
        <w:rPr>
          <w:rFonts w:ascii="Times New Roman" w:hAnsi="Times New Roman" w:eastAsia="Times New Roman" w:cs="Times New Roman"/>
          <w:color w:val="000000"/>
          <w:sz w:val="24"/>
        </w:rP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w:t>
      </w:r>
    </w:p>
    <w:bookmarkEnd w:id="45"/>
    <w:bookmarkStart w:id="46" w:name="tool-services-and-prompt-builders"/>
    <w:p>
      <w:pPr>
        <w:pStyle w:val="Heading3"/>
        <w:spacing w:line="312" w:lineRule="auto" w:after="80"/>
        <w:ind w:firstLine="283"/>
        <w:jc w:val="both"/>
      </w:pPr>
      <w:r>
        <w:rPr>
          <w:rFonts w:ascii="Times New Roman" w:hAnsi="Times New Roman" w:eastAsia="Times New Roman" w:cs="Times New Roman"/>
          <w:color w:val="000000"/>
          <w:sz w:val="24"/>
        </w:rPr>
        <w:t xml:space="preserve">2.3.3 Tool services and prompt builders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body of each tool’s logic lives in two files: a service module (</w:t>
      </w:r>
      <w:r>
        <w:rPr>
          <w:rStyle w:val="VerbatimChar"/>
          <w:rFonts w:ascii="Times New Roman" w:hAnsi="Times New Roman" w:eastAsia="Times New Roman" w:cs="Times New Roman"/>
          <w:color w:val="000000"/>
          <w:sz w:val="24"/>
        </w:rPr>
        <w:t xml:space="preserve">services/&lt;tool&gt;_*.py</w:t>
      </w:r>
      <w:r>
        <w:rPr>
          <w:rFonts w:ascii="Times New Roman" w:hAnsi="Times New Roman" w:eastAsia="Times New Roman" w:cs="Times New Roman"/>
          <w:color w:val="000000"/>
          <w:sz w:val="24"/>
        </w:rPr>
        <w:t xml:space="preserve">) and a prompt module (</w:t>
      </w:r>
      <w:r>
        <w:rPr>
          <w:rStyle w:val="VerbatimChar"/>
          <w:rFonts w:ascii="Times New Roman" w:hAnsi="Times New Roman" w:eastAsia="Times New Roman" w:cs="Times New Roman"/>
          <w:color w:val="000000"/>
          <w:sz w:val="24"/>
        </w:rPr>
        <w:t xml:space="preserve">prompts/&lt;tool&gt;.py</w:t>
      </w:r>
      <w:r>
        <w:rPr>
          <w:rFonts w:ascii="Times New Roman" w:hAnsi="Times New Roman" w:eastAsia="Times New Roman" w:cs="Times New Roman"/>
          <w:color w:val="000000"/>
          <w:sz w:val="24"/>
        </w:rPr>
        <w:t xml:space="preserve">). The service module orchestrates the heuristic prepass, builds the prompt by delegating to the prompt module, calls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obtain a validated JSON response from Gemini, and post-processes the result. The prompt module is responsible only for assembling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messages from the inputs and the heuristic prepass. Splitting these responsibilities keeps the prompt content under version control without coupling it to the service-orchestration code.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46"/>
    <w:bookmarkStart w:id="47" w:name="th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2.3.4 The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47"/>
    <w:bookmarkEnd w:id="48"/>
    <w:bookmarkStart w:id="52" w:name="frontend-architecture"/>
    <w:p>
      <w:pPr>
        <w:pStyle w:val="Heading2"/>
        <w:spacing w:line="312" w:lineRule="auto" w:after="80"/>
        <w:ind w:firstLine="283"/>
        <w:jc w:val="both"/>
      </w:pPr>
      <w:r>
        <w:rPr>
          <w:rFonts w:ascii="Times New Roman" w:hAnsi="Times New Roman" w:eastAsia="Times New Roman" w:cs="Times New Roman"/>
          <w:color w:val="000000"/>
          <w:sz w:val="24"/>
        </w:rPr>
        <w:t xml:space="preserve">2.4 Frontend architecture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frontend is a single-page application served from a Railway service that lives in the same Railway project as the backend service; both share one external hostname through path-based routing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everything else). The deployment topology is described in detail in Section 2.7.</w:t>
      </w:r>
    </w:p>
    <w:bookmarkStart w:id="49" w:name="route-structure"/>
    <w:p>
      <w:pPr>
        <w:pStyle w:val="Heading3"/>
        <w:spacing w:line="312" w:lineRule="auto" w:after="80"/>
        <w:ind w:firstLine="283"/>
        <w:jc w:val="both"/>
      </w:pPr>
      <w:r>
        <w:rPr>
          <w:rFonts w:ascii="Times New Roman" w:hAnsi="Times New Roman" w:eastAsia="Times New Roman" w:cs="Times New Roman"/>
          <w:color w:val="000000"/>
          <w:sz w:val="24"/>
        </w:rPr>
        <w:t xml:space="preserve">2.4.1 Route structure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file-based. The route tree is generated at build time by TanStack Router. Each tool has a pair of routes: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input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example,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this workspace page contains the resume input, the job-description input where applicable, and per-tool animation, copy, and chips.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result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the page rendered after a tool run completes. The route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declares a layout split, and the dynamic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persistent identifier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on the backend.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addition, routes exist for the dashboard, account settings, login, password reset, history, and the small admin surface introduced in Chapter 4 for the runtime scoring-mode toggle.</w:t>
      </w:r>
    </w:p>
    <w:bookmarkEnd w:id="49"/>
    <w:bookmarkStart w:id="50" w:name="state-management"/>
    <w:p>
      <w:pPr>
        <w:pStyle w:val="Heading3"/>
        <w:spacing w:line="312" w:lineRule="auto" w:after="80"/>
        <w:ind w:firstLine="283"/>
        <w:jc w:val="both"/>
      </w:pPr>
      <w:r>
        <w:rPr>
          <w:rFonts w:ascii="Times New Roman" w:hAnsi="Times New Roman" w:eastAsia="Times New Roman" w:cs="Times New Roman"/>
          <w:color w:val="000000"/>
          <w:sz w:val="24"/>
        </w:rPr>
        <w:t xml:space="preserve">2.4.2 State management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Application state is partitioned into three scopes.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Server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Workflow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being carried between tools and the most recent tool result the user is referencing) is held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through small custom hooks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Workflow state is tab-scoped by design: opening the same site in a second tab does not share workflow context, which prevents accidental cross-talk between unrelated tool runs.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Component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(input values, sheet open/closed flags, animation timing) is local to each component and uses standard React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useReducer</w:t>
      </w:r>
      <w:r>
        <w:rPr>
          <w:rFonts w:ascii="Times New Roman" w:hAnsi="Times New Roman" w:eastAsia="Times New Roman" w:cs="Times New Roman"/>
          <w:color w:val="000000"/>
          <w:sz w:val="24"/>
        </w:rPr>
        <w:t xml:space="preserve">.</w:t>
      </w:r>
    </w:p>
    <w:bookmarkEnd w:id="50"/>
    <w:bookmarkStart w:id="51" w:name="layout-shell-and-navigation"/>
    <w:p>
      <w:pPr>
        <w:pStyle w:val="Heading3"/>
        <w:spacing w:line="312" w:lineRule="auto" w:after="80"/>
        <w:ind w:firstLine="283"/>
        <w:jc w:val="both"/>
      </w:pPr>
      <w:r>
        <w:rPr>
          <w:rFonts w:ascii="Times New Roman" w:hAnsi="Times New Roman" w:eastAsia="Times New Roman" w:cs="Times New Roman"/>
          <w:color w:val="000000"/>
          <w:sz w:val="24"/>
        </w:rPr>
        <w:t xml:space="preserve">2.4.3 Layout shell and navigation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application shell consists of a dark sidebar and topbar with a light content area; there is no dark-mode toggle. The sidebar groups the six tools into three semantic clusters,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Job 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 Letter, Interview Q&amp;A),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Path, Portfolio), to reduce the cognitive load of navigation. On mobile breakpoints, the sidebar collapses into a bottom tab bar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and a tools sheet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All tool metadata that drives the sidebar, the dashboard cards, and the tools-sheet grid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 new tool can be exposed across the entire UI with a single registry entry.</w:t>
      </w:r>
    </w:p>
    <w:bookmarkEnd w:id="51"/>
    <w:bookmarkEnd w:id="52"/>
    <w:bookmarkStart w:id="53" w:name="data-model-and-persistence"/>
    <w:p>
      <w:pPr>
        <w:pStyle w:val="Heading2"/>
        <w:spacing w:line="312" w:lineRule="auto" w:after="80"/>
        <w:ind w:firstLine="283"/>
        <w:jc w:val="both"/>
      </w:pPr>
      <w:r>
        <w:rPr>
          <w:rFonts w:ascii="Times New Roman" w:hAnsi="Times New Roman" w:eastAsia="Times New Roman" w:cs="Times New Roman"/>
          <w:color w:val="000000"/>
          <w:sz w:val="24"/>
        </w:rPr>
        <w:t xml:space="preserve">2.5 Data model and persistence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persistence model contains three primary tables, summarised in Table 2.3.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2.3: Primary persistence tables. The schema is intentionally narrow: every row in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tool_runs</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is the unit of audit and history, and the regeneration parent pointer plus the linked-context list together carry the workflow graph without requiring an additional table.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Table</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Key columns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users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registered account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tool_runs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tool invocation that the system chose to persist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workspaces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Optional grouping of tool runs around a single role search</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design choices on the data model deserve note.</w:t>
      </w:r>
    </w:p>
    <w:p>
      <w:pPr>
        <w:pStyle w:val="BodyText"/>
        <w:spacing w:line="312" w:lineRule="auto" w:after="80"/>
        <w:ind w:firstLine="283"/>
        <w:jc w:val="both"/>
      </w:pPr>
      <w:r>
        <w:rPr>
          <w:rFonts w:ascii="Times New Roman" w:hAnsi="Times New Roman" w:eastAsia="Times New Roman" w:cs="Times New Roman"/>
          <w:color w:val="000000"/>
          <w:sz w:val="24"/>
        </w:rPr>
        <w:t xml:space="preserve">First,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regeneration never overwrites</w:t>
      </w:r>
      <w:r>
        <w:rPr>
          <w:rFonts w:ascii="Times New Roman" w:hAnsi="Times New Roman" w:eastAsia="Times New Roman" w:cs="Times New Roman"/>
          <w:color w:val="000000"/>
          <w:sz w:val="24"/>
        </w:rPr>
        <w:t xml:space="preserve">. A regenerated tool run is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This produces a complete audit trail of the user’s iteration on any single piece of analytical work, and supports rolling back a result that the user found less useful than its predecessor.</w:t>
      </w:r>
    </w:p>
    <w:p>
      <w:pPr>
        <w:pStyle w:val="BodyText"/>
        <w:spacing w:line="312" w:lineRule="auto" w:after="80"/>
        <w:ind w:firstLine="283"/>
        <w:jc w:val="both"/>
      </w:pPr>
      <w:r>
        <w:rPr>
          <w:rFonts w:ascii="Times New Roman" w:hAnsi="Times New Roman" w:eastAsia="Times New Roman" w:cs="Times New Roman"/>
          <w:color w:val="000000"/>
          <w:sz w:val="24"/>
        </w:rPr>
        <w:t xml:space="preserve">Second,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guest tool runs are never persisted to the database</w:t>
      </w:r>
      <w:r>
        <w:rPr>
          <w:rFonts w:ascii="Times New Roman" w:hAnsi="Times New Roman" w:eastAsia="Times New Roman" w:cs="Times New Roman"/>
          <w:color w:val="000000"/>
          <w:sz w:val="24"/>
        </w:rP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53"/>
    <w:bookmarkStart w:id="54" w:name="authentication-and-security"/>
    <w:p>
      <w:pPr>
        <w:pStyle w:val="Heading2"/>
        <w:spacing w:line="312" w:lineRule="auto" w:after="80"/>
        <w:ind w:firstLine="283"/>
        <w:jc w:val="both"/>
      </w:pPr>
      <w:r>
        <w:rPr>
          <w:rFonts w:ascii="Times New Roman" w:hAnsi="Times New Roman" w:eastAsia="Times New Roman" w:cs="Times New Roman"/>
          <w:color w:val="000000"/>
          <w:sz w:val="24"/>
        </w:rPr>
        <w:t xml:space="preserve">2.6 Authentication and security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Authentication uses JSON Web Tokens carried in HttpOnly cookies. There are two cookies: a 30-minute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access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and a 7-day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The access token carries the user identifier and is validated on every protected request through a FastAPI dependency. The refresh token is sent only to a single endpoint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and is rotated on every successful refresh; the previous refresh token is invalidated atomically with the issue of the new pair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No CSRF tokens are issued, because the API accepts only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application/json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request bodies and the SameSite policy is sufficient against the threat model.</w:t>
      </w:r>
    </w:p>
    <w:p>
      <w:pPr>
        <w:pStyle w:val="BodyText"/>
        <w:spacing w:line="312" w:lineRule="auto" w:after="80"/>
        <w:ind w:firstLine="283"/>
        <w:jc w:val="both"/>
      </w:pPr>
      <w:r>
        <w:rPr>
          <w:rFonts w:ascii="Times New Roman" w:hAnsi="Times New Roman" w:eastAsia="Times New Roman" w:cs="Times New Roman"/>
          <w:color w:val="000000"/>
          <w:sz w:val="24"/>
        </w:rPr>
        <w:t xml:space="preserve">Federated login is supported through Google OAuth using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library. Password reset is implemented through a single-use token sent by Resend; the token is bound to a hash of the user’s current password hash, so a successful reset implicitly invalidates earlier reset tokens.</w:t>
      </w:r>
    </w:p>
    <w:p>
      <w:pPr>
        <w:pStyle w:val="BodyText"/>
        <w:spacing w:line="312" w:lineRule="auto" w:after="80"/>
        <w:ind w:firstLine="283"/>
        <w:jc w:val="both"/>
      </w:pPr>
      <w:r>
        <w:rPr>
          <w:rFonts w:ascii="Times New Roman" w:hAnsi="Times New Roman" w:eastAsia="Times New Roman" w:cs="Times New Roman"/>
          <w:color w:val="000000"/>
          <w:sz w:val="24"/>
        </w:rPr>
        <w:t xml:space="preserve">Beyond authentication, three additional security measures are worth noting. Inputs are sanitised before reaching any prompt builder (Section 2.3.2). Disposable-email domains are blocklisted at signup. Rate limiting is enforced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with stricter limits on login and password-reset endpoints than on the tool endpoints, so that brute-force attempts on credentials are rate-controlled independently of the tool-traffic envelope.</w:t>
      </w:r>
    </w:p>
    <w:bookmarkEnd w:id="54"/>
    <w:bookmarkStart w:id="58" w:name="deployment-topology"/>
    <w:p>
      <w:pPr>
        <w:pStyle w:val="Heading2"/>
        <w:spacing w:line="312" w:lineRule="auto" w:after="80"/>
        <w:ind w:firstLine="283"/>
        <w:jc w:val="both"/>
      </w:pPr>
      <w:r>
        <w:rPr>
          <w:rFonts w:ascii="Times New Roman" w:hAnsi="Times New Roman" w:eastAsia="Times New Roman" w:cs="Times New Roman"/>
          <w:color w:val="000000"/>
          <w:sz w:val="24"/>
        </w:rPr>
        <w:t xml:space="preserve">2.7 Deployment topology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production deployment runs as a single Railway project containing two application services (frontend and backend) plus a managed PostgreSQL add-on (Figure 2.3).</w:t>
      </w:r>
    </w:p>
    <w:p>
      <w:pPr>
        <w:pStyle w:val="CaptionedFigure"/>
        <w:keepNext/>
        <w:spacing w:before="60" w:after="40"/>
        <w:jc w:val="center"/>
      </w:pPr>
      <w:r>
        <w:drawing>
          <wp:inline>
            <wp:extent cx="4031999" cy="2799999"/>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56" name="Picture"/>
            <a:graphic>
              <a:graphicData uri="http://schemas.openxmlformats.org/drawingml/2006/picture">
                <pic:pic>
                  <pic:nvPicPr>
                    <pic:cNvPr descr="figures/v2/figure-2-3.png" id="57" name="Picture"/>
                    <pic:cNvPicPr>
                      <a:picLocks noChangeArrowheads="1" noChangeAspect="1"/>
                    </pic:cNvPicPr>
                  </pic:nvPicPr>
                  <pic:blipFill>
                    <a:blip r:embed="rId55"/>
                    <a:stretch>
                      <a:fillRect/>
                    </a:stretch>
                  </pic:blipFill>
                  <pic:spPr bwMode="auto">
                    <a:xfrm>
                      <a:off x="0" y="0"/>
                      <a:ext cx="4031999" cy="2799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12" w:lineRule="auto" w:after="80"/>
        <w:ind w:firstLine="283"/>
        <w:jc w:val="both"/>
      </w:pPr>
      <w:r>
        <w:rPr>
          <w:rFonts w:ascii="Times New Roman" w:hAnsi="Times New Roman" w:eastAsia="Times New Roman" w:cs="Times New Roman"/>
          <w:color w:val="000000"/>
          <w:sz w:val="24"/>
        </w:rP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spacing w:line="312" w:lineRule="auto" w:after="80"/>
        <w:ind w:firstLine="283"/>
        <w:jc w:val="both"/>
      </w:pPr>
      <w:r>
        <w:rPr>
          <w:rFonts w:ascii="Times New Roman" w:hAnsi="Times New Roman" w:eastAsia="Times New Roman" w:cs="Times New Roman"/>
          <w:color w:val="000000"/>
          <w:sz w:val="24"/>
        </w:rPr>
        <w:t xml:space="preserve">Continuous deployment is wired to a single branch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Pushing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development checkpoint; promoting a commit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spacing w:line="312" w:lineRule="auto" w:after="80"/>
        <w:ind w:firstLine="283"/>
        <w:jc w:val="both"/>
      </w:pPr>
      <w:r>
        <w:rPr>
          <w:rFonts w:ascii="Times New Roman" w:hAnsi="Times New Roman" w:eastAsia="Times New Roman" w:cs="Times New Roman"/>
          <w:color w:val="000000"/>
          <w:sz w:val="24"/>
        </w:rPr>
        <w:t xml:space="preserve">The Railway choice was driven by the desire for a unified deployment surface. Serving the frontend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backend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single hostname collapses the entire system into one domain, which removes an entire class of CORS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w:t>
      </w:r>
      <w:r>
        <w:rPr>
          <w:rFonts w:ascii="Times New Roman" w:hAnsi="Times New Roman" w:eastAsia="Times New Roman" w:cs="Times New Roman"/>
          <w:color w:val="000000"/>
          <w:sz w:val="24"/>
        </w:rP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spacing w:line="312" w:lineRule="auto" w:after="80"/>
        <w:ind w:firstLine="283"/>
        <w:jc w:val="both"/>
      </w:pPr>
      <w:r>
        <w:rPr>
          <w:rFonts w:ascii="Times New Roman" w:hAnsi="Times New Roman" w:eastAsia="Times New Roman" w:cs="Times New Roman"/>
          <w:color w:val="000000"/>
          <w:sz w:val="24"/>
        </w:rP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spacing w:line="312" w:lineRule="auto" w:after="80"/>
        <w:ind w:firstLine="283"/>
        <w:jc w:val="both"/>
      </w:pPr>
      <w:r>
        <w:rPr>
          <w:rFonts w:ascii="Times New Roman" w:hAnsi="Times New Roman" w:eastAsia="Times New Roman" w:cs="Times New Roman"/>
          <w:color w:val="000000"/>
          <w:sz w:val="24"/>
        </w:rPr>
        <w:t xml:space="preserve">The next chapter details the implementation of each of the six tools that this architecture supports.</w:t>
      </w:r>
    </w:p>
    <w:bookmarkEnd w:id="58"/>
    <w:bookmarkEnd w:id="59"/>
    <w:bookmarkStart w:id="85" w:name="chapter-3-tool-implementations"/>
    <w:p>
      <w:pPr>
        <w:pStyle w:val="Heading1"/>
        <w:spacing w:line="312" w:lineRule="auto" w:after="80"/>
        <w:ind w:firstLine="283"/>
        <w:jc w:val="both"/>
      </w:pPr>
      <w:r>
        <w:rPr>
          <w:rFonts w:ascii="Times New Roman" w:hAnsi="Times New Roman" w:eastAsia="Times New Roman" w:cs="Times New Roman"/>
          <w:color w:val="000000"/>
          <w:sz w:val="24"/>
        </w:rPr>
        <w:t xml:space="preserve">Chapter 3 — Tool implementations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12" w:lineRule="auto" w:after="8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65" w:name="cross-cutting-design"/>
    <w:p>
      <w:pPr>
        <w:pStyle w:val="Heading2"/>
        <w:spacing w:line="312" w:lineRule="auto" w:after="80"/>
        <w:ind w:firstLine="283"/>
        <w:jc w:val="both"/>
      </w:pPr>
      <w:r>
        <w:rPr>
          <w:rFonts w:ascii="Times New Roman" w:hAnsi="Times New Roman" w:eastAsia="Times New Roman" w:cs="Times New Roman"/>
          <w:color w:val="000000"/>
          <w:sz w:val="24"/>
        </w:rPr>
        <w:t xml:space="preserve">3.1 Cross-cutting design</w:t>
      </w:r>
    </w:p>
    <w:bookmarkStart w:id="60" w:name="the-structured-output-llm-client"/>
    <w:p>
      <w:pPr>
        <w:pStyle w:val="Heading3"/>
        <w:spacing w:line="312" w:lineRule="auto" w:after="80"/>
        <w:ind w:firstLine="283"/>
        <w:jc w:val="both"/>
      </w:pPr>
      <w:r>
        <w:rPr>
          <w:rFonts w:ascii="Times New Roman" w:hAnsi="Times New Roman" w:eastAsia="Times New Roman" w:cs="Times New Roman"/>
          <w:color w:val="000000"/>
          <w:sz w:val="24"/>
        </w:rPr>
        <w:t xml:space="preserve">3.1.1 The structured-output LLM client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requests JSON output, and returns a parsed Python dictionary.</w:t>
      </w:r>
    </w:p>
    <w:p>
      <w:pPr>
        <w:pStyle w:val="BodyText"/>
        <w:spacing w:line="312" w:lineRule="auto" w:after="8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12" w:lineRule="auto" w:after="80"/>
        <w:ind w:firstLine="283"/>
        <w:jc w:val="both"/>
      </w:pPr>
      <w:r>
        <w:rPr>
          <w:rFonts w:ascii="Times New Roman" w:hAnsi="Times New Roman" w:eastAsia="Times New Roman" w:cs="Times New Roman"/>
          <w:color w:val="000000"/>
          <w:sz w:val="24"/>
        </w:rPr>
        <w:t xml:space="preserve">The 5, 10, 20, and 40 second retry schedule was selected after early testing; a shorter 2–4–8–16 schedule often retried before the upstream transient error had cleared.</w:t>
      </w:r>
    </w:p>
    <w:bookmarkEnd w:id="60"/>
    <w:bookmarkStart w:id="61" w:name="the-locked-payload-prompt-pattern"/>
    <w:p>
      <w:pPr>
        <w:pStyle w:val="Heading3"/>
        <w:spacing w:line="312" w:lineRule="auto" w:after="80"/>
        <w:ind w:firstLine="283"/>
        <w:jc w:val="both"/>
      </w:pPr>
      <w:r>
        <w:rPr>
          <w:rFonts w:ascii="Times New Roman" w:hAnsi="Times New Roman" w:eastAsia="Times New Roman" w:cs="Times New Roman"/>
          <w:color w:val="000000"/>
          <w:sz w:val="24"/>
        </w:rPr>
        <w:t xml:space="preserve">3.1.2 The locked-payload prompt pattern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61"/>
    <w:bookmarkStart w:id="62" w:name="pydantic-validated-structured-output"/>
    <w:p>
      <w:pPr>
        <w:pStyle w:val="Heading3"/>
        <w:spacing w:line="312" w:lineRule="auto" w:after="80"/>
        <w:ind w:firstLine="283"/>
        <w:jc w:val="both"/>
      </w:pPr>
      <w:r>
        <w:rPr>
          <w:rFonts w:ascii="Times New Roman" w:hAnsi="Times New Roman" w:eastAsia="Times New Roman" w:cs="Times New Roman"/>
          <w:color w:val="000000"/>
          <w:sz w:val="24"/>
        </w:rPr>
        <w:t xml:space="preserve">3.1.3 Pydantic-validated structured output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API response returned from a tool router is validated against a Pydantic response model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frontend mirrors those response contracts with Zod schemas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62"/>
    <w:bookmarkStart w:id="63" w:name="fallback-policy"/>
    <w:p>
      <w:pPr>
        <w:pStyle w:val="Heading3"/>
        <w:spacing w:line="312" w:lineRule="auto" w:after="80"/>
        <w:ind w:firstLine="283"/>
        <w:jc w:val="both"/>
      </w:pPr>
      <w:r>
        <w:rPr>
          <w:rFonts w:ascii="Times New Roman" w:hAnsi="Times New Roman" w:eastAsia="Times New Roman" w:cs="Times New Roman"/>
          <w:color w:val="000000"/>
          <w:sz w:val="24"/>
        </w:rPr>
        <w:t xml:space="preserve">3.1.4 Fallback policy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12" w:lineRule="auto" w:after="8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63"/>
    <w:bookmarkStart w:id="64" w:name="caching"/>
    <w:p>
      <w:pPr>
        <w:pStyle w:val="Heading3"/>
        <w:spacing w:line="312" w:lineRule="auto" w:after="80"/>
        <w:ind w:firstLine="283"/>
        <w:jc w:val="both"/>
      </w:pPr>
      <w:r>
        <w:rPr>
          <w:rFonts w:ascii="Times New Roman" w:hAnsi="Times New Roman" w:eastAsia="Times New Roman" w:cs="Times New Roman"/>
          <w:color w:val="000000"/>
          <w:sz w:val="24"/>
        </w:rPr>
        <w:t xml:space="preserve">3.1.5 Caching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64"/>
    <w:bookmarkEnd w:id="65"/>
    <w:bookmarkStart w:id="69" w:name="resume-analyzer"/>
    <w:p>
      <w:pPr>
        <w:pStyle w:val="Heading2"/>
        <w:spacing w:line="312" w:lineRule="auto" w:after="80"/>
        <w:ind w:firstLine="283"/>
        <w:jc w:val="both"/>
      </w:pPr>
      <w:r>
        <w:rPr>
          <w:rFonts w:ascii="Times New Roman" w:hAnsi="Times New Roman" w:eastAsia="Times New Roman" w:cs="Times New Roman"/>
          <w:color w:val="000000"/>
          <w:sz w:val="24"/>
        </w:rPr>
        <w:t xml:space="preserve">3.2 Resume Analyzer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66" w:name="input-contract"/>
    <w:p>
      <w:pPr>
        <w:pStyle w:val="Heading3"/>
        <w:spacing w:line="312" w:lineRule="auto" w:after="80"/>
        <w:ind w:firstLine="283"/>
        <w:jc w:val="both"/>
      </w:pPr>
      <w:r>
        <w:rPr>
          <w:rFonts w:ascii="Times New Roman" w:hAnsi="Times New Roman" w:eastAsia="Times New Roman" w:cs="Times New Roman"/>
          <w:color w:val="000000"/>
          <w:sz w:val="24"/>
        </w:rPr>
        <w:t xml:space="preserve">3.2.1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request body contains the raw resume text (free-form, minimum 50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66"/>
    <w:bookmarkStart w:id="67" w:name="heuristic-prepass"/>
    <w:p>
      <w:pPr>
        <w:pStyle w:val="Heading3"/>
        <w:spacing w:line="312" w:lineRule="auto" w:after="80"/>
        <w:ind w:firstLine="283"/>
        <w:jc w:val="both"/>
      </w:pPr>
      <w:r>
        <w:rPr>
          <w:rFonts w:ascii="Times New Roman" w:hAnsi="Times New Roman" w:eastAsia="Times New Roman" w:cs="Times New Roman"/>
          <w:color w:val="000000"/>
          <w:sz w:val="24"/>
        </w:rPr>
        <w:t xml:space="preserve">3.2.2 Heuristic prepass</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67"/>
    <w:bookmarkStart w:id="68" w:name="prompt-and-post-processing"/>
    <w:p>
      <w:pPr>
        <w:pStyle w:val="Heading3"/>
        <w:spacing w:line="312" w:lineRule="auto" w:after="80"/>
        <w:ind w:firstLine="283"/>
        <w:jc w:val="both"/>
      </w:pPr>
      <w:r>
        <w:rPr>
          <w:rFonts w:ascii="Times New Roman" w:hAnsi="Times New Roman" w:eastAsia="Times New Roman" w:cs="Times New Roman"/>
          <w:color w:val="000000"/>
          <w:sz w:val="24"/>
        </w:rPr>
        <w:t xml:space="preserve">3.2.3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estimates disagreed.</w:t>
      </w:r>
    </w:p>
    <w:bookmarkEnd w:id="68"/>
    <w:bookmarkEnd w:id="69"/>
    <w:bookmarkStart w:id="73" w:name="job-match"/>
    <w:p>
      <w:pPr>
        <w:pStyle w:val="Heading2"/>
        <w:spacing w:line="312" w:lineRule="auto" w:after="80"/>
        <w:ind w:firstLine="283"/>
        <w:jc w:val="both"/>
      </w:pPr>
      <w:r>
        <w:rPr>
          <w:rFonts w:ascii="Times New Roman" w:hAnsi="Times New Roman" w:eastAsia="Times New Roman" w:cs="Times New Roman"/>
          <w:color w:val="000000"/>
          <w:sz w:val="24"/>
        </w:rPr>
        <w:t xml:space="preserve">3.3 Job Match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70" w:name="input-contract-1"/>
    <w:p>
      <w:pPr>
        <w:pStyle w:val="Heading3"/>
        <w:spacing w:line="312" w:lineRule="auto" w:after="80"/>
        <w:ind w:firstLine="283"/>
        <w:jc w:val="both"/>
      </w:pPr>
      <w:r>
        <w:rPr>
          <w:rFonts w:ascii="Times New Roman" w:hAnsi="Times New Roman" w:eastAsia="Times New Roman" w:cs="Times New Roman"/>
          <w:color w:val="000000"/>
          <w:sz w:val="24"/>
        </w:rPr>
        <w:t xml:space="preserve">3.3.1 Input contract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70"/>
    <w:bookmarkStart w:id="71" w:name="heuristic-prepass-1"/>
    <w:p>
      <w:pPr>
        <w:pStyle w:val="Heading3"/>
        <w:spacing w:line="312" w:lineRule="auto" w:after="80"/>
        <w:ind w:firstLine="283"/>
        <w:jc w:val="both"/>
      </w:pPr>
      <w:r>
        <w:rPr>
          <w:rFonts w:ascii="Times New Roman" w:hAnsi="Times New Roman" w:eastAsia="Times New Roman" w:cs="Times New Roman"/>
          <w:color w:val="000000"/>
          <w:sz w:val="24"/>
        </w:rPr>
        <w:t xml:space="preserve">3.3.2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71"/>
    <w:bookmarkStart w:id="72" w:name="prompt-and-post-processing-1"/>
    <w:p>
      <w:pPr>
        <w:pStyle w:val="Heading3"/>
        <w:spacing w:line="312" w:lineRule="auto" w:after="80"/>
        <w:ind w:firstLine="283"/>
        <w:jc w:val="both"/>
      </w:pPr>
      <w:r>
        <w:rPr>
          <w:rFonts w:ascii="Times New Roman" w:hAnsi="Times New Roman" w:eastAsia="Times New Roman" w:cs="Times New Roman"/>
          <w:color w:val="000000"/>
          <w:sz w:val="24"/>
        </w:rPr>
        <w:t xml:space="preserve">3.3.3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12" w:lineRule="auto" w:after="80"/>
        <w:ind w:firstLine="283"/>
        <w:jc w:val="both"/>
      </w:pPr>
      <w:r>
        <w:rPr>
          <w:rFonts w:ascii="Times New Roman" w:hAnsi="Times New Roman" w:eastAsia="Times New Roman" w:cs="Times New Roman"/>
          <w:color w:val="000000"/>
          <w:sz w:val="24"/>
        </w:rP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72"/>
    <w:bookmarkEnd w:id="73"/>
    <w:bookmarkStart w:id="76" w:name="career-path"/>
    <w:p>
      <w:pPr>
        <w:pStyle w:val="Heading2"/>
        <w:spacing w:line="312" w:lineRule="auto" w:after="80"/>
        <w:ind w:firstLine="283"/>
        <w:jc w:val="both"/>
      </w:pPr>
      <w:r>
        <w:rPr>
          <w:rFonts w:ascii="Times New Roman" w:hAnsi="Times New Roman" w:eastAsia="Times New Roman" w:cs="Times New Roman"/>
          <w:color w:val="000000"/>
          <w:sz w:val="24"/>
        </w:rPr>
        <w:t xml:space="preserve">3.4 Career Path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74" w:name="heuristic-prepass-2"/>
    <w:p>
      <w:pPr>
        <w:pStyle w:val="Heading3"/>
        <w:spacing w:line="312" w:lineRule="auto" w:after="80"/>
        <w:ind w:firstLine="283"/>
        <w:jc w:val="both"/>
      </w:pPr>
      <w:r>
        <w:rPr>
          <w:rFonts w:ascii="Times New Roman" w:hAnsi="Times New Roman" w:eastAsia="Times New Roman" w:cs="Times New Roman"/>
          <w:color w:val="000000"/>
          <w:sz w:val="24"/>
        </w:rPr>
        <w:t xml:space="preserve">3.4.1 Heuristic prepass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12" w:lineRule="auto" w:after="8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74"/>
    <w:bookmarkStart w:id="75" w:name="prompt-and-post-processing-2"/>
    <w:p>
      <w:pPr>
        <w:pStyle w:val="Heading3"/>
        <w:spacing w:line="312" w:lineRule="auto" w:after="80"/>
        <w:ind w:firstLine="283"/>
        <w:jc w:val="both"/>
      </w:pPr>
      <w:r>
        <w:rPr>
          <w:rFonts w:ascii="Times New Roman" w:hAnsi="Times New Roman" w:eastAsia="Times New Roman" w:cs="Times New Roman"/>
          <w:color w:val="000000"/>
          <w:sz w:val="24"/>
        </w:rPr>
        <w:t xml:space="preserve">3.4.2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75"/>
    <w:bookmarkEnd w:id="76"/>
    <w:bookmarkStart w:id="78" w:name="cover-letter"/>
    <w:p>
      <w:pPr>
        <w:pStyle w:val="Heading2"/>
        <w:spacing w:line="312" w:lineRule="auto" w:after="80"/>
        <w:ind w:firstLine="283"/>
        <w:jc w:val="both"/>
      </w:pPr>
      <w:r>
        <w:rPr>
          <w:rFonts w:ascii="Times New Roman" w:hAnsi="Times New Roman" w:eastAsia="Times New Roman" w:cs="Times New Roman"/>
          <w:color w:val="000000"/>
          <w:sz w:val="24"/>
        </w:rPr>
        <w:t xml:space="preserve">3.5 Cover Letter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77" w:name="prompt-and-post-processing-3"/>
    <w:p>
      <w:pPr>
        <w:pStyle w:val="Heading3"/>
        <w:spacing w:line="312" w:lineRule="auto" w:after="80"/>
        <w:ind w:firstLine="283"/>
        <w:jc w:val="both"/>
      </w:pPr>
      <w:r>
        <w:rPr>
          <w:rFonts w:ascii="Times New Roman" w:hAnsi="Times New Roman" w:eastAsia="Times New Roman" w:cs="Times New Roman"/>
          <w:color w:val="000000"/>
          <w:sz w:val="24"/>
        </w:rPr>
        <w:t xml:space="preserve">3.5.1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77"/>
    <w:bookmarkEnd w:id="78"/>
    <w:bookmarkStart w:id="80" w:name="interview-qa"/>
    <w:p>
      <w:pPr>
        <w:pStyle w:val="Heading2"/>
        <w:spacing w:line="312" w:lineRule="auto" w:after="80"/>
        <w:ind w:firstLine="283"/>
        <w:jc w:val="both"/>
      </w:pPr>
      <w:r>
        <w:rPr>
          <w:rFonts w:ascii="Times New Roman" w:hAnsi="Times New Roman" w:eastAsia="Times New Roman" w:cs="Times New Roman"/>
          <w:color w:val="000000"/>
          <w:sz w:val="24"/>
        </w:rPr>
        <w:t xml:space="preserve">3.6 Interview Q&amp;A</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79" w:name="prompt-and-post-processing-4"/>
    <w:p>
      <w:pPr>
        <w:pStyle w:val="Heading3"/>
        <w:spacing w:line="312" w:lineRule="auto" w:after="80"/>
        <w:ind w:firstLine="283"/>
        <w:jc w:val="both"/>
      </w:pPr>
      <w:r>
        <w:rPr>
          <w:rFonts w:ascii="Times New Roman" w:hAnsi="Times New Roman" w:eastAsia="Times New Roman" w:cs="Times New Roman"/>
          <w:color w:val="000000"/>
          <w:sz w:val="24"/>
        </w:rPr>
        <w:t xml:space="preserve">3.6.1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12" w:lineRule="auto" w:after="8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This is the only place in the system where a model override is wired, because practice feedback can be invoked repeatedly during a single user session.</w:t>
      </w:r>
    </w:p>
    <w:bookmarkEnd w:id="79"/>
    <w:bookmarkEnd w:id="80"/>
    <w:bookmarkStart w:id="82" w:name="portfolio-planner"/>
    <w:p>
      <w:pPr>
        <w:pStyle w:val="Heading2"/>
        <w:spacing w:line="312" w:lineRule="auto" w:after="80"/>
        <w:ind w:firstLine="283"/>
        <w:jc w:val="both"/>
      </w:pPr>
      <w:r>
        <w:rPr>
          <w:rFonts w:ascii="Times New Roman" w:hAnsi="Times New Roman" w:eastAsia="Times New Roman" w:cs="Times New Roman"/>
          <w:color w:val="000000"/>
          <w:sz w:val="24"/>
        </w:rPr>
        <w:t xml:space="preserve">3.7 Portfolio Planner</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81" w:name="prompt-and-post-processing-5"/>
    <w:p>
      <w:pPr>
        <w:pStyle w:val="Heading3"/>
        <w:spacing w:line="312" w:lineRule="auto" w:after="80"/>
        <w:ind w:firstLine="283"/>
        <w:jc w:val="both"/>
      </w:pPr>
      <w:r>
        <w:rPr>
          <w:rFonts w:ascii="Times New Roman" w:hAnsi="Times New Roman" w:eastAsia="Times New Roman" w:cs="Times New Roman"/>
          <w:color w:val="000000"/>
          <w:sz w:val="24"/>
        </w:rPr>
        <w:t xml:space="preserve">3.7.1 Prompt and post-processing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81"/>
    <w:bookmarkEnd w:id="82"/>
    <w:bookmarkStart w:id="83" w:name="X0316533d43657d9bfd77d70e918e97beaa94be2"/>
    <w:p>
      <w:pPr>
        <w:pStyle w:val="Heading2"/>
        <w:spacing w:line="312" w:lineRule="auto" w:after="80"/>
        <w:ind w:firstLine="283"/>
        <w:jc w:val="both"/>
      </w:pPr>
      <w:r>
        <w:rPr>
          <w:rFonts w:ascii="Times New Roman" w:hAnsi="Times New Roman" w:eastAsia="Times New Roman" w:cs="Times New Roman"/>
          <w:color w:val="000000"/>
          <w:sz w:val="24"/>
        </w:rPr>
        <w:t xml:space="preserve">3.8 Persistence, regeneration, and result history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83"/>
    <w:bookmarkStart w:id="84" w:name="X1dc7e4c4ae344161dc6e08133b73d584d675b56"/>
    <w:p>
      <w:pPr>
        <w:pStyle w:val="Heading2"/>
        <w:spacing w:line="312" w:lineRule="auto" w:after="80"/>
        <w:ind w:firstLine="283"/>
        <w:jc w:val="both"/>
      </w:pPr>
      <w:r>
        <w:rPr>
          <w:rFonts w:ascii="Times New Roman" w:hAnsi="Times New Roman" w:eastAsia="Times New Roman" w:cs="Times New Roman"/>
          <w:color w:val="000000"/>
          <w:sz w:val="24"/>
        </w:rPr>
        <w:t xml:space="preserve">3.9 Reliability behaviour observed in production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84"/>
    <w:bookmarkEnd w:id="85"/>
    <w:bookmarkStart w:id="114" w:name="chapter-4-conducted-studies-and-results"/>
    <w:p>
      <w:pPr>
        <w:pStyle w:val="Heading1"/>
        <w:spacing w:line="312" w:lineRule="auto" w:after="80"/>
        <w:ind w:firstLine="283"/>
        <w:jc w:val="both"/>
      </w:pPr>
      <w:r>
        <w:rPr>
          <w:rFonts w:ascii="Times New Roman" w:hAnsi="Times New Roman" w:eastAsia="Times New Roman" w:cs="Times New Roman"/>
          <w:color w:val="000000"/>
          <w:sz w:val="24"/>
        </w:rPr>
        <w:t xml:space="preserve">Chapter 4 — Conducted studies and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90" w:name="methodology"/>
    <w:p>
      <w:pPr>
        <w:pStyle w:val="Heading2"/>
        <w:spacing w:line="312" w:lineRule="auto" w:after="80"/>
        <w:ind w:firstLine="283"/>
        <w:jc w:val="both"/>
      </w:pPr>
      <w:r>
        <w:rPr>
          <w:rFonts w:ascii="Times New Roman" w:hAnsi="Times New Roman" w:eastAsia="Times New Roman" w:cs="Times New Roman"/>
          <w:color w:val="000000"/>
          <w:sz w:val="24"/>
        </w:rPr>
        <w:t xml:space="preserve">4.1 Methodology</w:t>
      </w:r>
    </w:p>
    <w:bookmarkStart w:id="86" w:name="evaluation-dataset"/>
    <w:p>
      <w:pPr>
        <w:pStyle w:val="Heading3"/>
        <w:spacing w:line="312" w:lineRule="auto" w:after="80"/>
        <w:ind w:firstLine="283"/>
        <w:jc w:val="both"/>
      </w:pPr>
      <w:r>
        <w:rPr>
          <w:rFonts w:ascii="Times New Roman" w:hAnsi="Times New Roman" w:eastAsia="Times New Roman" w:cs="Times New Roman"/>
          <w:color w:val="000000"/>
          <w:sz w:val="24"/>
        </w:rPr>
        <w:t xml:space="preserve">4.1.1 Evaluation dataset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312" w:lineRule="auto" w:after="8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are lexically disjoint.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312" w:lineRule="auto" w:after="8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86"/>
    <w:bookmarkStart w:id="87" w:name="metrics"/>
    <w:p>
      <w:pPr>
        <w:pStyle w:val="Heading3"/>
        <w:spacing w:line="312" w:lineRule="auto" w:after="80"/>
        <w:ind w:firstLine="283"/>
        <w:jc w:val="both"/>
      </w:pPr>
      <w:r>
        <w:rPr>
          <w:rFonts w:ascii="Times New Roman" w:hAnsi="Times New Roman" w:eastAsia="Times New Roman" w:cs="Times New Roman"/>
          <w:color w:val="000000"/>
          <w:sz w:val="24"/>
        </w:rPr>
        <w:t xml:space="preserve">4.1.2 Metrics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metric families are computed per pair.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is used as a practical interpretation anchor following Cohen’s conventional benchmarks for large effects in behavioural research [26], not as a formal hypothesis or a literature-derived pass/fail threshold.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87"/>
    <w:bookmarkStart w:id="88" w:name="controls"/>
    <w:p>
      <w:pPr>
        <w:pStyle w:val="Heading3"/>
        <w:spacing w:line="312" w:lineRule="auto" w:after="80"/>
        <w:ind w:firstLine="283"/>
        <w:jc w:val="both"/>
      </w:pPr>
      <w:r>
        <w:rPr>
          <w:rFonts w:ascii="Times New Roman" w:hAnsi="Times New Roman" w:eastAsia="Times New Roman" w:cs="Times New Roman"/>
          <w:color w:val="000000"/>
          <w:sz w:val="24"/>
        </w:rPr>
        <w:t xml:space="preserve">4.1.3 Controls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Three controls isolate the comparison.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importing the application settings so that both modes use the same strong heuristic implementation. The remaining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88"/>
    <w:bookmarkStart w:id="89" w:name="threats-to-validity"/>
    <w:p>
      <w:pPr>
        <w:pStyle w:val="Heading3"/>
        <w:spacing w:line="312" w:lineRule="auto" w:after="80"/>
        <w:ind w:firstLine="283"/>
        <w:jc w:val="both"/>
      </w:pPr>
      <w:r>
        <w:rPr>
          <w:rFonts w:ascii="Times New Roman" w:hAnsi="Times New Roman" w:eastAsia="Times New Roman" w:cs="Times New Roman"/>
          <w:color w:val="000000"/>
          <w:sz w:val="24"/>
        </w:rPr>
        <w:t xml:space="preserve">4.1.4 Threats to validity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312" w:lineRule="auto" w:after="80"/>
        <w:ind w:firstLine="283"/>
        <w:jc w:val="both"/>
      </w:pPr>
      <w:r>
        <w:rPr>
          <w:rFonts w:ascii="Times New Roman" w:hAnsi="Times New Roman" w:eastAsia="Times New Roman" w:cs="Times New Roman"/>
          <w:color w:val="000000"/>
          <w:sz w:val="24"/>
        </w:rPr>
        <w:t xml:space="preserve">In Cook–Campbell terms [27]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foregrounded as the most consequential next step before any generalisation beyond the synthetic benchmark.</w:t>
      </w:r>
    </w:p>
    <w:p>
      <w:pPr>
        <w:pStyle w:val="BodyText"/>
        <w:spacing w:line="312" w:lineRule="auto" w:after="8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89"/>
    <w:bookmarkEnd w:id="90"/>
    <w:bookmarkStart w:id="100" w:name="the-strong-heuristic-v2"/>
    <w:p>
      <w:pPr>
        <w:pStyle w:val="Heading2"/>
        <w:spacing w:line="312" w:lineRule="auto" w:after="80"/>
        <w:ind w:firstLine="283"/>
        <w:jc w:val="both"/>
      </w:pPr>
      <w:r>
        <w:rPr>
          <w:rFonts w:ascii="Times New Roman" w:hAnsi="Times New Roman" w:eastAsia="Times New Roman" w:cs="Times New Roman"/>
          <w:color w:val="000000"/>
          <w:sz w:val="24"/>
        </w:rPr>
        <w:t xml:space="preserve">4.2 The strong heuristic (v2)</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91" w:name="tfidfweighted-keyword-evidence"/>
    <w:p>
      <w:pPr>
        <w:pStyle w:val="Heading3"/>
        <w:spacing w:line="312" w:lineRule="auto" w:after="80"/>
        <w:ind w:firstLine="283"/>
        <w:jc w:val="both"/>
      </w:pPr>
      <w:r>
        <w:rPr>
          <w:rFonts w:ascii="Times New Roman" w:hAnsi="Times New Roman" w:eastAsia="Times New Roman" w:cs="Times New Roman"/>
          <w:color w:val="000000"/>
          <w:sz w:val="24"/>
        </w:rPr>
        <w:t xml:space="preserve">4.2.1 TF–IDF–weighted keyword evidence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312" w:lineRule="auto" w:after="8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The final keyword-axis score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0.7 × weighted_keyword_score + 0.3 × min(100, BM25 × 4)</w:t>
      </w:r>
      <w:r>
        <w:rPr>
          <w:rFonts w:ascii="Times New Roman" w:hAnsi="Times New Roman" w:eastAsia="Times New Roman" w:cs="Times New Roman"/>
          <w:color w:val="000000"/>
          <w:sz w:val="24"/>
        </w:rPr>
        <w:t xml:space="preserve">, clamped to [0, 100]. Production uses a bundled ESCO-derived baseline IDF; the evaluation harness recomputes IDF from the job descriptions in the benchmark.</w:t>
      </w:r>
    </w:p>
    <w:bookmarkEnd w:id="91"/>
    <w:bookmarkStart w:id="92" w:name="esco-aligned-skill-normalisation"/>
    <w:p>
      <w:pPr>
        <w:pStyle w:val="Heading3"/>
        <w:spacing w:line="312" w:lineRule="auto" w:after="80"/>
        <w:ind w:firstLine="283"/>
        <w:jc w:val="both"/>
      </w:pPr>
      <w:r>
        <w:rPr>
          <w:rFonts w:ascii="Times New Roman" w:hAnsi="Times New Roman" w:eastAsia="Times New Roman" w:cs="Times New Roman"/>
          <w:color w:val="000000"/>
          <w:sz w:val="24"/>
        </w:rPr>
        <w:t xml:space="preserve">4.2.2 ESCO-aligned skill normalisation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92"/>
    <w:bookmarkStart w:id="93" w:name="fuzzy-matching"/>
    <w:p>
      <w:pPr>
        <w:pStyle w:val="Heading3"/>
        <w:spacing w:line="312" w:lineRule="auto" w:after="80"/>
        <w:ind w:firstLine="283"/>
        <w:jc w:val="both"/>
      </w:pPr>
      <w:r>
        <w:rPr>
          <w:rFonts w:ascii="Times New Roman" w:hAnsi="Times New Roman" w:eastAsia="Times New Roman" w:cs="Times New Roman"/>
          <w:color w:val="000000"/>
          <w:sz w:val="24"/>
        </w:rPr>
        <w:t xml:space="preserve">4.2.3 Fuzzy matching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For skills or keywords outside the bundled ESCO subset, v2 applies a normalised string-similarity pass related to edit-distance matching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candidate phrase.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93"/>
    <w:bookmarkStart w:id="94" w:name="section-weighted-features"/>
    <w:p>
      <w:pPr>
        <w:pStyle w:val="Heading3"/>
        <w:spacing w:line="312" w:lineRule="auto" w:after="80"/>
        <w:ind w:firstLine="283"/>
        <w:jc w:val="both"/>
      </w:pPr>
      <w:r>
        <w:rPr>
          <w:rFonts w:ascii="Times New Roman" w:hAnsi="Times New Roman" w:eastAsia="Times New Roman" w:cs="Times New Roman"/>
          <w:color w:val="000000"/>
          <w:sz w:val="24"/>
        </w:rPr>
        <w:t xml:space="preserve">4.2.4 Section-weighted features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94"/>
    <w:bookmarkStart w:id="95" w:name="quantification-regex"/>
    <w:p>
      <w:pPr>
        <w:pStyle w:val="Heading3"/>
        <w:spacing w:line="312" w:lineRule="auto" w:after="80"/>
        <w:ind w:firstLine="283"/>
        <w:jc w:val="both"/>
      </w:pPr>
      <w:r>
        <w:rPr>
          <w:rFonts w:ascii="Times New Roman" w:hAnsi="Times New Roman" w:eastAsia="Times New Roman" w:cs="Times New Roman"/>
          <w:color w:val="000000"/>
          <w:sz w:val="24"/>
        </w:rPr>
        <w:t xml:space="preserve">4.2.5 Quantification regex</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95"/>
    <w:bookmarkStart w:id="96" w:name="action-verb-scoring"/>
    <w:p>
      <w:pPr>
        <w:pStyle w:val="Heading3"/>
        <w:spacing w:line="312" w:lineRule="auto" w:after="80"/>
        <w:ind w:firstLine="283"/>
        <w:jc w:val="both"/>
      </w:pPr>
      <w:r>
        <w:rPr>
          <w:rFonts w:ascii="Times New Roman" w:hAnsi="Times New Roman" w:eastAsia="Times New Roman" w:cs="Times New Roman"/>
          <w:color w:val="000000"/>
          <w:sz w:val="24"/>
        </w:rPr>
        <w:t xml:space="preserve">4.2.6 Action-verb scoring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clarity sub-score counts the fraction of bullets whose leading token belongs to an author-compiled action-verb dictionary of 190 entries (assembled from publicly available career-services word lists; the working list is archived in the project repository alongside the heuristic implementation).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96"/>
    <w:bookmarkStart w:id="97" w:name="score-combination"/>
    <w:p>
      <w:pPr>
        <w:pStyle w:val="Heading3"/>
        <w:spacing w:line="312" w:lineRule="auto" w:after="80"/>
        <w:ind w:firstLine="283"/>
        <w:jc w:val="both"/>
      </w:pPr>
      <w:r>
        <w:rPr>
          <w:rFonts w:ascii="Times New Roman" w:hAnsi="Times New Roman" w:eastAsia="Times New Roman" w:cs="Times New Roman"/>
          <w:color w:val="000000"/>
          <w:sz w:val="24"/>
        </w:rPr>
        <w:t xml:space="preserve">4.2.7 Score combination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97"/>
    <w:bookmarkStart w:id="98" w:name="implementation-notes"/>
    <w:p>
      <w:pPr>
        <w:pStyle w:val="Heading3"/>
        <w:spacing w:line="312" w:lineRule="auto" w:after="80"/>
        <w:ind w:firstLine="283"/>
        <w:jc w:val="both"/>
      </w:pPr>
      <w:r>
        <w:rPr>
          <w:rFonts w:ascii="Times New Roman" w:hAnsi="Times New Roman" w:eastAsia="Times New Roman" w:cs="Times New Roman"/>
          <w:color w:val="000000"/>
          <w:sz w:val="24"/>
        </w:rPr>
        <w:t xml:space="preserve">4.2.8 Implementation notes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98"/>
    <w:bookmarkStart w:id="99" w:name="the-administrative-toggle"/>
    <w:p>
      <w:pPr>
        <w:pStyle w:val="Heading3"/>
        <w:spacing w:line="312" w:lineRule="auto" w:after="80"/>
        <w:ind w:firstLine="283"/>
        <w:jc w:val="both"/>
      </w:pPr>
      <w:r>
        <w:rPr>
          <w:rFonts w:ascii="Times New Roman" w:hAnsi="Times New Roman" w:eastAsia="Times New Roman" w:cs="Times New Roman"/>
          <w:color w:val="000000"/>
          <w:sz w:val="24"/>
        </w:rPr>
        <w:t xml:space="preserve">4.2.9 The administrative toggle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99"/>
    <w:bookmarkEnd w:id="100"/>
    <w:bookmarkStart w:id="112" w:name="results"/>
    <w:p>
      <w:pPr>
        <w:pStyle w:val="Heading2"/>
        <w:spacing w:line="312" w:lineRule="auto" w:after="80"/>
        <w:ind w:firstLine="283"/>
        <w:jc w:val="both"/>
      </w:pPr>
      <w:r>
        <w:rPr>
          <w:rFonts w:ascii="Times New Roman" w:hAnsi="Times New Roman" w:eastAsia="Times New Roman" w:cs="Times New Roman"/>
          <w:color w:val="000000"/>
          <w:sz w:val="24"/>
        </w:rPr>
        <w:t xml:space="preserve">4.3 Results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101" w:name="score-agreement"/>
    <w:p>
      <w:pPr>
        <w:pStyle w:val="Heading3"/>
        <w:spacing w:line="312" w:lineRule="auto" w:after="80"/>
        <w:ind w:firstLine="283"/>
        <w:jc w:val="both"/>
      </w:pPr>
      <w:r>
        <w:rPr>
          <w:rFonts w:ascii="Times New Roman" w:hAnsi="Times New Roman" w:eastAsia="Times New Roman" w:cs="Times New Roman"/>
          <w:color w:val="000000"/>
          <w:sz w:val="24"/>
        </w:rPr>
        <w:t xml:space="preserve">4.3.1 Score agreement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Across the 100 (resume, job-description) pairs in the evaluation set, three rank- and value-agreement statistics are computed between the overall score in the blended mode and the overall score in the fully heuristic v2 mode: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Spearman ρ, and Kendall τ. Table 4.1 reports the post-mitigation values computed on the disjoint-vocabulary dataset described in Section 4.1.1 alongside the pre-mitigation values from the archived leakage-version run, for an explicit before/after comparison.</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4.1: Overall agreement between blended and fully heuristic modes (n = 100 pairs). Pearson confidence intervals are computed by cluster bootstrap on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with 2 000 resamples and seed = 42, addressing threat T3 of Section 4.1.4.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(disjoint)</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(leakage version)</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Interpretation</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0.727 [95% CI 0.609, 0.814]</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Linear association between mode scores.</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ρ</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0.847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0.708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Rank agreement; the property most relevant to screening use.</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Kendall τ</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0.669</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0.526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Concordance-based rank agreement.</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4.2: Per-sub-score correlations between blended and heuristic-only modes, post-mitigation versus archived leakage version. Bold entries mark axes above the 0.7 practical interpretation anchor introduced in Section 4.1.2.</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1927"/>
        <w:gridCol w:w="1984"/>
        <w:gridCol w:w="1984"/>
        <w:gridCol w:w="1360"/>
        <w:gridCol w:w="1360"/>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Sub-score</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Kendall τ</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Keywords</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0.937</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0.946</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0.845</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Impact</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0.447</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0.332</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0.440</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0.865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0.804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Clarity</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0.395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0.373</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0.289</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Completeness</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0.756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0.691</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0.793</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0.689</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312" w:lineRule="auto" w:after="8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101"/>
    <w:bookmarkStart w:id="102" w:name="llm-only-baseline-t2-mitigation"/>
    <w:p>
      <w:pPr>
        <w:pStyle w:val="Heading3"/>
        <w:spacing w:line="312" w:lineRule="auto" w:after="80"/>
        <w:ind w:firstLine="283"/>
        <w:jc w:val="both"/>
      </w:pPr>
      <w:r>
        <w:rPr>
          <w:rFonts w:ascii="Times New Roman" w:hAnsi="Times New Roman" w:eastAsia="Times New Roman" w:cs="Times New Roman"/>
          <w:color w:val="000000"/>
          <w:sz w:val="24"/>
        </w:rPr>
        <w:t xml:space="preserve">4.3.1’ LLM-only baseline (T2 mitigation)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heuristic component of the blended score is invariant under the LLM call. The blended formula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therefore an exact identity, and the LLM-only score per pair is recoverable post-hoc from the blended and heuristic-only scores already reported in the manifest:</w:t>
      </w:r>
    </w:p>
    <w:p>
      <w:pPr>
        <w:pStyle w:val="BodyText"/>
        <w:spacing w:line="312" w:lineRule="auto" w:after="8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12" w:lineRule="auto" w:after="80"/>
        <w:ind w:firstLine="283"/>
        <w:jc w:val="both"/>
      </w:pPr>
      <w:r>
        <w:rPr>
          <w:rFonts w:ascii="Times New Roman" w:hAnsi="Times New Roman" w:eastAsia="Times New Roman" w:cs="Times New Roman"/>
          <w:color w:val="000000"/>
          <w:sz w:val="24"/>
        </w:rPr>
        <w:t xml:space="preserve">This recovery requires no additional API calls; it is a deterministic algebraic transformation of the existing per-pair results. The Pearson correlation between the recovered LLM-only score and the heuristic-only score isolates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Pair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 (cluster bootstrap)</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[0.762, 0.896]</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LLM-only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[0.476, 0.765]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LLM-only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0.952</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[0.923, 0.973]</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312" w:lineRule="auto" w:after="8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102"/>
    <w:bookmarkStart w:id="106" w:name="score-distribution"/>
    <w:p>
      <w:pPr>
        <w:pStyle w:val="Heading3"/>
        <w:spacing w:line="312" w:lineRule="auto" w:after="80"/>
        <w:ind w:firstLine="283"/>
        <w:jc w:val="both"/>
      </w:pPr>
      <w:r>
        <w:rPr>
          <w:rFonts w:ascii="Times New Roman" w:hAnsi="Times New Roman" w:eastAsia="Times New Roman" w:cs="Times New Roman"/>
          <w:color w:val="000000"/>
          <w:sz w:val="24"/>
        </w:rPr>
        <w:t xml:space="preserve">4.3.2 Score distribution</w:t>
      </w:r>
    </w:p>
    <w:p>
      <w:pPr>
        <w:pStyle w:val="FirstParagraph"/>
        <w:keepLines/>
        <w:spacing w:line="312" w:lineRule="auto" w:after="80"/>
        <w:ind w:firstLine="0"/>
        <w:jc w:val="center"/>
      </w:pPr>
      <w:r>
        <w:rPr>
          <w:rFonts w:ascii="Times New Roman" w:hAnsi="Times New Roman" w:eastAsia="Times New Roman" w:cs="Times New Roman"/>
          <w:i/>
          <w:color w:val="000000"/>
          <w:sz w:val="24"/>
        </w:rP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4.4: Overall score distribution per mode (n = 100 pairs). The KS distance compares the empirical cumulative distribution functions of the two modes; smaller values indicate more similar distributions.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71.84</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72.66</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Standard deviation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7.08</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73.00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74.50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58.00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59.00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81.00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82.00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 distance vs other mode</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0.100</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0.100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keepNext/>
        <w:spacing w:before="60" w:after="40"/>
        <w:jc w:val="center"/>
      </w:pPr>
      <w:r>
        <w:drawing>
          <wp:inline>
            <wp:extent cx="4031999" cy="2851798"/>
            <wp:effectExtent b="0" l="0" r="0" t="0"/>
            <wp:docPr descr="" title="" id="104" name="Picture"/>
            <a:graphic>
              <a:graphicData uri="http://schemas.openxmlformats.org/drawingml/2006/picture">
                <pic:pic>
                  <pic:nvPicPr>
                    <pic:cNvPr descr="figures/figure-4-1-score-distribution.png" id="105" name="Picture"/>
                    <pic:cNvPicPr>
                      <a:picLocks noChangeArrowheads="1" noChangeAspect="1"/>
                    </pic:cNvPicPr>
                  </pic:nvPicPr>
                  <pic:blipFill>
                    <a:blip r:embed="rId103"/>
                    <a:stretch>
                      <a:fillRect/>
                    </a:stretch>
                  </pic:blipFill>
                  <pic:spPr bwMode="auto">
                    <a:xfrm>
                      <a:off x="0" y="0"/>
                      <a:ext cx="4031999" cy="285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106"/>
    <w:bookmarkStart w:id="107" w:name="latency"/>
    <w:p>
      <w:pPr>
        <w:pStyle w:val="Heading3"/>
        <w:spacing w:line="312" w:lineRule="auto" w:after="80"/>
        <w:ind w:firstLine="283"/>
        <w:jc w:val="both"/>
      </w:pPr>
      <w:r>
        <w:rPr>
          <w:rFonts w:ascii="Times New Roman" w:hAnsi="Times New Roman" w:eastAsia="Times New Roman" w:cs="Times New Roman"/>
          <w:color w:val="000000"/>
          <w:sz w:val="24"/>
        </w:rPr>
        <w:t xml:space="preserve">4.3.3 Latency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4.5: Service-side latency for a single tool invocation, in milliseconds, with the per-row blended-to-heuristic ratio. The maximum-observed row reflects one retry-after-timeout case absorbed by the four-retry exponential-backoff policy described in Section 3.1.1.</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Metric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(ms)</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(ms)</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18 232.1</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25.5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24 713.7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32.1</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770×</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Maximum observed</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65 926.6</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34.1</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1 933×</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retry-after-timeout case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107"/>
    <w:bookmarkStart w:id="108" w:name="per-call-cost"/>
    <w:p>
      <w:pPr>
        <w:pStyle w:val="Heading3"/>
        <w:spacing w:line="312" w:lineRule="auto" w:after="80"/>
        <w:ind w:firstLine="283"/>
        <w:jc w:val="both"/>
      </w:pPr>
      <w:r>
        <w:rPr>
          <w:rFonts w:ascii="Times New Roman" w:hAnsi="Times New Roman" w:eastAsia="Times New Roman" w:cs="Times New Roman"/>
          <w:color w:val="000000"/>
          <w:sz w:val="24"/>
        </w:rPr>
        <w:t xml:space="preserve">4.3.4 Per-call cost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Average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$0.00038</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95th-percentile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$0.00042</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Projected monthly cost at 1 000 analyses/day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$11.43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Token counts are approximations following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~4 characters per token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scripts/recompute_eval_cost.py</w:t>
      </w:r>
      <w:r>
        <w:rPr>
          <w:rFonts w:ascii="Times New Roman" w:hAnsi="Times New Roman" w:eastAsia="Times New Roman" w:cs="Times New Roman"/>
          <w:color w:val="000000"/>
          <w:sz w:val="24"/>
        </w:rPr>
        <w:t xml:space="preserve">, which rebuilds the prompt for every pair without a second LLM call.</w:t>
      </w:r>
    </w:p>
    <w:p>
      <w:pPr>
        <w:pStyle w:val="BodyText"/>
        <w:spacing w:line="312" w:lineRule="auto" w:after="8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108"/>
    <w:bookmarkStart w:id="109" w:name="Xc5b9496d48d597ec2064019f244ae133cf5ccd1"/>
    <w:p>
      <w:pPr>
        <w:pStyle w:val="Heading3"/>
        <w:spacing w:line="312" w:lineRule="auto" w:after="80"/>
        <w:ind w:firstLine="283"/>
        <w:jc w:val="both"/>
      </w:pPr>
      <w:r>
        <w:rPr>
          <w:rFonts w:ascii="Times New Roman" w:hAnsi="Times New Roman" w:eastAsia="Times New Roman" w:cs="Times New Roman"/>
          <w:color w:val="000000"/>
          <w:sz w:val="24"/>
        </w:rPr>
        <w:t xml:space="preserve">4.3.5 Sensitivity to the score-combination weights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4.7: Sensitivity of the blended-versus-heuristic agreement to the score-combination weights. The Δ row shows the absolute movement after switching from the author-selected weighting to equal weights.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Weighting</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Author-selected (0.30, 0.25, 0.15, 0.15, 0.15)</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0.836</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Equal (0.20 across all five)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0.813</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0.823</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Δ</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−0.024</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109"/>
    <w:bookmarkStart w:id="110" w:name="heuristic-enhancement-ablation-stage-h"/>
    <w:p>
      <w:pPr>
        <w:pStyle w:val="Heading3"/>
        <w:spacing w:line="312" w:lineRule="auto" w:after="80"/>
        <w:ind w:firstLine="283"/>
        <w:jc w:val="both"/>
      </w:pPr>
      <w:r>
        <w:rPr>
          <w:rFonts w:ascii="Times New Roman" w:hAnsi="Times New Roman" w:eastAsia="Times New Roman" w:cs="Times New Roman"/>
          <w:color w:val="000000"/>
          <w:sz w:val="24"/>
        </w:rPr>
        <w:t xml:space="preserve">4.3.6 Heuristic-enhancement ablation (Stage H)</w:t>
      </w:r>
    </w:p>
    <w:p>
      <w:pPr>
        <w:pStyle w:val="FirstParagraph"/>
        <w:spacing w:line="312" w:lineRule="auto" w:after="80"/>
        <w:ind w:firstLine="283"/>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keepLines/>
        <w:spacing w:line="312" w:lineRule="auto" w:after="80"/>
        <w:ind w:firstLine="0"/>
        <w:jc w:val="center"/>
      </w:pPr>
      <w:r>
        <w:rPr>
          <w:rFonts w:ascii="Times New Roman" w:hAnsi="Times New Roman" w:eastAsia="Times New Roman" w:cs="Times New Roman"/>
          <w:i/>
          <w:color w:val="000000"/>
          <w:sz w:val="24"/>
        </w:rPr>
        <w:t xml:space="preserve">Table 4.8 reports the Pearson correlation against the post-hoc LLM-only score for each variant, with the cluster-bootstrap interval and the absolute delta against the v2 baseline.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4.8: Stage H ablation. Pearson correlation between each variant and the post-hoc LLM-only score, with cluster-bootstrap 95% confidence intervals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clusters, 2 000 resamples, seed = 42). Bold rows mark the v2 baseline and the full v3 stack endpoints of the ablation.</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2891"/>
        <w:gridCol w:w="1814"/>
        <w:gridCol w:w="1530"/>
        <w:gridCol w:w="1247"/>
        <w:gridCol w:w="1134"/>
      </w:tblGrid>
      <w:tr>
        <w:trPr>
          <w:tblHeader w:val="on"/>
        </w:trPr>
        <w:tc>
          <w:tcPr>
            <w:tcW w:type="dxa" w:w="289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Variant</w:t>
            </w:r>
          </w:p>
        </w:tc>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5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w:t>
            </w:r>
          </w:p>
        </w:tc>
        <w:tc>
          <w:tcPr>
            <w:tcW w:type="dxa" w:w="124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tcW w:type="dxa" w:w="113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Δ vs v2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heuristic-v2 (BM25 + ESCO + fuzzy)</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baseline</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with no Stage H features</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Bigram/trigram matching (H.4)</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0.629</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0.583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 semantic fallback (H.1)</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0.623</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[0.452, 0.759]</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−0.004</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STAR detection (H.2)</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0.621</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[0.463, 0.755]</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−0.006</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 expansion 107 → 354 (H.5)</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0.617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[0.461, 0.752]</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−0.009</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Cross-axis coherence (H.3)</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0.605</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[0.438, 0.746]</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−0.022</w:t>
            </w:r>
          </w:p>
        </w:tc>
      </w:tr>
      <w:tr>
        <w:tc>
          <w:tcPr>
            <w:tcW w:type="dxa" w:w="289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heuristic-v3 full stack</w:t>
            </w:r>
          </w:p>
        </w:tc>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0.590</w:t>
            </w:r>
          </w:p>
        </w:tc>
        <w:tc>
          <w:tcPr>
            <w:tcW w:type="dxa" w:w="15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[0.415, 0.735]</w:t>
            </w:r>
          </w:p>
        </w:tc>
        <w:tc>
          <w:tcPr>
            <w:tcW w:type="dxa" w:w="124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0.556</w:t>
            </w:r>
          </w:p>
        </w:tc>
        <w:tc>
          <w:tcPr>
            <w:tcW w:type="dxa" w:w="113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−0.036</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 when all five gated signals fire simultaneously.</w:t>
      </w:r>
    </w:p>
    <w:p>
      <w:pPr>
        <w:pStyle w:val="BodyText"/>
        <w:spacing w:line="312" w:lineRule="auto" w:after="8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10"/>
    <w:bookmarkStart w:id="111" w:name="Xcff2c0d3320ec1ce82f83c9b1d53013643ebe8f"/>
    <w:p>
      <w:pPr>
        <w:pStyle w:val="Heading3"/>
        <w:spacing w:line="312" w:lineRule="auto" w:after="80"/>
        <w:ind w:firstLine="283"/>
        <w:jc w:val="both"/>
      </w:pPr>
      <w:r>
        <w:rPr>
          <w:rFonts w:ascii="Times New Roman" w:hAnsi="Times New Roman" w:eastAsia="Times New Roman" w:cs="Times New Roman"/>
          <w:color w:val="000000"/>
          <w:sz w:val="24"/>
        </w:rPr>
        <w:t xml:space="preserve">4.3.7 Implementation note on Stage H reproducibility</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11"/>
    <w:bookmarkEnd w:id="112"/>
    <w:bookmarkStart w:id="113" w:name="discussion-and-limitations"/>
    <w:p>
      <w:pPr>
        <w:pStyle w:val="Heading2"/>
        <w:spacing w:line="312" w:lineRule="auto" w:after="80"/>
        <w:ind w:firstLine="283"/>
        <w:jc w:val="both"/>
      </w:pPr>
      <w:r>
        <w:rPr>
          <w:rFonts w:ascii="Times New Roman" w:hAnsi="Times New Roman" w:eastAsia="Times New Roman" w:cs="Times New Roman"/>
          <w:color w:val="000000"/>
          <w:sz w:val="24"/>
        </w:rPr>
        <w:t xml:space="preserve">4.4 Discussion and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The deterministic baseline is therefore strong enough to justify deployment as a fallback and runtime mode, while the blended mode remains valuable for qualitative explanations and clarity-sensitive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312" w:lineRule="auto" w:after="8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312" w:lineRule="auto" w:after="8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13"/>
    <w:bookmarkEnd w:id="114"/>
    <w:bookmarkStart w:id="118" w:name="chapter-5-conclusions"/>
    <w:p>
      <w:pPr>
        <w:pStyle w:val="Heading1"/>
        <w:spacing w:line="312" w:lineRule="auto" w:after="80"/>
        <w:ind w:firstLine="283"/>
        <w:jc w:val="both"/>
      </w:pPr>
      <w:r>
        <w:rPr>
          <w:rFonts w:ascii="Times New Roman" w:hAnsi="Times New Roman" w:eastAsia="Times New Roman" w:cs="Times New Roman"/>
          <w:color w:val="000000"/>
          <w:sz w:val="24"/>
        </w:rPr>
        <w:t xml:space="preserve">Chapter 5 — Conclusions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This thesis presented the design, implementation, and empirical evaluation of a system for personalised career recommendation, scoped as a Bachelor-level engineering thesis at the Faculty of Electronics, Photonics and Microsystems of Wrocław University of Science and Technology.</w:t>
      </w:r>
    </w:p>
    <w:bookmarkStart w:id="115" w:name="results-1"/>
    <w:p>
      <w:pPr>
        <w:pStyle w:val="Heading2"/>
        <w:spacing w:line="312" w:lineRule="auto" w:after="80"/>
        <w:ind w:firstLine="283"/>
        <w:jc w:val="both"/>
      </w:pPr>
      <w:r>
        <w:rPr>
          <w:rFonts w:ascii="Times New Roman" w:hAnsi="Times New Roman" w:eastAsia="Times New Roman" w:cs="Times New Roman"/>
          <w:color w:val="000000"/>
          <w:sz w:val="24"/>
        </w:rPr>
        <w:t xml:space="preserve">5.1 Results</w:t>
      </w:r>
    </w:p>
    <w:p>
      <w:pPr>
        <w:pStyle w:val="FirstParagraph"/>
        <w:spacing w:line="312" w:lineRule="auto" w:after="80"/>
        <w:ind w:firstLine="283"/>
        <w:jc w:val="both"/>
      </w:pPr>
      <w:r>
        <w:rPr>
          <w:rFonts w:ascii="Times New Roman" w:hAnsi="Times New Roman" w:eastAsia="Times New Roman" w:cs="Times New Roman"/>
          <w:b/>
          <w:bCs/>
          <w:color w:val="000000"/>
          <w:sz w:val="24"/>
        </w:rPr>
        <w:t xml:space="preserve">A deployed integrated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system is deployed on Railway as a single application surface and integrates six tools: Resume Analyzer, Job Match, Career Path, Cover Letter, Interview Q&amp;A, and Portfolio Planner. Chapters 2 and 3 documented the architecture, the shared pipeline, and the tool implementations. The system supports authenticated accounts, guest demonstrations, persisted tool history, regeneration chains, and runtime switching between scoring modes.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defendable heuristic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Chapter 4 introduced strong heuristic v2, a strictly non-neural scoring pipeline based on TF–IDF and BM25 [5, 6], ESCO-aligned skill normalisation [8, 9, 12], string-similarity fuzzy matching [7], section-weighted evidence [18], quantification detection, and action-verb scoring. The score-combination weights are author-selected but were checked through the sensitivity analysis in Section 4.3.5.</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A characterisation of the heuristic-versus-blended trade-off.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4.3 reported four metric families measured across 100 (resume, job-description) pairs on the post-mitigation disjoint-vocabulary dataset. On the overall score the heuristic mode tracks the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both well above the 0.7 reference threshold, while running roughly two-to-three orders of magnitude faster (median 25.5 ms versus 18.2 s) at zero LLM-side marginal cost. The post-hoc LLM-only-versus-heuristic correlation, isolated from the structural blended-formula component (Section 4.3.1’, T2 mitigation),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this is the cross-mode agreement after controlling for the 0.40 heuristic share that the blended mode carries by construction. The agreement is dominated by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where both modes consume the same evidence, and is weakest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axis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where the language model contributes prose-quality evidence the heuristic does not see. Independently of the aggregate numbers, the blended mode produces qualitatively richer prose recommendations that the heuristic does not attempt to produce; this qualitative dimension is reserved for separate user-research investigation.</w:t>
      </w:r>
    </w:p>
    <w:p>
      <w:pPr>
        <w:pStyle w:val="BodyText"/>
        <w:spacing w:line="312" w:lineRule="auto" w:after="80"/>
        <w:ind w:firstLine="283"/>
        <w:jc w:val="both"/>
      </w:pPr>
      <w:r>
        <w:rPr>
          <w:rFonts w:ascii="Times New Roman" w:hAnsi="Times New Roman" w:eastAsia="Times New Roman" w:cs="Times New Roman"/>
          <w:color w:val="000000"/>
          <w:sz w:val="24"/>
        </w:rPr>
        <w:t xml:space="preserve">With the benefit of hindsight, the single decision the author would change is the order in which the tools were built. The first months of work went into the Resume Analyzer and the Job Match tool, each shipped as a self-contained pipeline with its own cache, its own persistence call, and its own observability boilerplate copy-pasted from the other. Only after the third tool joined the system did the duplication become painful enough to motivate the shared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refactor. A more disciplined approach would have written the pipeline first and built the first tool against it, even at the cost of a slightly slower start; a meaningful fraction of the early bugs in this project turned out to be variations on the same forgotten cache-key argument across three nearly-identical service modules.</w:t>
      </w:r>
    </w:p>
    <w:p>
      <w:pPr>
        <w:pStyle w:val="BodyText"/>
        <w:spacing w:line="312" w:lineRule="auto" w:after="80"/>
        <w:ind w:firstLine="283"/>
        <w:jc w:val="both"/>
      </w:pPr>
      <w:r>
        <w:rPr>
          <w:rFonts w:ascii="Times New Roman" w:hAnsi="Times New Roman" w:eastAsia="Times New Roman" w:cs="Times New Roman"/>
          <w:color w:val="000000"/>
          <w:sz w:val="24"/>
        </w:rPr>
        <w:t xml:space="preserve">The main research lesson is methodological: a deterministic baseline should be measured rather than treated as a fallback of last resort. Before the comparison, heuristic mode existed mainly as a reliability mechanism, justified only by N3 of Chapter 2. After the study, it can be described much more precisely: weaker on prose-quality judgement (clarity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but strong enough on aggregate ranking and on legitimate skill-overlap evidence (keywords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0.937, structure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0.830) to justify its place in the deployed system as both an emergency fallback and a runtime-switchable mode for cost-sensitive or audit-sensitive deployments.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Validity-threat closure reported in Chapter 4.</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Three measurements address threats T1, T2, and T3 of Section 4.1.4, and their numerical results are reported inline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LLM-only baseline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 pair, recovered post-hoc from the locked-payload identity rather than from a second LLM rerun, is reported in Section 4.3.1’ and addresses threat T2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(LLM-only, heuristic) = 0.627 [95% CI 0.476, 0.765]).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vocabulary-disjoint regeneration of the synthetic benchmark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(under which the resume side and the job-description side draw from non-overlapping phrase pools by construction, with the per-pair content-token overlap audited at zero pairs above the &gt;3-token threshold) is the dataset on which every number in Section 4.3 is computed and addresses T1.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by-resume cluster-bootstrap confidence intervals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all headline correlations, computed by resampling resume identifiers with replacement (</w:t>
      </w:r>
      <w:r>
        <w:rPr>
          <w:rStyle w:val="VerbatimChar"/>
          <w:rFonts w:ascii="Times New Roman" w:hAnsi="Times New Roman" w:eastAsia="Times New Roman" w:cs="Times New Roman"/>
          <w:color w:val="000000"/>
          <w:sz w:val="24"/>
        </w:rPr>
        <w:t xml:space="preserve">cluster_bootstrap_pearson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2 000 resamples, seed = 42), are reported alongside the point estimates in Sections 4.3.1 and 4.3.1’ and address T3. The three closures together support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strong-agreement-within-this-synthetic-evaluation-set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characterisation in Section 4.4. T4 (post-hoc heuristic design) remains a disclosed limitation rather than a closed one.</w:t>
      </w:r>
    </w:p>
    <w:bookmarkEnd w:id="115"/>
    <w:bookmarkStart w:id="116" w:name="limitations"/>
    <w:p>
      <w:pPr>
        <w:pStyle w:val="Heading2"/>
        <w:spacing w:line="312" w:lineRule="auto" w:after="80"/>
        <w:ind w:firstLine="283"/>
        <w:jc w:val="both"/>
      </w:pPr>
      <w:r>
        <w:rPr>
          <w:rFonts w:ascii="Times New Roman" w:hAnsi="Times New Roman" w:eastAsia="Times New Roman" w:cs="Times New Roman"/>
          <w:color w:val="000000"/>
          <w:sz w:val="24"/>
        </w:rPr>
        <w:t xml:space="preserve">5.2 Limitations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empirical claim is bounded by the evaluation design. The dataset is</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(English) and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single-author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30 resumes were synthesised by one author), so the result is a within-author baseline rather than a cross-population hiring claim. The blended mode uses a</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Google Vertex AI Gemini 2.5 Flash, and should not be assumed to behave identically with Claude, GPT, Llama, or another hosted model.</w:t>
      </w:r>
    </w:p>
    <w:p>
      <w:pPr>
        <w:pStyle w:val="BodyText"/>
        <w:spacing w:line="312" w:lineRule="auto" w:after="80"/>
        <w:ind w:firstLine="283"/>
        <w:jc w:val="both"/>
      </w:pPr>
      <w:r>
        <w:rPr>
          <w:rFonts w:ascii="Times New Roman" w:hAnsi="Times New Roman" w:eastAsia="Times New Roman" w:cs="Times New Roman"/>
          <w:color w:val="000000"/>
          <w:sz w:val="24"/>
        </w:rPr>
        <w:t xml:space="preserve">Two operational limits also remain. First, the in-memory cache is not shared between processes; this is acceptable for thesis-scope traffic but not for larger production scale. Second, the implemented system covers skills and experience but does not yet model temporal job-market trends such as posting-frequency shifts, regional demand changes, or hiring-rate dynamics.</w:t>
      </w:r>
    </w:p>
    <w:p>
      <w:pPr>
        <w:pStyle w:val="BodyText"/>
        <w:spacing w:line="312" w:lineRule="auto" w:after="80"/>
        <w:ind w:firstLine="283"/>
        <w:jc w:val="both"/>
      </w:pPr>
      <w:r>
        <w:rPr>
          <w:rFonts w:ascii="Times New Roman" w:hAnsi="Times New Roman" w:eastAsia="Times New Roman" w:cs="Times New Roman"/>
          <w:color w:val="000000"/>
          <w:sz w:val="24"/>
        </w:rPr>
        <w:t xml:space="preserve">Finally, the system is a thesis demonstration rather than a sustainable commercial product. The monetisation strategy described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docs/spec.md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deliberately deferred to a post-thesis V1.1 release and is not evaluated here.</w:t>
      </w:r>
    </w:p>
    <w:p>
      <w:pPr>
        <w:pStyle w:val="BodyText"/>
        <w:spacing w:line="312" w:lineRule="auto" w:after="80"/>
        <w:ind w:firstLine="283"/>
        <w:jc w:val="both"/>
      </w:pPr>
      <w:r>
        <w:rPr>
          <w:rFonts w:ascii="Times New Roman" w:hAnsi="Times New Roman" w:eastAsia="Times New Roman" w:cs="Times New Roman"/>
          <w:color w:val="000000"/>
          <w:sz w:val="24"/>
        </w:rPr>
        <w:t xml:space="preserve">The fairness limitation is separate from those operational issues. Automated hiring tools can reproduce or amplify bias when resume content, model training data, or historical decisions correlate with protected attributes [22, 23, 24]. The present benchmark has no demographic labels, so disparate-impact diagnostics cannot be computed.</w:t>
      </w:r>
    </w:p>
    <w:p>
      <w:pPr>
        <w:pStyle w:val="BodyText"/>
        <w:spacing w:line="312" w:lineRule="auto" w:after="80"/>
        <w:ind w:firstLine="283"/>
        <w:jc w:val="both"/>
      </w:pPr>
      <w:r>
        <w:rPr>
          <w:rFonts w:ascii="Times New Roman" w:hAnsi="Times New Roman" w:eastAsia="Times New Roman" w:cs="Times New Roman"/>
          <w:color w:val="000000"/>
          <w:sz w:val="24"/>
        </w:rPr>
        <w:t xml:space="preserve">A further methodological limitation is that the evaluation measures score agreement rather than downstream user outcomes. The study shows how closely two scoring modes track each other on the synthetic benchmark, but it does not measure whether candidates rewrite better resumes, receive more interviews, or make better career decisions after using the system. Those outcomes would require a longitudinal user study with consented participants, which is outside the thesis schedule.</w:t>
      </w:r>
    </w:p>
    <w:bookmarkEnd w:id="116"/>
    <w:bookmarkStart w:id="117" w:name="future-development"/>
    <w:p>
      <w:pPr>
        <w:pStyle w:val="Heading2"/>
        <w:spacing w:line="312" w:lineRule="auto" w:after="80"/>
        <w:ind w:firstLine="283"/>
        <w:jc w:val="both"/>
      </w:pPr>
      <w:r>
        <w:rPr>
          <w:rFonts w:ascii="Times New Roman" w:hAnsi="Times New Roman" w:eastAsia="Times New Roman" w:cs="Times New Roman"/>
          <w:color w:val="000000"/>
          <w:sz w:val="24"/>
        </w:rPr>
        <w:t xml:space="preserve">5.3 Future development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Future work follows directly from these limitations.</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Polish-language coverage.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is multilingual, but the current bundled subset uses English labels. Adding Polish labels would make the system more relevant to a Wrocław-based deployment. The required change is contained: language detection, Polish-aware preprocessing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quality_signals_v2.py</w:t>
      </w:r>
      <w:r>
        <w:rPr>
          <w:rFonts w:ascii="Times New Roman" w:hAnsi="Times New Roman" w:eastAsia="Times New Roman" w:cs="Times New Roman"/>
          <w:color w:val="000000"/>
          <w:sz w:val="24"/>
        </w:rPr>
        <w:t xml:space="preserve">, and locale-specific prompt branches.</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would also test whether the top-down ESCO strategy remains robust when resumes mix Polish headings, English technical skills, and hybrid phrasing common in local technology roles. The architecture separates preprocessing, prompt construction, and scoring, so the work is mainly data and language handling rather than a new system design.</w:t>
      </w:r>
    </w:p>
    <w:p>
      <w:pPr>
        <w:pStyle w:val="BodyText"/>
        <w:spacing w:line="312" w:lineRule="auto" w:after="80"/>
        <w:ind w:firstLine="283"/>
        <w:jc w:val="both"/>
      </w:pPr>
      <w:r>
        <w:rPr>
          <w:rFonts w:ascii="Times New Roman" w:hAnsi="Times New Roman" w:eastAsia="Times New Roman" w:cs="Times New Roman"/>
          <w:color w:val="000000"/>
          <w:sz w:val="24"/>
        </w:rPr>
        <w:t xml:space="preserve">The Polish extension should not be treated as a translation-only task. Resume section labels, education terminology, contract types, and local job-title conventions differ from English examples, and technical resumes often mix languages in one document. A useful implementation would therefore combine ESCO label expansion with Polish section detection and bilingual prompt evaluation.</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Sentence-transformer intermediate tier.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third scoring mode could sit between strict classical IR and full LLM inference: a sentence-transformer semantic matcher such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[20, 21]. Stage H tested this idea as an ablation, but on the synthetic benchmark the SBERT-only variant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versus v2) and the full v3 stack reached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These results suggest that promotion to production should wait for evaluation on real-world resumes and job descriptions with more prose variation than the synthetic templates expose.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Retrieval-augmented 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could retrieve curated labour-market documents, ESCO occupation descriptions, salary surveys, or role-progression standards before invoking the LLM [25]. This would make recommendations more source-attributed without changing the persistence model or response contracts.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direction is the most product-facing one. It addresses the limitation that current recommendations are reasoned from the resume and job description but are not grounded in external labour-market evidence. A retrieval stage would let the system cite recent documents while preserving the existing LLM response shape.</w:t>
      </w:r>
    </w:p>
    <w:p>
      <w:pPr>
        <w:pStyle w:val="BodyText"/>
        <w:spacing w:line="312" w:lineRule="auto" w:after="80"/>
        <w:ind w:firstLine="283"/>
        <w:jc w:val="both"/>
      </w:pPr>
      <w:r>
        <w:rPr>
          <w:rFonts w:ascii="Times New Roman" w:hAnsi="Times New Roman" w:eastAsia="Times New Roman" w:cs="Times New Roman"/>
          <w:color w:val="000000"/>
          <w:sz w:val="24"/>
        </w:rPr>
        <w:t xml:space="preserve">The retrieval layer would also help with the approved-topic phrase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 job-market trends”</w:t>
      </w:r>
      <w:r>
        <w:rPr>
          <w:rFonts w:ascii="Times New Roman" w:hAnsi="Times New Roman" w:eastAsia="Times New Roman" w:cs="Times New Roman"/>
          <w:color w:val="000000"/>
          <w:sz w:val="24"/>
        </w:rPr>
        <w:t xml:space="preserve">. Instead of asking the LLM to infer market context from its pretraining, the system could retrieve recent, source-attributed evidence and attach it to the recommendation. This would make the trend dimension auditable in a way that the present static job-description comparison is not.</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Redis-backed cache.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Replacing the in-memory cache with Redis would allow cache sharing across backend processes and is the smallest operational upgrade once traffic exceeds a single-instance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This change would preserve the current cache-key design while moving storage out of process memory. It would also make latency measurements easier to interpret in a scaled deployment because cache hits would not depend on which backend worker received the request.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four future-work directions, no single ranking holds across all the criteria that would matter. The sentence-transformer intermediate tier is the most technically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probed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of the four: Stage H of this thesis (Section 4.3.6) implemented an SBERT semantic-fallback layer alongside four other classical-IR enhancements and reported a controlled null on the synthetic evaluation set, with the SBERT-only variant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0.623 (Δ = −0.004) and the full-stack v3 configuration at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all comfortably inside the ±0.15 half-width of the cluster-bootstrap noise band on the 100-pair set. The case for promoting the SBERT tier from an ablation cell to a deployed component rests on a different evaluation surface than the comparative-study benchmark of Chapter 4, likely a real-world resume and job-description corpus with prose-quality variation that the synthetic templates suppress. The retrieval-augmented blended mode is the most product-relevant of the four because the most consistent informal feedback on the deployed system has been a request for source attribution behind the recommendations. The Polish-language extension is the most regionally concrete one and would benefit from a native-Polish collaborator rather than from a single-author execution. The Redis-backed cache is the smallest of the four in scope and the only one that does not require new research data. Which of the four becomes the next deliverable depends on whether the project continues as a personal study, transitions into a paid product, or feeds into a future Master’s-level extension.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contributions are therefore an integrated, deployed system that brings six career tools together around a single resume representation, a defendable strictly-non-neural heuristic baseline, and an empirical characterisation of how that baseline compares to a language-model-augmented mode for the two analytical tools (Resume Analyzer and Job Match) on score agreement, latency, and cost, all within the synthetic evaluation set described in Chapter 4. The deployment is live at the time of submission and the administrative scoring-mode endpoint introduced in Chapter 4.2.9 is operable for live demonstration during the diploma defence.</w:t>
      </w:r>
    </w:p>
    <w:p>
      <w:pPr>
        <w:pStyle w:val="BodyText"/>
        <w:spacing w:line="312" w:lineRule="auto" w:after="80"/>
        <w:ind w:firstLine="283"/>
        <w:jc w:val="both"/>
      </w:pPr>
      <w:r>
        <w:rPr>
          <w:rFonts w:ascii="Times New Roman" w:hAnsi="Times New Roman" w:eastAsia="Times New Roman" w:cs="Times New Roman"/>
          <w:color w:val="000000"/>
          <w:sz w:val="24"/>
        </w:rPr>
        <w:t xml:space="preserve">That broader evaluation set would be the natural bridge from a Bachelor-level engineering thesis to a Master’s-level research project. It would allow the same architecture and scoring modes to be tested under less synthetic language variation, with demographic safeguards and real user outcomes added to the evaluation design.</w:t>
      </w:r>
    </w:p>
    <w:bookmarkEnd w:id="117"/>
    <w:bookmarkEnd w:id="118"/>
    <w:bookmarkStart w:id="130" w:name="bibliography"/>
    <w:p>
      <w:pPr>
        <w:pStyle w:val="Heading1"/>
        <w:spacing w:line="312" w:lineRule="auto" w:after="80"/>
        <w:ind w:firstLine="283"/>
        <w:jc w:val="both"/>
      </w:pPr>
      <w:r>
        <w:rPr>
          <w:rFonts w:ascii="Times New Roman" w:hAnsi="Times New Roman" w:eastAsia="Times New Roman" w:cs="Times New Roman"/>
          <w:color w:val="000000"/>
          <w:sz w:val="24"/>
        </w:rPr>
        <w:t xml:space="preserve">Bibliography</w:t>
      </w:r>
    </w:p>
    <w:bookmarkStart w:id="119" w:name="Xe524d447c5cf25a4d8e2fc35a266a2d3c4bfbe5"/>
    <w:p>
      <w:pPr>
        <w:pStyle w:val="Heading2"/>
        <w:spacing w:line="312" w:lineRule="auto" w:after="80"/>
        <w:ind w:firstLine="283"/>
        <w:jc w:val="both"/>
      </w:pPr>
      <w:r>
        <w:rPr>
          <w:rFonts w:ascii="Times New Roman" w:hAnsi="Times New Roman" w:eastAsia="Times New Roman" w:cs="Times New Roman"/>
          <w:color w:val="000000"/>
          <w:sz w:val="24"/>
        </w:rPr>
        <w:t xml:space="preserve">1. Foundational AI for organisational decision-making</w:t>
      </w:r>
    </w:p>
    <w:p>
      <w:pPr>
        <w:pStyle w:val="FirstParagraph"/>
        <w:spacing w:line="312" w:lineRule="auto" w:after="8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12" w:lineRule="auto" w:after="8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12" w:lineRule="auto" w:after="80"/>
        <w:jc w:val="both"/>
      </w:pPr>
      <w:r>
        <w:rPr>
          <w:rFonts w:ascii="Times New Roman" w:hAnsi="Times New Roman" w:eastAsia="Times New Roman" w:cs="Times New Roman"/>
          <w:color w:val="000000"/>
          <w:sz w:val="24"/>
        </w:rPr>
        <w:t xml:space="preserve">[3] World Economic Forum,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Future of Jobs Report 2023</w:t>
      </w:r>
      <w:r>
        <w:rPr>
          <w:rFonts w:ascii="Times New Roman" w:hAnsi="Times New Roman" w:eastAsia="Times New Roman" w:cs="Times New Roman"/>
          <w:color w:val="000000"/>
          <w:sz w:val="24"/>
        </w:rPr>
        <w:t xml:space="preserve">. Geneva: WEF, May 2023. https://www.weforum.org/publications/the-future-of-jobs-report-2023/</w:t>
      </w:r>
    </w:p>
    <w:p>
      <w:pPr>
        <w:pStyle w:val="BodyText"/>
        <w:spacing w:line="312" w:lineRule="auto" w:after="8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19"/>
    <w:bookmarkStart w:id="120" w:name="foundational-information-retrieval"/>
    <w:p>
      <w:pPr>
        <w:pStyle w:val="Heading2"/>
        <w:spacing w:line="312" w:lineRule="auto" w:after="80"/>
        <w:ind w:firstLine="283"/>
        <w:jc w:val="both"/>
      </w:pPr>
      <w:r>
        <w:rPr>
          <w:rFonts w:ascii="Times New Roman" w:hAnsi="Times New Roman" w:eastAsia="Times New Roman" w:cs="Times New Roman"/>
          <w:color w:val="000000"/>
          <w:sz w:val="24"/>
        </w:rPr>
        <w:t xml:space="preserve">2. Foundational information retrieval</w:t>
      </w:r>
    </w:p>
    <w:p>
      <w:pPr>
        <w:pStyle w:val="FirstParagraph"/>
        <w:spacing w:line="312" w:lineRule="auto" w:after="8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12" w:lineRule="auto" w:after="8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12" w:lineRule="auto" w:after="8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20"/>
    <w:bookmarkStart w:id="121" w:name="Xdd898e929631c1ac7dcaafa863450eac8c4687c"/>
    <w:p>
      <w:pPr>
        <w:pStyle w:val="Heading2"/>
        <w:spacing w:line="312" w:lineRule="auto" w:after="80"/>
        <w:ind w:firstLine="283"/>
        <w:jc w:val="both"/>
      </w:pPr>
      <w:r>
        <w:rPr>
          <w:rFonts w:ascii="Times New Roman" w:hAnsi="Times New Roman" w:eastAsia="Times New Roman" w:cs="Times New Roman"/>
          <w:color w:val="000000"/>
          <w:sz w:val="24"/>
        </w:rPr>
        <w:t xml:space="preserve">3. Skill extraction and labour-market taxonomies (ESCO, O*NET)</w:t>
      </w:r>
    </w:p>
    <w:p>
      <w:pPr>
        <w:pStyle w:val="FirstParagraph"/>
        <w:spacing w:line="312" w:lineRule="auto" w:after="8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12" w:lineRule="auto" w:after="8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12" w:lineRule="auto" w:after="8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12" w:lineRule="auto" w:after="8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12" w:lineRule="auto" w:after="8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12" w:lineRule="auto" w:after="8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21"/>
    <w:bookmarkStart w:id="122" w:name="X1796bfef32d736987f1174fc0e433d96cea39d8"/>
    <w:p>
      <w:pPr>
        <w:pStyle w:val="Heading2"/>
        <w:spacing w:line="312" w:lineRule="auto" w:after="80"/>
        <w:ind w:firstLine="283"/>
        <w:jc w:val="both"/>
      </w:pPr>
      <w:r>
        <w:rPr>
          <w:rFonts w:ascii="Times New Roman" w:hAnsi="Times New Roman" w:eastAsia="Times New Roman" w:cs="Times New Roman"/>
          <w:color w:val="000000"/>
          <w:sz w:val="24"/>
        </w:rPr>
        <w:t xml:space="preserve">4. Resume parsing and information extraction</w:t>
      </w:r>
    </w:p>
    <w:p>
      <w:pPr>
        <w:pStyle w:val="FirstParagraph"/>
        <w:spacing w:line="312" w:lineRule="auto" w:after="8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22"/>
    <w:bookmarkStart w:id="123" w:name="ai-based-career-recommendation-systems"/>
    <w:p>
      <w:pPr>
        <w:pStyle w:val="Heading2"/>
        <w:spacing w:line="312" w:lineRule="auto" w:after="80"/>
        <w:ind w:firstLine="283"/>
        <w:jc w:val="both"/>
      </w:pPr>
      <w:r>
        <w:rPr>
          <w:rFonts w:ascii="Times New Roman" w:hAnsi="Times New Roman" w:eastAsia="Times New Roman" w:cs="Times New Roman"/>
          <w:color w:val="000000"/>
          <w:sz w:val="24"/>
        </w:rPr>
        <w:t xml:space="preserve">5. AI-based career recommendation systems</w:t>
      </w:r>
    </w:p>
    <w:p>
      <w:pPr>
        <w:pStyle w:val="FirstParagraph"/>
        <w:spacing w:line="312" w:lineRule="auto" w:after="8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23"/>
    <w:bookmarkStart w:id="124" w:name="large-language-models-in-recruitment"/>
    <w:p>
      <w:pPr>
        <w:pStyle w:val="Heading2"/>
        <w:spacing w:line="312" w:lineRule="auto" w:after="80"/>
        <w:ind w:firstLine="283"/>
        <w:jc w:val="both"/>
      </w:pPr>
      <w:r>
        <w:rPr>
          <w:rFonts w:ascii="Times New Roman" w:hAnsi="Times New Roman" w:eastAsia="Times New Roman" w:cs="Times New Roman"/>
          <w:color w:val="000000"/>
          <w:sz w:val="24"/>
        </w:rPr>
        <w:t xml:space="preserve">6. Large language models in recruitment</w:t>
      </w:r>
    </w:p>
    <w:p>
      <w:pPr>
        <w:pStyle w:val="FirstParagraph"/>
        <w:spacing w:line="312" w:lineRule="auto" w:after="8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12" w:lineRule="auto" w:after="8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12" w:lineRule="auto" w:after="8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12" w:lineRule="auto" w:after="8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24"/>
    <w:bookmarkStart w:id="125" w:name="Xe3796102e15fa10b5c24e38851c753906160937"/>
    <w:p>
      <w:pPr>
        <w:pStyle w:val="Heading2"/>
        <w:spacing w:line="312" w:lineRule="auto" w:after="80"/>
        <w:ind w:firstLine="283"/>
        <w:jc w:val="both"/>
      </w:pPr>
      <w:r>
        <w:rPr>
          <w:rFonts w:ascii="Times New Roman" w:hAnsi="Times New Roman" w:eastAsia="Times New Roman" w:cs="Times New Roman"/>
          <w:color w:val="000000"/>
          <w:sz w:val="24"/>
        </w:rPr>
        <w:t xml:space="preserve">7. Semantic matching and sentence embeddings</w:t>
      </w:r>
    </w:p>
    <w:p>
      <w:pPr>
        <w:pStyle w:val="FirstParagraph"/>
        <w:spacing w:line="312" w:lineRule="auto" w:after="8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12" w:lineRule="auto" w:after="8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25"/>
    <w:bookmarkStart w:id="126" w:name="bias-and-fairness-in-algorithmic-hiring"/>
    <w:p>
      <w:pPr>
        <w:pStyle w:val="Heading2"/>
        <w:spacing w:line="312" w:lineRule="auto" w:after="80"/>
        <w:ind w:firstLine="283"/>
        <w:jc w:val="both"/>
      </w:pPr>
      <w:r>
        <w:rPr>
          <w:rFonts w:ascii="Times New Roman" w:hAnsi="Times New Roman" w:eastAsia="Times New Roman" w:cs="Times New Roman"/>
          <w:color w:val="000000"/>
          <w:sz w:val="24"/>
        </w:rPr>
        <w:t xml:space="preserve">8. Bias and fairness in algorithmic hiring</w:t>
      </w:r>
    </w:p>
    <w:p>
      <w:pPr>
        <w:pStyle w:val="FirstParagraph"/>
        <w:spacing w:line="312" w:lineRule="auto" w:after="8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12" w:lineRule="auto" w:after="8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12" w:lineRule="auto" w:after="8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26"/>
    <w:bookmarkStart w:id="127" w:name="retrieval-augmented-generation"/>
    <w:p>
      <w:pPr>
        <w:pStyle w:val="Heading2"/>
        <w:spacing w:line="312" w:lineRule="auto" w:after="80"/>
        <w:ind w:firstLine="283"/>
        <w:jc w:val="both"/>
      </w:pPr>
      <w:r>
        <w:rPr>
          <w:rFonts w:ascii="Times New Roman" w:hAnsi="Times New Roman" w:eastAsia="Times New Roman" w:cs="Times New Roman"/>
          <w:color w:val="000000"/>
          <w:sz w:val="24"/>
        </w:rPr>
        <w:t xml:space="preserve">9. Retrieval-augmented generation</w:t>
      </w:r>
    </w:p>
    <w:p>
      <w:pPr>
        <w:pStyle w:val="FirstParagraph"/>
        <w:spacing w:line="312" w:lineRule="auto" w:after="8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27"/>
    <w:bookmarkStart w:id="128" w:name="statistical-and-evaluation-methodology"/>
    <w:p>
      <w:pPr>
        <w:pStyle w:val="Heading2"/>
        <w:spacing w:line="312" w:lineRule="auto" w:after="80"/>
        <w:ind w:firstLine="283"/>
        <w:jc w:val="both"/>
      </w:pPr>
      <w:r>
        <w:rPr>
          <w:rFonts w:ascii="Times New Roman" w:hAnsi="Times New Roman" w:eastAsia="Times New Roman" w:cs="Times New Roman"/>
          <w:color w:val="000000"/>
          <w:sz w:val="24"/>
        </w:rPr>
        <w:t xml:space="preserve">10. Statistical and evaluation methodology</w:t>
      </w:r>
    </w:p>
    <w:p>
      <w:pPr>
        <w:pStyle w:val="FirstParagraph"/>
        <w:spacing w:line="312" w:lineRule="auto" w:after="80"/>
        <w:jc w:val="both"/>
      </w:pPr>
      <w:r>
        <w:rPr>
          <w:rFonts w:ascii="Times New Roman" w:hAnsi="Times New Roman" w:eastAsia="Times New Roman" w:cs="Times New Roman"/>
          <w:color w:val="000000"/>
          <w:sz w:val="24"/>
        </w:rPr>
        <w:t xml:space="preserve">[26] J. Cohen,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Statistical Power Analysis for the Behavioral Sciences</w:t>
      </w:r>
      <w:r>
        <w:rPr>
          <w:rFonts w:ascii="Times New Roman" w:hAnsi="Times New Roman" w:eastAsia="Times New Roman" w:cs="Times New Roman"/>
          <w:color w:val="000000"/>
          <w:sz w:val="24"/>
        </w:rPr>
        <w:t xml:space="preserve">, 2nd ed. Hillsdale, NJ: Lawrence Erlbaum, 1988.</w:t>
      </w:r>
    </w:p>
    <w:p>
      <w:pPr>
        <w:pStyle w:val="BodyText"/>
        <w:spacing w:line="312" w:lineRule="auto" w:after="80"/>
        <w:jc w:val="both"/>
      </w:pPr>
      <w:r>
        <w:rPr>
          <w:rFonts w:ascii="Times New Roman" w:hAnsi="Times New Roman" w:eastAsia="Times New Roman" w:cs="Times New Roman"/>
          <w:color w:val="000000"/>
          <w:sz w:val="24"/>
        </w:rPr>
        <w:t xml:space="preserve">[27] T. D. Cook and D. T. Campbell,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Quasi-Experimentation: Design and Analysis Issues for Field Settings</w:t>
      </w:r>
      <w:r>
        <w:rPr>
          <w:rFonts w:ascii="Times New Roman" w:hAnsi="Times New Roman" w:eastAsia="Times New Roman" w:cs="Times New Roman"/>
          <w:color w:val="000000"/>
          <w:sz w:val="24"/>
        </w:rPr>
        <w:t xml:space="preserve">. Boston, MA: Houghton Mifflin, 1979.</w:t>
      </w:r>
    </w:p>
    <w:bookmarkEnd w:id="128"/>
    <w:bookmarkStart w:id="129" w:name="web-frameworks-and-system-tooling"/>
    <w:p>
      <w:pPr>
        <w:pStyle w:val="Heading2"/>
        <w:spacing w:line="312" w:lineRule="auto" w:after="80"/>
        <w:ind w:firstLine="283"/>
        <w:jc w:val="both"/>
      </w:pPr>
      <w:r>
        <w:rPr>
          <w:rFonts w:ascii="Times New Roman" w:hAnsi="Times New Roman" w:eastAsia="Times New Roman" w:cs="Times New Roman"/>
          <w:color w:val="000000"/>
          <w:sz w:val="24"/>
        </w:rPr>
        <w:t xml:space="preserve">11. Web frameworks and system tooling</w:t>
      </w:r>
    </w:p>
    <w:p>
      <w:pPr>
        <w:pStyle w:val="FirstParagraph"/>
        <w:spacing w:line="312" w:lineRule="auto" w:after="80"/>
        <w:ind w:firstLine="283"/>
        <w:jc w:val="both"/>
      </w:pPr>
      <w:r>
        <w:rPr>
          <w:rFonts w:ascii="Times New Roman" w:hAnsi="Times New Roman" w:eastAsia="Times New Roman" w:cs="Times New Roman"/>
          <w:color w:val="000000"/>
          <w:sz w:val="24"/>
        </w:rPr>
        <w:t xml:space="preserve">Documentation references for the engineering chapters; kept separate from the numbered academic bibliography because they document implementation APIs rather than research claims.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Resend transactional email API. https://resend.com/docs</w:t>
      </w:r>
    </w:p>
    <w:bookmarkEnd w:id="129"/>
    <w:bookmarkEnd w:id="130"/>
    <w:bookmarkStart w:id="162" w:name="appendices"/>
    <w:p>
      <w:pPr>
        <w:pStyle w:val="Heading1"/>
        <w:spacing w:line="312" w:lineRule="auto" w:after="80"/>
        <w:ind w:firstLine="283"/>
        <w:jc w:val="both"/>
      </w:pPr>
      <w:r>
        <w:rPr>
          <w:rFonts w:ascii="Times New Roman" w:hAnsi="Times New Roman" w:eastAsia="Times New Roman" w:cs="Times New Roman"/>
          <w:color w:val="000000"/>
          <w:sz w:val="24"/>
        </w:rPr>
        <w:t xml:space="preserve">Appendices</w:t>
      </w:r>
    </w:p>
    <w:bookmarkStart w:id="135" w:name="appendix-a-source-listings"/>
    <w:p>
      <w:pPr>
        <w:pStyle w:val="Heading2"/>
        <w:spacing w:line="312" w:lineRule="auto" w:after="80"/>
        <w:ind w:firstLine="283"/>
        <w:jc w:val="both"/>
      </w:pPr>
      <w:r>
        <w:rPr>
          <w:rFonts w:ascii="Times New Roman" w:hAnsi="Times New Roman" w:eastAsia="Times New Roman" w:cs="Times New Roman"/>
          <w:color w:val="000000"/>
          <w:sz w:val="24"/>
        </w:rPr>
        <w:t xml:space="preserve">Appendix A — Source listings</w:t>
      </w:r>
    </w:p>
    <w:p>
      <w:pPr>
        <w:pStyle w:val="BlockText"/>
        <w:spacing w:line="312" w:lineRule="auto" w:after="80"/>
        <w:ind w:firstLine="283"/>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31" w:name="X815009366af60fa4723a257df1c3cfaaf97a2fb"/>
    <w:p>
      <w:pPr>
        <w:pStyle w:val="Heading3"/>
        <w:spacing w:line="312" w:lineRule="auto" w:after="80"/>
        <w:ind w:firstLine="283"/>
        <w:jc w:val="both"/>
      </w:pPr>
      <w:r>
        <w:rPr>
          <w:rFonts w:ascii="Times New Roman" w:hAnsi="Times New Roman" w:eastAsia="Times New Roman" w:cs="Times New Roman"/>
          <w:color w:val="000000"/>
          <w:sz w:val="24"/>
        </w:rPr>
        <w:t xml:space="preserve">A.1 Strong heuristic v2 — public entry point</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build_resume_prepass_v2(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target_role_label: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ResumePrepassV2: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text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resume_text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sections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_detect_sections(text)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bullets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[m.group(</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_BULLET_RE.finditer(text)]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tokens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_tokenize(text)</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resume_skills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_normalise_skills(text)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missing: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matched_locations: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fuzzy_count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(full body in the source file; see Section 4.2 of the thesis for the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accompanying methodological description)</w:t>
      </w:r>
    </w:p>
    <w:bookmarkEnd w:id="131"/>
    <w:bookmarkStart w:id="132" w:name="a.2-bm25-scoring"/>
    <w:p>
      <w:pPr>
        <w:pStyle w:val="Heading3"/>
        <w:spacing w:line="312" w:lineRule="auto" w:after="80"/>
        <w:ind w:firstLine="283"/>
        <w:jc w:val="both"/>
      </w:pPr>
      <w:r>
        <w:rPr>
          <w:rFonts w:ascii="Times New Roman" w:hAnsi="Times New Roman" w:eastAsia="Times New Roman" w:cs="Times New Roman"/>
          <w:color w:val="000000"/>
          <w:sz w:val="24"/>
        </w:rPr>
        <w:t xml:space="preserve">A.2 BM25 scoring</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_bm25_score(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int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query_terms: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idf: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avg_dl: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350.0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k1: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1.5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0.75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"""Standard BM25 score of a query against a single document's term-frequencies."""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sum</w:t>
      </w:r>
      <w:r>
        <w:rPr>
          <w:rStyle w:val="NormalTok"/>
          <w:rFonts w:ascii="Courier New" w:hAnsi="Courier New" w:eastAsia="Courier New" w:cs="Courier New"/>
          <w:b w:val="0"/>
          <w:i w:val="0"/>
          <w:color w:val="000000"/>
          <w:sz w:val="19"/>
        </w:rPr>
        <w:t xml:space="preserve">(resume_tf.values())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term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resume_tf.get(term,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continue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idf.get(term, math.log((</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norm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avg_dl))</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norm</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score</w:t>
      </w:r>
    </w:p>
    <w:bookmarkEnd w:id="132"/>
    <w:bookmarkStart w:id="133" w:name="a.3-runtime-mode-toggle"/>
    <w:p>
      <w:pPr>
        <w:pStyle w:val="Heading3"/>
        <w:spacing w:line="312" w:lineRule="auto" w:after="80"/>
        <w:ind w:firstLine="283"/>
        <w:jc w:val="both"/>
      </w:pPr>
      <w:r>
        <w:rPr>
          <w:rFonts w:ascii="Times New Roman" w:hAnsi="Times New Roman" w:eastAsia="Times New Roman" w:cs="Times New Roman"/>
          <w:color w:val="000000"/>
          <w:sz w:val="24"/>
        </w:rPr>
        <w:t xml:space="preserve">A.3 Runtime mode toggle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backend/app/services/runtime_settings.py</w:t>
      </w:r>
    </w:p>
    <w:p>
      <w:pPr>
        <w:pStyle w:val="SourceCode"/>
        <w:keepNext w:val="0"/>
        <w:keepLines/>
        <w:spacing w:line="240" w:lineRule="auto" w:before="40" w:after="40"/>
        <w:ind w:firstLine="0" w:left="227" w:right="227"/>
        <w:jc w:val="left"/>
        <w:shd w:val="clear" w:color="auto" w:fill="F5F5F5"/>
      </w:pPr>
      <w:r>
        <w:rPr>
          <w:rStyle w:val="NormalTok"/>
          <w:rFonts w:ascii="Courier New" w:hAnsi="Courier New" w:eastAsia="Courier New" w:cs="Courier New"/>
          <w:b w:val="0"/>
          <w:i w:val="0"/>
          <w:color w:val="000000"/>
          <w:sz w:val="19"/>
        </w:rPr>
        <w:t xml:space="preserve">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Literal[</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_VALID_MODES: </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_initial_mode: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configured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getattr</w:t>
      </w:r>
      <w:r>
        <w:rPr>
          <w:rStyle w:val="NormalTok"/>
          <w:rFonts w:ascii="Courier New" w:hAnsi="Courier New" w:eastAsia="Courier New" w:cs="Courier New"/>
          <w:b w:val="0"/>
          <w:i w:val="0"/>
          <w:color w:val="000000"/>
          <w:sz w:val="19"/>
        </w:rPr>
        <w:t xml:space="preserve">(settings, </w:t>
      </w:r>
      <w:r>
        <w:rPr>
          <w:rStyle w:val="StringTok"/>
          <w:rFonts w:ascii="Courier New" w:hAnsi="Courier New" w:eastAsia="Courier New" w:cs="Courier New"/>
          <w:b w:val="0"/>
          <w:i w:val="0"/>
          <w:color w:val="000000"/>
          <w:sz w:val="19"/>
        </w:rPr>
        <w:t xml:space="preserve">"SCORING_MODE"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configured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_initial_mode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configured</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_current_mode: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_initial_mode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get_scoring_mode()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set_scoring_mode(mode: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global</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mode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raise</w:t>
      </w:r>
      <w:r>
        <w:rPr>
          <w:rStyle w:val="NormalTok"/>
          <w:rFonts w:ascii="Courier New" w:hAnsi="Courier New" w:eastAsia="Courier New" w:cs="Courier New"/>
          <w:b w:val="0"/>
          <w:i w:val="0"/>
          <w:color w:val="000000"/>
          <w:sz w:val="19"/>
        </w:rPr>
        <w:t xml:space="preserve"> </w:t>
      </w:r>
      <w:r>
        <w:rPr>
          <w:rStyle w:val="PreprocessorTok"/>
          <w:rFonts w:ascii="Courier New" w:hAnsi="Courier New" w:eastAsia="Courier New" w:cs="Courier New"/>
          <w:b w:val="0"/>
          <w:i w:val="0"/>
          <w:color w:val="000000"/>
          <w:sz w:val="19"/>
        </w:rPr>
        <w:t xml:space="preserve">ValueError</w:t>
      </w:r>
      <w:r>
        <w:rPr>
          <w:rStyle w:val="NormalTok"/>
          <w:rFonts w:ascii="Courier New" w:hAnsi="Courier New" w:eastAsia="Courier New" w:cs="Courier New"/>
          <w:b w:val="0"/>
          <w:i w:val="0"/>
          <w:color w:val="000000"/>
          <w:sz w:val="19"/>
        </w:rPr>
        <w:t xml:space="preserve">(</w:t>
      </w:r>
      <w:r>
        <w:rPr>
          <w:rStyle w:val="SpecialStringTok"/>
          <w:rFonts w:ascii="Courier New" w:hAnsi="Courier New" w:eastAsia="Courier New" w:cs="Courier New"/>
          <w:b w:val="0"/>
          <w:i w:val="0"/>
          <w:color w:val="000000"/>
          <w:sz w:val="19"/>
        </w:rPr>
        <w:t xml:space="preserve">f"unknown scoring mode: </w:t>
      </w:r>
      <w:r>
        <w:rPr>
          <w:rStyle w:val="SpecialCha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mode</w:t>
      </w:r>
      <w:r>
        <w:rPr>
          <w:rStyle w:val="SpecialCharTok"/>
          <w:rFonts w:ascii="Courier New" w:hAnsi="Courier New" w:eastAsia="Courier New" w:cs="Courier New"/>
          <w:b w:val="0"/>
          <w:i w:val="0"/>
          <w:color w:val="000000"/>
          <w:sz w:val="19"/>
        </w:rPr>
        <w:t xml:space="preserve">!r}</w:t>
      </w:r>
      <w:r>
        <w:rPr>
          <w:rStyle w:val="SpecialString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_current_mode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p>
    <w:bookmarkEnd w:id="133"/>
    <w:bookmarkStart w:id="134" w:name="a.4-shared-tool-pipeline"/>
    <w:p>
      <w:pPr>
        <w:pStyle w:val="Heading3"/>
        <w:spacing w:line="312" w:lineRule="auto" w:after="80"/>
        <w:ind w:firstLine="283"/>
        <w:jc w:val="both"/>
      </w:pPr>
      <w:r>
        <w:rPr>
          <w:rFonts w:ascii="Times New Roman" w:hAnsi="Times New Roman" w:eastAsia="Times New Roman" w:cs="Times New Roman"/>
          <w:color w:val="000000"/>
          <w:sz w:val="24"/>
        </w:rPr>
        <w:t xml:space="preserve">A.4 Shared tool pipeline</w:t>
      </w:r>
    </w:p>
    <w:p>
      <w:pPr>
        <w:pStyle w:val="FirstParagraph"/>
        <w:spacing w:line="312" w:lineRule="auto" w:after="80"/>
        <w:ind w:firstLine="283"/>
        <w:jc w:val="both"/>
      </w:pPr>
      <w:r>
        <w:rPr>
          <w:rStyle w:val="VerbatimChar"/>
          <w:rFonts w:ascii="Times New Roman" w:hAnsi="Times New Roman" w:eastAsia="Times New Roman" w:cs="Times New Roman"/>
          <w:color w:val="000000"/>
          <w:sz w:val="24"/>
        </w:rPr>
        <w:t xml:space="preserve">backend/app/services/tool_pipeline.py</w:t>
      </w:r>
    </w:p>
    <w:p>
      <w:pPr>
        <w:pStyle w:val="SourceCode"/>
        <w:keepNext w:val="0"/>
        <w:keepLines/>
        <w:spacing w:line="240" w:lineRule="auto" w:before="40" w:after="40"/>
        <w:ind w:firstLine="0" w:left="227" w:right="227"/>
        <w:jc w:val="left"/>
        <w:shd w:val="clear" w:color="auto" w:fill="F5F5F5"/>
      </w:pPr>
      <w:r>
        <w:rPr>
          <w:rStyle w:val="ControlFlowTok"/>
          <w:rFonts w:ascii="Courier New" w:hAnsi="Courier New" w:eastAsia="Courier New" w:cs="Courier New"/>
          <w:b w:val="0"/>
          <w:i w:val="0"/>
          <w:color w:val="000000"/>
          <w:sz w:val="19"/>
        </w:rPr>
        <w:t xml:space="preserve">async</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run_tool_pipeline(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tool_name: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service_fn: Callable[..., Awaitable[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service_kwargs: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label_fn: Callable[[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feedback: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parent_run_id: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workspace_id: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linked_context_ids: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current_user: User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db: Session,</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cache_extra_keys: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"""Shared pipeline: sanitize -&gt; cache -&gt; service -&gt; fallback -&gt; persist -&gt; respond."""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(sanitisation, cache lookup, service call, persistence, observability)</w:t>
      </w:r>
    </w:p>
    <w:bookmarkEnd w:id="134"/>
    <w:bookmarkEnd w:id="135"/>
    <w:bookmarkStart w:id="140" w:name="Xe2691035b1ea9be44987f1df6fe865ef1936dcd"/>
    <w:p>
      <w:pPr>
        <w:pStyle w:val="Heading2"/>
        <w:spacing w:line="312" w:lineRule="auto" w:after="80"/>
        <w:ind w:firstLine="283"/>
        <w:jc w:val="both"/>
      </w:pPr>
      <w:r>
        <w:rPr>
          <w:rFonts w:ascii="Times New Roman" w:hAnsi="Times New Roman" w:eastAsia="Times New Roman" w:cs="Times New Roman"/>
          <w:color w:val="000000"/>
          <w:sz w:val="24"/>
        </w:rPr>
        <w:t xml:space="preserve">Appendix B — Evaluation dataset description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36" w:name="b.1-resume-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B.1 Resume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12" w:lineRule="auto" w:after="8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36"/>
    <w:bookmarkStart w:id="137" w:name="b.2-job-description-synthesis-procedure"/>
    <w:p>
      <w:pPr>
        <w:pStyle w:val="Heading3"/>
        <w:spacing w:line="312" w:lineRule="auto" w:after="80"/>
        <w:ind w:firstLine="283"/>
        <w:jc w:val="both"/>
      </w:pPr>
      <w:r>
        <w:rPr>
          <w:rFonts w:ascii="Times New Roman" w:hAnsi="Times New Roman" w:eastAsia="Times New Roman" w:cs="Times New Roman"/>
          <w:color w:val="000000"/>
          <w:sz w:val="24"/>
        </w:rPr>
        <w:t xml:space="preserve">B.2 Job description synthesis procedure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37"/>
    <w:bookmarkStart w:id="138" w:name="b.3-pair-construction"/>
    <w:p>
      <w:pPr>
        <w:pStyle w:val="Heading3"/>
        <w:spacing w:line="312" w:lineRule="auto" w:after="80"/>
        <w:ind w:firstLine="283"/>
        <w:jc w:val="both"/>
      </w:pPr>
      <w:r>
        <w:rPr>
          <w:rFonts w:ascii="Times New Roman" w:hAnsi="Times New Roman" w:eastAsia="Times New Roman" w:cs="Times New Roman"/>
          <w:color w:val="000000"/>
          <w:sz w:val="24"/>
        </w:rPr>
        <w:t xml:space="preserve">B.3 Pair construction</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38"/>
    <w:bookmarkStart w:id="139" w:name="b.4-pair-manifest"/>
    <w:p>
      <w:pPr>
        <w:pStyle w:val="Heading3"/>
        <w:spacing w:line="312" w:lineRule="auto" w:after="80"/>
        <w:ind w:firstLine="283"/>
        <w:jc w:val="both"/>
      </w:pPr>
      <w:r>
        <w:rPr>
          <w:rFonts w:ascii="Times New Roman" w:hAnsi="Times New Roman" w:eastAsia="Times New Roman" w:cs="Times New Roman"/>
          <w:color w:val="000000"/>
          <w:sz w:val="24"/>
        </w:rPr>
        <w:t xml:space="preserve">B.4 Pair manifest</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39"/>
    <w:bookmarkEnd w:id="140"/>
    <w:bookmarkStart w:id="157" w:name="Xa5e1eb6ef87c5a83e8c05d91d91fb5c96834f8e"/>
    <w:p>
      <w:pPr>
        <w:pStyle w:val="Heading2"/>
        <w:spacing w:line="312" w:lineRule="auto" w:after="80"/>
        <w:ind w:firstLine="283"/>
        <w:jc w:val="both"/>
      </w:pPr>
      <w:r>
        <w:rPr>
          <w:rFonts w:ascii="Times New Roman" w:hAnsi="Times New Roman" w:eastAsia="Times New Roman" w:cs="Times New Roman"/>
          <w:color w:val="000000"/>
          <w:sz w:val="24"/>
        </w:rPr>
        <w:t xml:space="preserve">Appendix C — Screenshots of the running system</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44" w:name="c.1-landing-page"/>
    <w:p>
      <w:pPr>
        <w:pStyle w:val="Heading3"/>
        <w:spacing w:line="312" w:lineRule="auto" w:after="80"/>
        <w:ind w:firstLine="283"/>
        <w:jc w:val="both"/>
      </w:pPr>
      <w:r>
        <w:rPr>
          <w:rFonts w:ascii="Times New Roman" w:hAnsi="Times New Roman" w:eastAsia="Times New Roman" w:cs="Times New Roman"/>
          <w:color w:val="000000"/>
          <w:sz w:val="24"/>
        </w:rPr>
        <w:t xml:space="preserve">C.1 Landing page</w:t>
      </w:r>
    </w:p>
    <w:p>
      <w:pPr>
        <w:pStyle w:val="CaptionedFigure"/>
        <w:keepNext/>
        <w:spacing w:before="60" w:after="40"/>
        <w:jc w:val="center"/>
      </w:pPr>
      <w:r>
        <w:drawing>
          <wp:inline>
            <wp:extent cx="4031999" cy="2267999"/>
            <wp:effectExtent b="0" l="0" r="0" t="0"/>
            <wp:docPr descr="Figure C.1 — Career Workbench landing page (signed-out, production deployment)." title="" id="142" name="Picture"/>
            <a:graphic>
              <a:graphicData uri="http://schemas.openxmlformats.org/drawingml/2006/picture">
                <pic:pic>
                  <pic:nvPicPr>
                    <pic:cNvPr descr="figures/ui-01-landing.png" id="143" name="Picture"/>
                    <pic:cNvPicPr>
                      <a:picLocks noChangeArrowheads="1" noChangeAspect="1"/>
                    </pic:cNvPicPr>
                  </pic:nvPicPr>
                  <pic:blipFill>
                    <a:blip r:embed="rId141"/>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44"/>
    <w:bookmarkStart w:id="148" w:name="c.2-resume-analyzer-input-page"/>
    <w:p>
      <w:pPr>
        <w:pStyle w:val="Heading3"/>
        <w:spacing w:line="312" w:lineRule="auto" w:after="80"/>
        <w:ind w:firstLine="283"/>
        <w:jc w:val="both"/>
      </w:pPr>
      <w:r>
        <w:rPr>
          <w:rFonts w:ascii="Times New Roman" w:hAnsi="Times New Roman" w:eastAsia="Times New Roman" w:cs="Times New Roman"/>
          <w:color w:val="000000"/>
          <w:sz w:val="24"/>
        </w:rPr>
        <w:t xml:space="preserve">C.2 Resume Analyzer input page</w:t>
      </w:r>
    </w:p>
    <w:p>
      <w:pPr>
        <w:pStyle w:val="CaptionedFigure"/>
        <w:keepNext/>
        <w:spacing w:before="60" w:after="40"/>
        <w:jc w:val="center"/>
      </w:pPr>
      <w:r>
        <w:drawing>
          <wp:inline>
            <wp:extent cx="4031999" cy="2267999"/>
            <wp:effectExtent b="0" l="0" r="0" t="0"/>
            <wp:docPr descr="Figure C.2 — Resume Analyzer input page, guest mode." title="" id="146" name="Picture"/>
            <a:graphic>
              <a:graphicData uri="http://schemas.openxmlformats.org/drawingml/2006/picture">
                <pic:pic>
                  <pic:nvPicPr>
                    <pic:cNvPr descr="figures/ui-03-resume-input.png" id="147" name="Picture"/>
                    <pic:cNvPicPr>
                      <a:picLocks noChangeArrowheads="1" noChangeAspect="1"/>
                    </pic:cNvPicPr>
                  </pic:nvPicPr>
                  <pic:blipFill>
                    <a:blip r:embed="rId145"/>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48"/>
    <w:bookmarkStart w:id="152" w:name="Xe92b625608c320df0d0e71eef401fce0fea85fc"/>
    <w:p>
      <w:pPr>
        <w:pStyle w:val="Heading3"/>
        <w:spacing w:line="312" w:lineRule="auto" w:after="80"/>
        <w:ind w:firstLine="283"/>
        <w:jc w:val="both"/>
      </w:pPr>
      <w:r>
        <w:rPr>
          <w:rFonts w:ascii="Times New Roman" w:hAnsi="Times New Roman" w:eastAsia="Times New Roman" w:cs="Times New Roman"/>
          <w:color w:val="000000"/>
          <w:sz w:val="24"/>
        </w:rPr>
        <w:t xml:space="preserve">C.3 Resume Analyzer result page (blended mode)</w:t>
      </w:r>
    </w:p>
    <w:p>
      <w:pPr>
        <w:pStyle w:val="CaptionedFigure"/>
        <w:keepNext/>
        <w:spacing w:before="60" w:after="40"/>
        <w:jc w:val="center"/>
      </w:pPr>
      <w:r>
        <w:drawing>
          <wp:inline>
            <wp:extent cx="4031999" cy="4531798"/>
            <wp:effectExtent b="0" l="0" r="0" t="0"/>
            <wp:docPr descr="Figure C.3 — Resume Analyzer result page in blended mode." title="" id="150" name="Picture"/>
            <a:graphic>
              <a:graphicData uri="http://schemas.openxmlformats.org/drawingml/2006/picture">
                <pic:pic>
                  <pic:nvPicPr>
                    <pic:cNvPr descr="figures/ui-04-resume-result.png" id="151" name="Picture"/>
                    <pic:cNvPicPr>
                      <a:picLocks noChangeArrowheads="1" noChangeAspect="1"/>
                    </pic:cNvPicPr>
                  </pic:nvPicPr>
                  <pic:blipFill>
                    <a:blip r:embed="rId149"/>
                    <a:stretch>
                      <a:fillRect/>
                    </a:stretch>
                  </pic:blipFill>
                  <pic:spPr bwMode="auto">
                    <a:xfrm>
                      <a:off x="0" y="0"/>
                      <a:ext cx="4031999" cy="45317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52"/>
    <w:bookmarkStart w:id="156" w:name="c.4-job-match-result-page"/>
    <w:p>
      <w:pPr>
        <w:pStyle w:val="Heading3"/>
        <w:spacing w:line="312" w:lineRule="auto" w:after="80"/>
        <w:ind w:firstLine="283"/>
        <w:jc w:val="both"/>
      </w:pPr>
      <w:r>
        <w:rPr>
          <w:rFonts w:ascii="Times New Roman" w:hAnsi="Times New Roman" w:eastAsia="Times New Roman" w:cs="Times New Roman"/>
          <w:color w:val="000000"/>
          <w:sz w:val="24"/>
        </w:rPr>
        <w:t xml:space="preserve">C.4 Job Match result page</w:t>
      </w:r>
    </w:p>
    <w:p>
      <w:pPr>
        <w:pStyle w:val="CaptionedFigure"/>
        <w:keepNext/>
        <w:spacing w:before="60" w:after="40"/>
        <w:jc w:val="center"/>
      </w:pPr>
      <w:r>
        <w:drawing>
          <wp:inline>
            <wp:extent cx="4031999" cy="5520898"/>
            <wp:effectExtent b="0" l="0" r="0" t="0"/>
            <wp:docPr descr="Figure C.4 — Job Match result page on the same resume / job-description pair." title="" id="154" name="Picture"/>
            <a:graphic>
              <a:graphicData uri="http://schemas.openxmlformats.org/drawingml/2006/picture">
                <pic:pic>
                  <pic:nvPicPr>
                    <pic:cNvPr descr="figures/ui-05-job-match-result.png" id="155" name="Picture"/>
                    <pic:cNvPicPr>
                      <a:picLocks noChangeArrowheads="1" noChangeAspect="1"/>
                    </pic:cNvPicPr>
                  </pic:nvPicPr>
                  <pic:blipFill>
                    <a:blip r:embed="rId153"/>
                    <a:stretch>
                      <a:fillRect/>
                    </a:stretch>
                  </pic:blipFill>
                  <pic:spPr bwMode="auto">
                    <a:xfrm>
                      <a:off x="0" y="0"/>
                      <a:ext cx="4031999" cy="55208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56"/>
    <w:bookmarkEnd w:id="157"/>
    <w:bookmarkStart w:id="161" w:name="appendix-d-configuration-reference"/>
    <w:p>
      <w:pPr>
        <w:pStyle w:val="Heading2"/>
        <w:spacing w:line="312" w:lineRule="auto" w:after="80"/>
        <w:ind w:firstLine="283"/>
        <w:jc w:val="both"/>
      </w:pPr>
      <w:r>
        <w:rPr>
          <w:rFonts w:ascii="Times New Roman" w:hAnsi="Times New Roman" w:eastAsia="Times New Roman" w:cs="Times New Roman"/>
          <w:color w:val="000000"/>
          <w:sz w:val="24"/>
        </w:rPr>
        <w:t xml:space="preserve">Appendix D — Configuration reference</w:t>
      </w:r>
    </w:p>
    <w:bookmarkStart w:id="158" w:name="d.1-backend-environment-variables"/>
    <w:p>
      <w:pPr>
        <w:pStyle w:val="Heading3"/>
        <w:spacing w:line="312" w:lineRule="auto" w:after="80"/>
        <w:ind w:firstLine="283"/>
        <w:jc w:val="both"/>
      </w:pPr>
      <w:r>
        <w:rPr>
          <w:rFonts w:ascii="Times New Roman" w:hAnsi="Times New Roman" w:eastAsia="Times New Roman" w:cs="Times New Roman"/>
          <w:color w:val="000000"/>
          <w:sz w:val="24"/>
        </w:rPr>
        <w:t xml:space="preserve">D.1 Backend environment variables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608"/>
        <w:gridCol w:w="3969"/>
        <w:gridCol w:w="2268"/>
      </w:tblGrid>
      <w:tr>
        <w:trPr>
          <w:tblHeader w:val="on"/>
        </w:trPr>
        <w:tc>
          <w:tcPr>
            <w:tcW w:type="dxa" w:w="260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Variable</w:t>
            </w:r>
          </w:p>
        </w:tc>
        <w:tc>
          <w:tcPr>
            <w:tcW w:type="dxa" w:w="396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226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Default</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DATABASE_URL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DSN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sqlite:///./career_platform.db</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SECRET_KEY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signing secret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ACCESS_TOKEN_EXPIRE_MINUTES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REFRESH_TOKEN_EXPIRE_DAYS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Refresh-token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LLM_PROVIDER</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dispatch backend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Primary Gemini model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gemini-2.5-flash</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LLM_PRACTICE_MODEL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Cheaper model used for interview practice feedback</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VERTEX_PROJECT_ID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Cloud project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VERTEX_LOCATION</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Vertex region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us-central1</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BLENDED_SCORING_ENABLED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Apply 60/40 LLM/heuristic blend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SCORING_MODE</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In-memory cache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RESULT_CACHE_TTL_SECONDS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Cache TTL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3600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CORS_ORIGINS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Allowed CORS origins</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FRONTEND_URL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Canonical frontend URL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(set in production)</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OAuth</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RESEND_API_KEY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SENTRY_DSN</w:t>
            </w:r>
          </w:p>
        </w:tc>
        <w:tc>
          <w:tcPr>
            <w:tcW w:type="dxa" w:w="396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Error tracking</w:t>
            </w:r>
          </w:p>
        </w:tc>
        <w:tc>
          <w:tcPr>
            <w:tcW w:type="dxa" w:w="226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disables)</w:t>
            </w:r>
          </w:p>
        </w:tc>
      </w:tr>
    </w:tbl>
    <w:bookmarkEnd w:id="158"/>
    <w:bookmarkStart w:id="159" w:name="d.2-administrative-endpoints"/>
    <w:p>
      <w:pPr>
        <w:pStyle w:val="Heading3"/>
        <w:spacing w:line="312" w:lineRule="auto" w:after="80"/>
        <w:ind w:firstLine="283"/>
        <w:jc w:val="both"/>
      </w:pPr>
      <w:r>
        <w:rPr>
          <w:rFonts w:ascii="Times New Roman" w:hAnsi="Times New Roman" w:eastAsia="Times New Roman" w:cs="Times New Roman"/>
          <w:color w:val="000000"/>
          <w:sz w:val="24"/>
        </w:rPr>
        <w:t xml:space="preserve">D.2 Administrative endpoints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response shape returned by both endpoints is:</w:t>
      </w:r>
    </w:p>
    <w:p>
      <w:pPr>
        <w:pStyle w:val="SourceCode"/>
        <w:keepNext w:val="0"/>
        <w:keepLines/>
        <w:spacing w:line="240" w:lineRule="auto" w:before="40" w:after="40"/>
        <w:ind w:firstLine="0" w:left="227" w:right="227"/>
        <w:jc w:val="left"/>
        <w:shd w:val="clear" w:color="auto" w:fill="F5F5F5"/>
      </w:pP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"mode"</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"heuristic_version"</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"v1"</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"blended_weight_heuristic"</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0.4</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"blended_weight_llm"</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0.6</w:t>
      </w:r>
      <w:r>
        <w:rPr>
          <w:rFonts w:ascii="Courier New" w:hAnsi="Courier New" w:eastAsia="Courier New" w:cs="Courier New"/>
          <w:b w:val="0"/>
          <w:i w:val="0"/>
          <w:color w:val="000000"/>
          <w:sz w:val="19"/>
        </w:rPr>
        <w:br/>
      </w:r>
      <w:r>
        <w:rPr>
          <w:rStyle w:val="FunctionTok"/>
          <w:rFonts w:ascii="Courier New" w:hAnsi="Courier New" w:eastAsia="Courier New" w:cs="Courier New"/>
          <w:b w:val="0"/>
          <w:i w:val="0"/>
          <w:color w:val="000000"/>
          <w:sz w:val="19"/>
        </w:rPr>
        <w:t xml:space="preserv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59"/>
    <w:bookmarkStart w:id="160" w:name="d.3-running-the-evaluation-harness"/>
    <w:p>
      <w:pPr>
        <w:pStyle w:val="Heading3"/>
        <w:spacing w:line="312" w:lineRule="auto" w:after="80"/>
        <w:ind w:firstLine="283"/>
        <w:jc w:val="both"/>
      </w:pPr>
      <w:r>
        <w:rPr>
          <w:rFonts w:ascii="Times New Roman" w:hAnsi="Times New Roman" w:eastAsia="Times New Roman" w:cs="Times New Roman"/>
          <w:color w:val="000000"/>
          <w:sz w:val="24"/>
        </w:rPr>
        <w:t xml:space="preserve">D.3 Running the evaluation harness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evaluation run used the following commands at the repository root:</w:t>
      </w:r>
    </w:p>
    <w:p>
      <w:pPr>
        <w:pStyle w:val="SourceCode"/>
        <w:keepNext w:val="0"/>
        <w:keepLines/>
        <w:spacing w:line="240" w:lineRule="auto" w:before="40" w:after="40"/>
        <w:ind w:firstLine="0" w:left="227" w:right="227"/>
        <w:jc w:val="left"/>
        <w:shd w:val="clear" w:color="auto" w:fill="F5F5F5"/>
      </w:pP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cd backend</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SCORING_MODE=blended RESULT_CACHE_ENABLED=false </w:t>
      </w:r>
      <w:r>
        <w:rPr>
          <w:rStyle w:val="DataType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python ../scripts/eval_scoring.py</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python ../scripts/analyze_eval_results.py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../thesis/chapter-04-results.md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60"/>
    <w:bookmarkEnd w:id="161"/>
    <w:bookmarkEnd w:id="162"/>
    <w:sectPr>
      <w:type w:val="nextPage"/>
      <w:footerReference w:type="default" r:id="rId154"/>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EE"/>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E7E51">
    <w:pPr>
      <w:pStyle w:val="4"/>
      <w:jc w:val="center"/>
    </w:pPr>
    <w:r>
      <w:fldChar w:fldCharType="begin"/>
    </w:r>
    <w:r>
      <w:instrText xml:space="preserve">PAGE</w:instrText>
    </w:r>
    <w:r>
      <w:fldChar w:fldCharType="separate"/>
    </w:r>
    <w:r>
      <w:t>2</w:t>
    </w:r>
    <w:r>
      <w:fldChar w:fldCharType="end"/>
    </w:r>
  </w:p>
  <w:p w14:paraId="7B33CEC4">
    <w:pPr>
      <w:pStyle w:val="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44231AEB">
      <w:tblPrEx>
        <w:tblCellMar>
          <w:top w:w="0" w:type="dxa"/>
          <w:left w:w="108" w:type="dxa"/>
          <w:bottom w:w="0" w:type="dxa"/>
          <w:right w:w="108" w:type="dxa"/>
        </w:tblCellMar>
      </w:tblPrEx>
      <w:trPr>
        <w:trHeight w:val="300" w:hRule="atLeast"/>
      </w:trPr>
      <w:tc>
        <w:tcPr>
          <w:tcW w:w="3005" w:type="dxa"/>
        </w:tcPr>
        <w:p w14:paraId="076AB2CC">
          <w:pPr>
            <w:pStyle w:val="5"/>
            <w:ind w:left="-115"/>
          </w:pPr>
        </w:p>
      </w:tc>
      <w:tc>
        <w:tcPr>
          <w:tcW w:w="3005" w:type="dxa"/>
        </w:tcPr>
        <w:p w14:paraId="2C4394B9">
          <w:pPr>
            <w:pStyle w:val="5"/>
            <w:jc w:val="center"/>
          </w:pPr>
        </w:p>
      </w:tc>
      <w:tc>
        <w:tcPr>
          <w:tcW w:w="3005" w:type="dxa"/>
        </w:tcPr>
        <w:p w14:paraId="19BF53E0">
          <w:pPr>
            <w:pStyle w:val="5"/>
            <w:ind w:right="-115"/>
            <w:jc w:val="right"/>
          </w:pPr>
        </w:p>
      </w:tc>
    </w:tr>
  </w:tbl>
  <w:p w14:paraId="011BAC51">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14"/>
    </w:tblGrid>
    <w:tr w14:paraId="4A1A88B5">
      <w:tblPrEx>
        <w:tblCellMar>
          <w:top w:w="0" w:type="dxa"/>
          <w:left w:w="108" w:type="dxa"/>
          <w:bottom w:w="0" w:type="dxa"/>
          <w:right w:w="108" w:type="dxa"/>
        </w:tblCellMar>
      </w:tblPrEx>
      <w:trPr>
        <w:trHeight w:val="300" w:hRule="atLeast"/>
      </w:trPr>
      <w:tc>
        <w:tcPr>
          <w:tcW w:w="9114" w:type="dxa"/>
          <w:tcBorders>
            <w:top w:val="single" w:color="000000" w:themeColor="text1" w:sz="12" w:space="0"/>
          </w:tcBorders>
        </w:tcPr>
        <w:p w14:paraId="42012311">
          <w:pPr>
            <w:pStyle w:val="5"/>
            <w:ind w:left="-115"/>
            <w:jc w:val="center"/>
            <w:rPr>
              <w:rFonts w:ascii="Times New Roman" w:hAnsi="Times New Roman" w:eastAsia="Times New Roman" w:cs="Times New Roman"/>
              <w:sz w:val="36"/>
              <w:szCs w:val="36"/>
            </w:rPr>
          </w:pPr>
          <w:r>
            <w:br w:type="textWrapping"/>
          </w:r>
          <w:r>
            <w:rPr>
              <w:rFonts w:ascii="Times New Roman" w:hAnsi="Times New Roman" w:eastAsia="Times New Roman" w:cs="Times New Roman"/>
              <w:sz w:val="36"/>
              <w:szCs w:val="36"/>
            </w:rPr>
            <w:t>WROCŁAW 2025</w:t>
          </w:r>
        </w:p>
      </w:tc>
    </w:tr>
  </w:tbl>
  <w:p w14:paraId="6205A183">
    <w:pPr>
      <w:pStyle w:val="4"/>
    </w:pPr>
  </w:p>
</w:ftr>
</file>

<file path=word/footer4.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81DB72">
    <w:pPr>
      <w:pStyle w:val="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3005"/>
      <w:gridCol w:w="3005"/>
      <w:gridCol w:w="3005"/>
    </w:tblGrid>
    <w:tr w14:paraId="310B6BCB">
      <w:tblPrEx>
        <w:tblCellMar>
          <w:top w:w="0" w:type="dxa"/>
          <w:left w:w="108" w:type="dxa"/>
          <w:bottom w:w="0" w:type="dxa"/>
          <w:right w:w="108" w:type="dxa"/>
        </w:tblCellMar>
      </w:tblPrEx>
      <w:trPr>
        <w:trHeight w:val="300" w:hRule="atLeast"/>
      </w:trPr>
      <w:tc>
        <w:tcPr>
          <w:tcW w:w="3005" w:type="dxa"/>
        </w:tcPr>
        <w:p w14:paraId="008ABC5A">
          <w:pPr>
            <w:pStyle w:val="5"/>
            <w:ind w:left="-115"/>
          </w:pPr>
        </w:p>
      </w:tc>
      <w:tc>
        <w:tcPr>
          <w:tcW w:w="3005" w:type="dxa"/>
        </w:tcPr>
        <w:p w14:paraId="5F967E7B">
          <w:pPr>
            <w:pStyle w:val="5"/>
            <w:jc w:val="center"/>
          </w:pPr>
        </w:p>
      </w:tc>
      <w:tc>
        <w:tcPr>
          <w:tcW w:w="3005" w:type="dxa"/>
        </w:tcPr>
        <w:p w14:paraId="09D66C0B">
          <w:pPr>
            <w:pStyle w:val="5"/>
            <w:ind w:right="-115"/>
            <w:jc w:val="right"/>
          </w:pPr>
        </w:p>
      </w:tc>
    </w:tr>
  </w:tbl>
  <w:p w14:paraId="105750B5">
    <w:pPr>
      <w:pStyle w:val="5"/>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
      <w:tblW w:w="0" w:type="auto"/>
      <w:tblInd w:w="0" w:type="dxa"/>
      <w:tblLayout w:type="autofit"/>
      <w:tblCellMar>
        <w:top w:w="0" w:type="dxa"/>
        <w:left w:w="108" w:type="dxa"/>
        <w:bottom w:w="0" w:type="dxa"/>
        <w:right w:w="108" w:type="dxa"/>
      </w:tblCellMar>
    </w:tblPr>
    <w:tblGrid>
      <w:gridCol w:w="9124"/>
    </w:tblGrid>
    <w:tr w14:paraId="3329BE02">
      <w:tblPrEx>
        <w:tblCellMar>
          <w:top w:w="0" w:type="dxa"/>
          <w:left w:w="108" w:type="dxa"/>
          <w:bottom w:w="0" w:type="dxa"/>
          <w:right w:w="108" w:type="dxa"/>
        </w:tblCellMar>
      </w:tblPrEx>
      <w:trPr>
        <w:trHeight w:val="300" w:hRule="atLeast"/>
      </w:trPr>
      <w:tc>
        <w:tcPr>
          <w:tcW w:w="9124" w:type="dxa"/>
          <w:tcBorders>
            <w:bottom w:val="single" w:color="000000" w:themeColor="text1" w:sz="12" w:space="0"/>
          </w:tcBorders>
        </w:tcPr>
        <w:p w14:paraId="72C8ACEA">
          <w:pPr>
            <w:pStyle w:val="5"/>
            <w:ind w:left="-115"/>
            <w:jc w:val="center"/>
            <w:rPr>
              <w:lang w:val="en-GB"/>
            </w:rPr>
          </w:pPr>
          <w:r>
            <w:rPr>
              <w:rFonts w:ascii="Times New Roman" w:hAnsi="Times New Roman" w:eastAsia="Times New Roman" w:cs="Times New Roman"/>
              <w:b/>
              <w:bCs/>
              <w:sz w:val="40"/>
              <w:szCs w:val="40"/>
              <w:lang w:val="en-GB"/>
            </w:rPr>
            <w:t>Wrocław University of Science and Technology</w:t>
          </w:r>
        </w:p>
        <w:p w14:paraId="12EB6FC2">
          <w:pPr>
            <w:pStyle w:val="5"/>
            <w:ind w:left="-115"/>
            <w:jc w:val="center"/>
            <w:rPr>
              <w:rFonts w:ascii="Times New Roman" w:hAnsi="Times New Roman" w:eastAsia="Times New Roman" w:cs="Times New Roman"/>
              <w:sz w:val="28"/>
              <w:szCs w:val="28"/>
              <w:lang w:val="en-GB"/>
            </w:rPr>
          </w:pPr>
          <w:r>
            <w:rPr>
              <w:rFonts w:ascii="Times New Roman" w:hAnsi="Times New Roman" w:eastAsia="Times New Roman" w:cs="Times New Roman"/>
              <w:sz w:val="36"/>
              <w:szCs w:val="36"/>
              <w:lang w:val="en-GB"/>
            </w:rPr>
            <w:t>Faculty of Electronics, Photonics and Microsystems</w:t>
          </w:r>
          <w:r>
            <w:rPr>
              <w:lang w:val="en-GB"/>
            </w:rPr>
            <w:br w:type="textWrapping"/>
          </w:r>
        </w:p>
      </w:tc>
    </w:tr>
  </w:tbl>
  <w:p w14:paraId="18963C7D">
    <w:pPr>
      <w:pStyle w:val="5"/>
      <w:rPr>
        <w:lang w:val="en-GB"/>
      </w:rP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ocumentProtection w:enforcement="0"/>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569D9B3"/>
    <w:rsid w:val="00075F6C"/>
    <w:rsid w:val="00435E76"/>
    <w:rsid w:val="00F201A3"/>
    <w:rsid w:val="018A6FEB"/>
    <w:rsid w:val="01DC5DC3"/>
    <w:rsid w:val="028575F3"/>
    <w:rsid w:val="0569D9B3"/>
    <w:rsid w:val="05A349E6"/>
    <w:rsid w:val="0A835671"/>
    <w:rsid w:val="0DF89892"/>
    <w:rsid w:val="0EEC98AA"/>
    <w:rsid w:val="0F4D5652"/>
    <w:rsid w:val="12BCCC6B"/>
    <w:rsid w:val="1399E2C6"/>
    <w:rsid w:val="18D01BC3"/>
    <w:rsid w:val="1A61CC50"/>
    <w:rsid w:val="1DF1AA64"/>
    <w:rsid w:val="1E1EFB09"/>
    <w:rsid w:val="20A45EB0"/>
    <w:rsid w:val="22EEFD7C"/>
    <w:rsid w:val="2486B915"/>
    <w:rsid w:val="250F2826"/>
    <w:rsid w:val="27BF8ABD"/>
    <w:rsid w:val="289EA417"/>
    <w:rsid w:val="2B1075E3"/>
    <w:rsid w:val="2C29DD60"/>
    <w:rsid w:val="2EC65E9D"/>
    <w:rsid w:val="2ECB9038"/>
    <w:rsid w:val="31571C40"/>
    <w:rsid w:val="320C9788"/>
    <w:rsid w:val="329C7A58"/>
    <w:rsid w:val="329CAFA7"/>
    <w:rsid w:val="32FD5C19"/>
    <w:rsid w:val="345A88CA"/>
    <w:rsid w:val="346F12A4"/>
    <w:rsid w:val="361FF440"/>
    <w:rsid w:val="3665FDDA"/>
    <w:rsid w:val="36E260DA"/>
    <w:rsid w:val="3749D9BE"/>
    <w:rsid w:val="3AE27288"/>
    <w:rsid w:val="406103BC"/>
    <w:rsid w:val="424D4F61"/>
    <w:rsid w:val="470D559E"/>
    <w:rsid w:val="47420A22"/>
    <w:rsid w:val="49130441"/>
    <w:rsid w:val="4B894323"/>
    <w:rsid w:val="4DDF9E96"/>
    <w:rsid w:val="5505EBC2"/>
    <w:rsid w:val="598E4F7F"/>
    <w:rsid w:val="5B6926C9"/>
    <w:rsid w:val="5C71AAA3"/>
    <w:rsid w:val="632CBB6E"/>
    <w:rsid w:val="6572324E"/>
    <w:rsid w:val="670E9C93"/>
    <w:rsid w:val="68F8DC06"/>
    <w:rsid w:val="6A7B3857"/>
    <w:rsid w:val="6BC3525C"/>
    <w:rsid w:val="6C7D8B00"/>
    <w:rsid w:val="6E6C42C3"/>
    <w:rsid w:val="6F2B6B9A"/>
    <w:rsid w:val="768A63AA"/>
    <w:rsid w:val="76F83292"/>
    <w:rsid w:val="7F020218"/>
  </w:rsids>
  <w:themeFontLang w:eastAsia="zh-CN" w:val="pl-PL"/>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heme="minorHAnsi" w:cstheme="minorBidi" w:eastAsiaTheme="minorHAnsi"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uiPriority="99"/>
    <w:lsdException w:name="annotation text" w:uiPriority="99"/>
    <w:lsdException w:name="header" w:semiHidden="0" w:uiPriority="99"/>
    <w:lsdException w:name="footer" w:semiHidden="0" w:uiPriority="99"/>
    <w:lsdException w:name="index heading" w:uiPriority="99"/>
    <w:lsdException w:name="caption" w:qFormat="1" w:uiPriority="35"/>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lsdException w:name="FollowedHyperlink"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uiPriority="99"/>
    <w:lsdException w:name="annotation subject"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semiHidden="0" w:uiPriority="99" w:unhideWhenUsed="0"/>
    <w:lsdException w:name="Table Web 1" w:uiPriority="99"/>
    <w:lsdException w:name="Table Web 2" w:uiPriority="99"/>
    <w:lsdException w:name="Table Web 3" w:semiHidden="0" w:uiPriority="99" w:unhideWhenUsed="0"/>
    <w:lsdException w:name="Balloon Text" w:uiPriority="99"/>
    <w:lsdException w:name="Table Grid" w:qFormat="1" w:semiHidden="0" w:uiPriority="59" w:unhideWhenUsed="0"/>
    <w:lsdException w:name="Table Theme" w:uiPriority="99"/>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spacing w:after="80" w:line="312" w:lineRule="auto"/>
      <w:ind w:firstLine="283"/>
      <w:jc w:val="both"/>
    </w:pPr>
    <w:rPr>
      <w:rFonts w:asciiTheme="minorHAnsi" w:cstheme="minorBidi" w:eastAsiaTheme="minorHAnsi" w:hAnsiTheme="minorHAnsi" w:ascii="Times New Roman" w:hAnsi="Times New Roman" w:eastAsia="Times New Roman" w:cs="Times New Roman"/>
      <w:color w:val="000000"/>
      <w:sz w:val="24"/>
      <w:szCs w:val="24"/>
      <w:lang w:bidi="ar-SA" w:eastAsia="en-US" w:val="pl-PL"/>
    </w:rPr>
  </w:style>
  <w:style w:default="1" w:styleId="2" w:type="character">
    <w:name w:val="Default Paragraph Font"/>
    <w:semiHidden/>
    <w:unhideWhenUsed/>
    <w:qFormat/>
    <w:uiPriority w:val="1"/>
  </w:style>
  <w:style w:default="1" w:styleId="3" w:type="table">
    <w:name w:val="Normal Table"/>
    <w:semiHidden/>
    <w:unhideWhenUsed/>
    <w:uiPriority w:val="99"/>
    <w:tblPr>
      <w:tblCellMar>
        <w:top w:type="dxa" w:w="0"/>
        <w:left w:type="dxa" w:w="108"/>
        <w:bottom w:type="dxa" w:w="0"/>
        <w:right w:type="dxa" w:w="108"/>
      </w:tblCellMar>
    </w:tblPr>
  </w:style>
  <w:style w:styleId="4" w:type="paragraph">
    <w:name w:val="footer"/>
    <w:basedOn w:val="1"/>
    <w:unhideWhenUsed/>
    <w:uiPriority w:val="99"/>
    <w:pPr>
      <w:tabs>
        <w:tab w:pos="4680" w:val="center"/>
        <w:tab w:pos="9360" w:val="right"/>
      </w:tabs>
      <w:spacing w:after="0" w:line="240" w:lineRule="auto"/>
    </w:pPr>
  </w:style>
  <w:style w:styleId="5" w:type="paragraph">
    <w:name w:val="header"/>
    <w:basedOn w:val="1"/>
    <w:unhideWhenUsed/>
    <w:uiPriority w:val="99"/>
    <w:pPr>
      <w:tabs>
        <w:tab w:pos="4680" w:val="center"/>
        <w:tab w:pos="9360" w:val="right"/>
      </w:tabs>
      <w:spacing w:after="0" w:line="240" w:lineRule="auto"/>
    </w:pPr>
  </w:style>
  <w:style w:styleId="6" w:type="table">
    <w:name w:val="Table Grid"/>
    <w:basedOn w:val="3"/>
    <w:qFormat/>
    <w:uiPriority w:val="59"/>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10" Type="http://schemas.openxmlformats.org/officeDocument/2006/relationships/footer" Target="footer3.xml"/><Relationship Id="rId103" Type="http://schemas.openxmlformats.org/officeDocument/2006/relationships/image" Target="media/rId103.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38" Type="http://schemas.openxmlformats.org/officeDocument/2006/relationships/image" Target="media/rId38.png"/><Relationship Id="rId42" Type="http://schemas.openxmlformats.org/officeDocument/2006/relationships/image" Target="media/rId42.png"/><Relationship Id="rId55" Type="http://schemas.openxmlformats.org/officeDocument/2006/relationships/image" Target="media/rId55.png"/><Relationship Id="rId15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Pages>
  <Words>42</Words>
  <Characters>254</Characters>
  <Lines>2</Lines>
  <Paragraphs>1</Paragraphs>
  <TotalTime>0</TotalTime>
  <ScaleCrop>false</ScaleCrop>
  <LinksUpToDate>false</LinksUpToDate>
  <CharactersWithSpaces>295</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2026-05-08T15:54:00Z</dcterms:created>
  <dcterms:modified xsi:type="dcterms:W3CDTF">2026-05-08T15:54:00Z</dcterms:modified>
</cp:coreProperties>
</file>

<file path=docProps/custom.xml><?xml version="1.0" encoding="utf-8"?>
<Properties xmlns="http://schemas.openxmlformats.org/officeDocument/2006/custom-properties" xmlns:vt="http://schemas.openxmlformats.org/officeDocument/2006/docPropsVTypes"/>
</file>