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45.png" ContentType="image/png"/>
  <Override PartName="/word/media/rId93.png" ContentType="image/png"/>
  <Override PartName="/word/media/rId130.png" ContentType="image/png"/>
  <Override PartName="/word/media/rId134.png" ContentType="image/png"/>
  <Override PartName="/word/media/rId138.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AI-Based System for Personalized Career Recommendation</w:t>
      </w:r>
    </w:p>
    <w:p>
      <w:pPr>
        <w:pStyle w:val="Author"/>
      </w:pPr>
      <w:r>
        <w:t xml:space="preserve">Egemen Goncu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Wrocław University of Science and Technology</w:t>
      </w:r>
    </w:p>
    <w:p>
      <w:pPr>
        <w:pStyle w:val="BodyText"/>
      </w:pPr>
      <w:r>
        <w:rPr>
          <w:b/>
          <w:bCs/>
        </w:rPr>
        <w:t xml:space="preserve">Faculty of Electronics, Photonics and Microsystems</w:t>
      </w:r>
    </w:p>
    <w:p>
      <w:r>
        <w:pict>
          <v:rect style="width:0;height:1.5pt" o:hralign="center" o:hrstd="t" o:hr="t"/>
        </w:pict>
      </w:r>
    </w:p>
    <w:p>
      <w:pPr>
        <w:pStyle w:val="FirstParagraph"/>
      </w:pPr>
      <w:r>
        <w:rPr>
          <w:b/>
          <w:bCs/>
        </w:rPr>
        <w:t xml:space="preserve">Field of study:</w:t>
      </w:r>
      <w:r>
        <w:t xml:space="preserve"> </w:t>
      </w:r>
      <w:r>
        <w:t xml:space="preserve">Electronic and Computer Engineering</w:t>
      </w:r>
    </w:p>
    <w:p>
      <w:pPr>
        <w:pStyle w:val="BodyText"/>
      </w:pPr>
      <w:r>
        <w:rPr>
          <w:b/>
          <w:bCs/>
        </w:rPr>
        <w:t xml:space="preserve">Speciality:</w:t>
      </w:r>
      <w:r>
        <w:t xml:space="preserve"> </w:t>
      </w:r>
      <w:r>
        <w:t xml:space="preserve">—</w:t>
      </w:r>
    </w:p>
    <w:bookmarkStart w:id="10" w:name="bachelor-thesis"/>
    <w:p>
      <w:pPr>
        <w:pStyle w:val="Heading1"/>
      </w:pPr>
      <w:r>
        <w:t xml:space="preserve">Bachelor Thesis</w:t>
      </w:r>
    </w:p>
    <w:bookmarkStart w:id="9" w:name="Xd478063726b65b0452c9321f694361eb6c13481"/>
    <w:p>
      <w:pPr>
        <w:pStyle w:val="Heading2"/>
      </w:pPr>
      <w:r>
        <w:t xml:space="preserve">An AI-Based System for Personalized Career Recommendation</w:t>
      </w:r>
    </w:p>
    <w:p>
      <w:pPr>
        <w:pStyle w:val="FirstParagraph"/>
      </w:pPr>
      <w:r>
        <w:rPr>
          <w:i/>
          <w:iCs/>
        </w:rPr>
        <w:t xml:space="preserve">System oparty na sztucznej inteligencji do spersonalizowanego doradztwa zawodowego</w:t>
      </w:r>
    </w:p>
    <w:p>
      <w:r>
        <w:pict>
          <v:rect style="width:0;height:1.5pt" o:hralign="center" o:hrstd="t" o:hr="t"/>
        </w:pict>
      </w:r>
    </w:p>
    <w:p>
      <w:pPr>
        <w:pStyle w:val="FirstParagraph"/>
      </w:pPr>
      <w:r>
        <w:rPr>
          <w:b/>
          <w:bCs/>
        </w:rPr>
        <w:t xml:space="preserve">AUTHOR:</w:t>
      </w:r>
      <w:r>
        <w:t xml:space="preserve"> </w:t>
      </w:r>
      <w:r>
        <w:t xml:space="preserve">Egemen Goncu</w:t>
      </w:r>
    </w:p>
    <w:p>
      <w:pPr>
        <w:pStyle w:val="BodyText"/>
      </w:pPr>
      <w:r>
        <w:rPr>
          <w:b/>
          <w:bCs/>
        </w:rPr>
        <w:t xml:space="preserve">SUPERVISOR:</w:t>
      </w:r>
      <w:r>
        <w:t xml:space="preserve"> </w:t>
      </w:r>
      <w:r>
        <w:t xml:space="preserve">dr inż. Michał Błędowski</w:t>
      </w:r>
    </w:p>
    <w:p>
      <w:r>
        <w:pict>
          <v:rect style="width:0;height:1.5pt" o:hralign="center" o:hrstd="t" o:hr="t"/>
        </w:pict>
      </w:r>
    </w:p>
    <w:p>
      <w:pPr>
        <w:pStyle w:val="FirstParagraph"/>
      </w:pPr>
      <w:r>
        <w:rPr>
          <w:b/>
          <w:bCs/>
        </w:rPr>
        <w:t xml:space="preserve">WROCŁAW 2026</w:t>
      </w:r>
    </w:p>
    <w:bookmarkEnd w:id="9"/>
    <w:bookmarkEnd w:id="10"/>
    <w:bookmarkStart w:id="13" w:name="abstract-streszczenie-abstract"/>
    <w:p>
      <w:pPr>
        <w:pStyle w:val="Heading1"/>
      </w:pPr>
      <w:r>
        <w:t xml:space="preserve">Abstract — Streszczenie / Abstract</w:t>
      </w:r>
    </w:p>
    <w:p>
      <w:r>
        <w:pict>
          <v:rect style="width:0;height:1.5pt" o:hralign="center" o:hrstd="t" o:hr="t"/>
        </w:pict>
      </w:r>
    </w:p>
    <w:bookmarkStart w:id="11" w:name="streszczenie"/>
    <w:p>
      <w:pPr>
        <w:pStyle w:val="Heading2"/>
      </w:pPr>
      <w:r>
        <w:rPr>
          <w:lang w:val="pl"/>
        </w:rPr>
        <w:t xml:space="preserve">Streszczenie</w:t>
      </w:r>
    </w:p>
    <w:p>
      <w:pPr>
        <w:pStyle w:val="FirstParagraph"/>
      </w:pPr>
      <w:r>
        <w:rPr>
          <w:lang w:va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(analizę CV, dopasowanie do oferty pracy, sugestię ścieżki kariery, generowanie listu motywacyjnego, przygotowanie do rozmowy kwalifikacyjnej oraz planowanie portfolio),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lang w:val="pl"/>
        </w:rPr>
        <w:t xml:space="preserve"> </w:t>
      </w:r>
      <w:r>
        <w:rPr>
          <w:i/>
          <w:iCs/>
          <w:lang w:val="pl"/>
        </w:rPr>
        <w:t xml:space="preserve">tryb mieszany</w:t>
      </w:r>
      <w:r>
        <w:rPr>
          <w:lang w:val="pl"/>
        </w:rPr>
        <w:t xml:space="preserve"> </w:t>
      </w:r>
      <w:r>
        <w:rPr>
          <w:lang w:val="pl"/>
        </w:rPr>
        <w:t xml:space="preserve">łączący deterministyczną heurystykę ze strukturalnym wyjściem modelu językowego (40% / 60%), oraz</w:t>
      </w:r>
      <w:r>
        <w:rPr>
          <w:lang w:val="pl"/>
        </w:rPr>
        <w:t xml:space="preserve"> </w:t>
      </w:r>
      <w:r>
        <w:rPr>
          <w:i/>
          <w:iCs/>
          <w:lang w:val="pl"/>
        </w:rPr>
        <w:t xml:space="preserve">tryb w pełni heurystyczny</w:t>
      </w:r>
      <w:r>
        <w:rPr>
          <w:lang w:val="pl"/>
        </w:rPr>
        <w:t xml:space="preserve"> </w:t>
      </w:r>
      <w:r>
        <w:rPr>
          <w:lang w:val="pl"/>
        </w:rPr>
        <w:t xml:space="preserve">oparty na klasycznych metodach wyszukiwania informacji: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lang w:val="pl"/>
        </w:rPr>
        <w:t xml:space="preserve"> </w:t>
      </w:r>
      <w:r>
        <w:rPr>
          <w:i/>
          <w:iCs/>
          <w:lang w:val="pl"/>
        </w:rPr>
        <w:t xml:space="preserve">syntetyczne CV oraz syntetyczne opisy stanowisk</w:t>
      </w:r>
      <w:r>
        <w:rPr>
          <w:lang w:val="pl"/>
        </w:rPr>
        <w:t xml:space="preserve"> </w:t>
      </w:r>
      <w:r>
        <w:rPr>
          <w:lang w:val="pl"/>
        </w:rPr>
        <w:t xml:space="preserve">skonstruowane z rozłącznych słownikowo pul fraz, w których strona CV i strona opisu stanowiska nie współdzielą słownictwa treściowego poza kanonicznymi nazwami umiejętności; ograniczenia konstrukcji zbioru oraz wynikające z nich zagrożenia trafności są jawnie udokumentowane w rozdziale prezentującym wyniki. W obrębie tego syntetycznego zbioru ewaluacyjnego tryb w pełni heurystyczny śledzi tryb mieszany przy Pearsonowskim</w:t>
      </w:r>
      <w:r>
        <w:rPr>
          <w:lang w:val="pl"/>
        </w:rPr>
        <w:t xml:space="preserve"> </w:t>
      </w:r>
      <w:r>
        <w:rPr>
          <w:i/>
          <w:iCs/>
          <w:lang w:val="pl"/>
        </w:rPr>
        <w:t xml:space="preserve">r</w:t>
      </w:r>
      <w:r>
        <w:rPr>
          <w:lang w:val="pl"/>
        </w:rPr>
        <w:t xml:space="preserve"> </w:t>
      </w:r>
      <w:r>
        <w:rPr>
          <w:lang w:val="pl"/>
        </w:rPr>
        <w:t xml:space="preserve">= 0,836 [95% przedział ufności 0,762, 0,896, bootstrap klastrowy względem identyfikatora CV] oraz Spearmanowskim ρ = 0,847 na wyniku ogólnym, działa około dwa do trzech rzędów wielkości szybciej (mediana 25,5 ms wobec 18,2 s) oraz nie ponosi krańcowego kosztu po stronie modelu językowego. Korelacja między samym modelem językowym a trybem heurystycznym, odzyskana post-hoc z tożsamości formuły mieszanej w celu odseparowania składowej strukturalnej, wynosi</w:t>
      </w:r>
      <w:r>
        <w:rPr>
          <w:lang w:val="pl"/>
        </w:rPr>
        <w:t xml:space="preserve"> </w:t>
      </w:r>
      <w:r>
        <w:rPr>
          <w:i/>
          <w:iCs/>
          <w:lang w:val="pl"/>
        </w:rPr>
        <w:t xml:space="preserve">r</w:t>
      </w:r>
      <w:r>
        <w:rPr>
          <w:lang w:val="pl"/>
        </w:rPr>
        <w:t xml:space="preserve"> </w:t>
      </w:r>
      <w:r>
        <w:rPr>
          <w:lang w:val="pl"/>
        </w:rPr>
        <w:t xml:space="preserve">= 0,627 [95% CI 0,476, 0,765]; jest to zgodność krzyżowa po wyłączeniu 0,40-składnika heurystycznego, który tryb mieszany zawiera z definicji. Tryb mieszany zachowuje nieredukowalną przewagę w zakresie dowodów jakości prozy (podwynik</w:t>
      </w:r>
      <w:r>
        <w:rPr>
          <w:lang w:val="pl"/>
        </w:rPr>
        <w:t xml:space="preserve"> </w:t>
      </w:r>
      <w:r>
        <w:rPr>
          <w:i/>
          <w:iCs/>
          <w:lang w:val="pl"/>
        </w:rPr>
        <w:t xml:space="preserve">clarity</w:t>
      </w:r>
      <w:r>
        <w:rPr>
          <w:lang w:val="pl"/>
        </w:rPr>
        <w:t xml:space="preserve"> </w:t>
      </w:r>
      <w:r>
        <w:rPr>
          <w:i/>
          <w:iCs/>
          <w:lang w:val="pl"/>
        </w:rPr>
        <w:t xml:space="preserve">r</w:t>
      </w:r>
      <w:r>
        <w:rPr>
          <w:lang w:val="pl"/>
        </w:rPr>
        <w:t xml:space="preserve"> </w:t>
      </w:r>
      <w:r>
        <w:rPr>
          <w:lang w:val="pl"/>
        </w:rPr>
        <w:t xml:space="preserve">= 0,395),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pPr>
      <w:r>
        <w:rPr>
          <w:b/>
          <w:bCs/>
          <w:lang w:val="pl"/>
        </w:rPr>
        <w:t xml:space="preserve">Słowa kluczowe:</w:t>
      </w:r>
      <w:r>
        <w:rPr>
          <w:lang w:val="pl"/>
        </w:rPr>
        <w:t xml:space="preserve"> </w:t>
      </w:r>
      <w:r>
        <w:rPr>
          <w:lang w:val="pl"/>
        </w:rPr>
        <w:t xml:space="preserve">doradztwo zawodowe, analiza CV, duże modele językowe, wyszukiwanie informacji, taksonomia ESCO, ocena hybrydowa, FastAPI, React.</w:t>
      </w:r>
    </w:p>
    <w:bookmarkEnd w:id="11"/>
    <w:bookmarkStart w:id="12" w:name="abstract-english"/>
    <w:p>
      <w:pPr>
        <w:pStyle w:val="Heading2"/>
      </w:pPr>
      <w:r>
        <w:t xml:space="preserve">Abstract (English)</w:t>
      </w:r>
    </w:p>
    <w:p>
      <w:pPr>
        <w:pStyle w:val="FirstParagraph"/>
      </w:pPr>
      <w:r>
        <w:t xml:space="preserve">This thesis presents the design, implementation, and evaluation of an AI-based system for personalized career recommendation. The system, deployed as a web application on a managed cloud platform, integrates six complementary tools (resume analysis, job-description matching, career-path suggestion, cover-letter generation, interview preparation, and portfolio planning)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t xml:space="preserve"> </w:t>
      </w:r>
      <w:r>
        <w:rPr>
          <w:i/>
          <w:iCs/>
        </w:rPr>
        <w:t xml:space="preserve">blended mode</w:t>
      </w:r>
      <w:r>
        <w:t xml:space="preserve"> </w:t>
      </w:r>
      <w:r>
        <w:t xml:space="preserve">that combines a deterministic heuristic with the language model’s structured output (40% / 60% weighting), and a</w:t>
      </w:r>
      <w:r>
        <w:t xml:space="preserve"> </w:t>
      </w:r>
      <w:r>
        <w:rPr>
          <w:i/>
          <w:iCs/>
        </w:rPr>
        <w:t xml:space="preserve">fully heuristic mode</w:t>
      </w:r>
      <w:r>
        <w:t xml:space="preserve"> </w:t>
      </w:r>
      <w:r>
        <w:t xml:space="preserve">grounded in classical information-retrieval methods: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t xml:space="preserve"> </w:t>
      </w:r>
      <w:r>
        <w:rPr>
          <w:i/>
          <w:iCs/>
        </w:rPr>
        <w:t xml:space="preserve">template-synthesised resumes and template-synthesised job descriptions</w:t>
      </w:r>
      <w:r>
        <w:t xml:space="preserve"> </w:t>
      </w:r>
      <w:r>
        <w:t xml:space="preserve">under a</w:t>
      </w:r>
      <w:r>
        <w:t xml:space="preserve"> </w:t>
      </w:r>
      <w:r>
        <w:rPr>
          <w:i/>
          <w:iCs/>
        </w:rPr>
        <w:t xml:space="preserve">disjoint-vocabulary</w:t>
      </w:r>
      <w:r>
        <w:t xml:space="preserve"> </w:t>
      </w:r>
      <w:r>
        <w:t xml:space="preserve">construction in which resume-side and JD-side phrase pools share no content-word vocabulary beyond the canonical skill terms; the construction limits and the corresponding threats to validity are documented explicitly in the chapter that reports the result. Within this synthetic evaluation set, the heuristic mode tracks the blended mode at Pearson</w:t>
      </w:r>
      <w:r>
        <w:t xml:space="preserve"> </w:t>
      </w:r>
      <w:r>
        <w:rPr>
          <w:i/>
          <w:iCs/>
        </w:rPr>
        <w:t xml:space="preserve">r</w:t>
      </w:r>
      <w:r>
        <w:t xml:space="preserve"> </w:t>
      </w:r>
      <w:r>
        <w:t xml:space="preserve">= 0.836 [95% confidence interval 0.762, 0.896 under cluster bootstrap on resume identity] and Spearman ρ = 0.847 on the overall score, runs roughly two-to-three orders of magnitude faster (median 25.5 ms vs 18.2 s), and incurs zero LLM-side marginal cost. The post-hoc LLM-only-versus-heuristic correlation, recovered from the locked-prepass identity to isolate the structural blended-formula component, is</w:t>
      </w:r>
      <w:r>
        <w:t xml:space="preserve"> </w:t>
      </w:r>
      <w:r>
        <w:rPr>
          <w:i/>
          <w:iCs/>
        </w:rPr>
        <w:t xml:space="preserve">r</w:t>
      </w:r>
      <w:r>
        <w:t xml:space="preserve"> </w:t>
      </w:r>
      <w:r>
        <w:t xml:space="preserve">= 0.627 [95% CI 0.476, 0.765]; this is the cross-mode agreement after controlling for the 0.40 heuristic share that the blended mode carries by construction. The blended mode retains an irreducible advantage on prose-quality evidence (clarity sub-score</w:t>
      </w:r>
      <w:r>
        <w:t xml:space="preserve"> </w:t>
      </w:r>
      <w:r>
        <w:rPr>
          <w:i/>
          <w:iCs/>
        </w:rPr>
        <w:t xml:space="preserve">r</w:t>
      </w:r>
      <w:r>
        <w:t xml:space="preserve"> </w:t>
      </w:r>
      <w:r>
        <w:t xml:space="preserve">= 0.395)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pPr>
      <w:r>
        <w:rPr>
          <w:b/>
          <w:bCs/>
        </w:rPr>
        <w:t xml:space="preserve">Keywords:</w:t>
      </w:r>
      <w:r>
        <w:t xml:space="preserve"> </w:t>
      </w:r>
      <w:r>
        <w:t xml:space="preserve">career recommendation, resume analysis, large language models, information retrieval, ESCO taxonomy, hybrid scoring, FastAPI, React.</w:t>
      </w:r>
    </w:p>
    <w:bookmarkEnd w:id="12"/>
    <w:bookmarkEnd w:id="13"/>
    <w:bookmarkStart w:id="14" w:name="acknowledgements"/>
    <w:p>
      <w:pPr>
        <w:pStyle w:val="Heading1"/>
      </w:pPr>
      <w:r>
        <w:t xml:space="preserve">Acknowledgements</w:t>
      </w:r>
    </w:p>
    <w:p>
      <w:pPr>
        <w:pStyle w:val="FirstParagraph"/>
      </w:pPr>
      <w:r>
        <w:t xml:space="preserve">I would like to thank my supervisor,</w:t>
      </w:r>
      <w:r>
        <w:t xml:space="preserve"> </w:t>
      </w:r>
      <w:r>
        <w:rPr>
          <w:b/>
          <w:bCs/>
        </w:rPr>
        <w:t xml:space="preserve">dr inż. Michał Błędowski</w:t>
      </w:r>
      <w: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pPr>
      <w:r>
        <w:t xml:space="preserve">I am grateful to the</w:t>
      </w:r>
      <w:r>
        <w:t xml:space="preserve"> </w:t>
      </w:r>
      <w:r>
        <w:rPr>
          <w:b/>
          <w:bCs/>
        </w:rPr>
        <w:t xml:space="preserve">Faculty of Electronics, Photonics and Microsystems</w:t>
      </w:r>
      <w:r>
        <w:t xml:space="preserve"> </w:t>
      </w:r>
      <w:r>
        <w:t xml:space="preserve">at Wrocław University of Science and Technology for providing the academic environment in which this thesis was prepared, and to the staff and lecturers whose courses across the</w:t>
      </w:r>
      <w:r>
        <w:t xml:space="preserve"> </w:t>
      </w:r>
      <w:r>
        <w:rPr>
          <w:i/>
          <w:iCs/>
        </w:rPr>
        <w:t xml:space="preserve">Electronic and Computer Engineering</w:t>
      </w:r>
      <w:r>
        <w:t xml:space="preserve"> </w:t>
      </w:r>
      <w:r>
        <w:t xml:space="preserve">curriculum gave me the technical foundation on which this work builds.</w:t>
      </w:r>
    </w:p>
    <w:p>
      <w:pPr>
        <w:pStyle w:val="BodyText"/>
      </w:pPr>
      <w:r>
        <w:t xml:space="preserve">My thanks to the open-source maintainers of the FastAPI, TanStack, React, and SQLAlchemy projects, whose libraries made it possible for a single developer to ship a system at this scope on a thesis-bound schedule.</w:t>
      </w:r>
    </w:p>
    <w:p>
      <w:pPr>
        <w:pStyle w:val="BodyText"/>
      </w:pPr>
      <w:r>
        <w:t xml:space="preserve">Egemen Goncu</w:t>
      </w:r>
      <w:r>
        <w:t xml:space="preserve"> </w:t>
      </w:r>
      <w:r>
        <w:t xml:space="preserve">Wrocław, May 2026</w:t>
      </w:r>
    </w:p>
    <w:bookmarkEnd w:id="14"/>
    <w:bookmarkStart w:id="16" w:name="list-of-abbreviations-and-symbols"/>
    <w:p>
      <w:pPr>
        <w:pStyle w:val="Heading1"/>
      </w:pPr>
      <w:r>
        <w:t xml:space="preserve">List of abbreviations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APA</w:t>
            </w:r>
          </w:p>
        </w:tc>
        <w:tc>
          <w:tcPr/>
          <w:p>
            <w:pPr>
              <w:pStyle w:val="Compact"/>
            </w:pPr>
            <w:r>
              <w:t xml:space="preserve">American Psychological Association (citation style)</w:t>
            </w:r>
          </w:p>
        </w:tc>
      </w:tr>
      <w:tr>
        <w:tc>
          <w:tcPr/>
          <w:p>
            <w:pPr>
              <w:pStyle w:val="Compact"/>
            </w:pPr>
            <w:r>
              <w:t xml:space="preserve">APD</w:t>
            </w:r>
          </w:p>
        </w:tc>
        <w:tc>
          <w:tcPr/>
          <w:p>
            <w:pPr>
              <w:pStyle w:val="Compact"/>
            </w:pPr>
            <w:r>
              <w:t xml:space="preserve">Archive of Diploma Theses (USOS-APD)</w:t>
            </w:r>
          </w:p>
        </w:tc>
      </w:tr>
      <w:tr>
        <w:tc>
          <w:tcPr/>
          <w:p>
            <w:pPr>
              <w:pStyle w:val="Compact"/>
            </w:pPr>
            <w:r>
              <w:t xml:space="preserve">ATS</w:t>
            </w:r>
          </w:p>
        </w:tc>
        <w:tc>
          <w:tcPr/>
          <w:p>
            <w:pPr>
              <w:pStyle w:val="Compact"/>
            </w:pPr>
            <w:r>
              <w:t xml:space="preserve">Applicant Tracking System</w:t>
            </w:r>
          </w:p>
        </w:tc>
      </w:tr>
      <w:tr>
        <w:tc>
          <w:tcPr/>
          <w:p>
            <w:pPr>
              <w:pStyle w:val="Compact"/>
            </w:pPr>
            <w:r>
              <w:t xml:space="preserve">BERT</w:t>
            </w:r>
          </w:p>
        </w:tc>
        <w:tc>
          <w:tcPr/>
          <w:p>
            <w:pPr>
              <w:pStyle w:val="Compact"/>
            </w:pPr>
            <w:r>
              <w:t xml:space="preserve">Bidirectional Encoder Representations from Transformers</w:t>
            </w:r>
          </w:p>
        </w:tc>
      </w:tr>
      <w:tr>
        <w:tc>
          <w:tcPr/>
          <w:p>
            <w:pPr>
              <w:pStyle w:val="Compact"/>
            </w:pPr>
            <w:r>
              <w:t xml:space="preserve">BM25</w:t>
            </w:r>
          </w:p>
        </w:tc>
        <w:tc>
          <w:tcPr/>
          <w:p>
            <w:pPr>
              <w:pStyle w:val="Compact"/>
            </w:pPr>
            <w:r>
              <w:t xml:space="preserve">Best Match 25 (probabilistic relevance ranking function)</w:t>
            </w:r>
          </w:p>
        </w:tc>
      </w:tr>
      <w:tr>
        <w:tc>
          <w:tcPr/>
          <w:p>
            <w:pPr>
              <w:pStyle w:val="Compact"/>
            </w:pPr>
            <w:r>
              <w:t xml:space="preserve">BS4</w:t>
            </w:r>
          </w:p>
        </w:tc>
        <w:tc>
          <w:tcPr/>
          <w:p>
            <w:pPr>
              <w:pStyle w:val="Compact"/>
            </w:pPr>
            <w:r>
              <w:t xml:space="preserve">BeautifulSoup 4 (HTML parsing library)</w:t>
            </w:r>
          </w:p>
        </w:tc>
      </w:tr>
      <w:tr>
        <w:tc>
          <w:tcPr/>
          <w:p>
            <w:pPr>
              <w:pStyle w:val="Compact"/>
            </w:pPr>
            <w:r>
              <w:t xml:space="preserve">CC</w:t>
            </w:r>
          </w:p>
        </w:tc>
        <w:tc>
          <w:tcPr/>
          <w:p>
            <w:pPr>
              <w:pStyle w:val="Compact"/>
            </w:pPr>
            <w:r>
              <w:t xml:space="preserve">Creative Commons</w:t>
            </w:r>
          </w:p>
        </w:tc>
      </w:tr>
      <w:tr>
        <w:tc>
          <w:tcPr/>
          <w:p>
            <w:pPr>
              <w:pStyle w:val="Compact"/>
            </w:pPr>
            <w:r>
              <w:t xml:space="preserve">CDN</w:t>
            </w:r>
          </w:p>
        </w:tc>
        <w:tc>
          <w:tcPr/>
          <w:p>
            <w:pPr>
              <w:pStyle w:val="Compact"/>
            </w:pPr>
            <w:r>
              <w:t xml:space="preserve">Content Delivery Network</w:t>
            </w:r>
          </w:p>
        </w:tc>
      </w:tr>
      <w:tr>
        <w:tc>
          <w:tcPr/>
          <w:p>
            <w:pPr>
              <w:pStyle w:val="Compact"/>
            </w:pPr>
            <w:r>
              <w:t xml:space="preserve">CI / CD</w:t>
            </w:r>
          </w:p>
        </w:tc>
        <w:tc>
          <w:tcPr/>
          <w:p>
            <w:pPr>
              <w:pStyle w:val="Compact"/>
            </w:pPr>
            <w:r>
              <w:t xml:space="preserve">Continuous Integration / Continuous Deployment</w:t>
            </w:r>
          </w:p>
        </w:tc>
      </w:tr>
      <w:tr>
        <w:tc>
          <w:tcPr/>
          <w:p>
            <w:pPr>
              <w:pStyle w:val="Compact"/>
            </w:pPr>
            <w:r>
              <w:t xml:space="preserve">CLI</w:t>
            </w:r>
          </w:p>
        </w:tc>
        <w:tc>
          <w:tcPr/>
          <w:p>
            <w:pPr>
              <w:pStyle w:val="Compact"/>
            </w:pPr>
            <w:r>
              <w:t xml:space="preserve">Command-Line Interface</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CSRF</w:t>
            </w:r>
          </w:p>
        </w:tc>
        <w:tc>
          <w:tcPr/>
          <w:p>
            <w:pPr>
              <w:pStyle w:val="Compact"/>
            </w:pPr>
            <w:r>
              <w:t xml:space="preserve">Cross-Site Request Forgery</w:t>
            </w:r>
          </w:p>
        </w:tc>
      </w:tr>
      <w:tr>
        <w:tc>
          <w:tcPr/>
          <w:p>
            <w:pPr>
              <w:pStyle w:val="Compact"/>
            </w:pPr>
            <w:r>
              <w:t xml:space="preserve">CSS</w:t>
            </w:r>
          </w:p>
        </w:tc>
        <w:tc>
          <w:tcPr/>
          <w:p>
            <w:pPr>
              <w:pStyle w:val="Compact"/>
            </w:pPr>
            <w:r>
              <w:t xml:space="preserve">Cascading Style Sheets</w:t>
            </w:r>
          </w:p>
        </w:tc>
      </w:tr>
      <w:tr>
        <w:tc>
          <w:tcPr/>
          <w:p>
            <w:pPr>
              <w:pStyle w:val="Compact"/>
            </w:pPr>
            <w:r>
              <w:t xml:space="preserve">CSV</w:t>
            </w:r>
          </w:p>
        </w:tc>
        <w:tc>
          <w:tcPr/>
          <w:p>
            <w:pPr>
              <w:pStyle w:val="Compact"/>
            </w:pPr>
            <w:r>
              <w:t xml:space="preserve">Comma-Separated Values</w:t>
            </w:r>
          </w:p>
        </w:tc>
      </w:tr>
      <w:tr>
        <w:tc>
          <w:tcPr/>
          <w:p>
            <w:pPr>
              <w:pStyle w:val="Compact"/>
            </w:pPr>
            <w:r>
              <w:t xml:space="preserve">DOM</w:t>
            </w:r>
          </w:p>
        </w:tc>
        <w:tc>
          <w:tcPr/>
          <w:p>
            <w:pPr>
              <w:pStyle w:val="Compact"/>
            </w:pPr>
            <w:r>
              <w:t xml:space="preserve">Document Object Model</w:t>
            </w:r>
          </w:p>
        </w:tc>
      </w:tr>
      <w:tr>
        <w:tc>
          <w:tcPr/>
          <w:p>
            <w:pPr>
              <w:pStyle w:val="Compact"/>
            </w:pPr>
            <w:r>
              <w:t xml:space="preserve">ECE</w:t>
            </w:r>
          </w:p>
        </w:tc>
        <w:tc>
          <w:tcPr/>
          <w:p>
            <w:pPr>
              <w:pStyle w:val="Compact"/>
            </w:pPr>
            <w:r>
              <w:t xml:space="preserve">Electronic and Computer Engineering</w:t>
            </w:r>
          </w:p>
        </w:tc>
      </w:tr>
      <w:tr>
        <w:tc>
          <w:tcPr/>
          <w:p>
            <w:pPr>
              <w:pStyle w:val="Compact"/>
            </w:pPr>
            <w:r>
              <w:t xml:space="preserve">EN</w:t>
            </w:r>
          </w:p>
        </w:tc>
        <w:tc>
          <w:tcPr/>
          <w:p>
            <w:pPr>
              <w:pStyle w:val="Compact"/>
            </w:pPr>
            <w:r>
              <w:t xml:space="preserve">English</w:t>
            </w:r>
          </w:p>
        </w:tc>
      </w:tr>
      <w:tr>
        <w:tc>
          <w:tcPr/>
          <w:p>
            <w:pPr>
              <w:pStyle w:val="Compact"/>
            </w:pPr>
            <w:r>
              <w:t xml:space="preserve">ESCO</w:t>
            </w:r>
          </w:p>
        </w:tc>
        <w:tc>
          <w:tcPr/>
          <w:p>
            <w:pPr>
              <w:pStyle w:val="Compact"/>
            </w:pPr>
            <w:r>
              <w:t xml:space="preserve">European Skills, Competences, Qualifications and Occupations (EU multilingual taxonomy)</w:t>
            </w:r>
          </w:p>
        </w:tc>
      </w:tr>
      <w:tr>
        <w:tc>
          <w:tcPr/>
          <w:p>
            <w:pPr>
              <w:pStyle w:val="Compact"/>
            </w:pPr>
            <w:r>
              <w:t xml:space="preserve">EU</w:t>
            </w:r>
          </w:p>
        </w:tc>
        <w:tc>
          <w:tcPr/>
          <w:p>
            <w:pPr>
              <w:pStyle w:val="Compact"/>
            </w:pPr>
            <w:r>
              <w:t xml:space="preserve">European Union</w:t>
            </w:r>
          </w:p>
        </w:tc>
      </w:tr>
      <w:tr>
        <w:tc>
          <w:tcPr/>
          <w:p>
            <w:pPr>
              <w:pStyle w:val="Compact"/>
            </w:pPr>
            <w:r>
              <w:t xml:space="preserve">FAS</w:t>
            </w:r>
          </w:p>
        </w:tc>
        <w:tc>
          <w:tcPr/>
          <w:p>
            <w:pPr>
              <w:pStyle w:val="Compact"/>
            </w:pPr>
            <w:r>
              <w:t xml:space="preserve">Faculty of Arts and Sciences (Harvard, source of action-verb list)</w:t>
            </w:r>
          </w:p>
        </w:tc>
      </w:tr>
      <w:tr>
        <w:tc>
          <w:tcPr/>
          <w:p>
            <w:pPr>
              <w:pStyle w:val="Compact"/>
            </w:pPr>
            <w:r>
              <w:t xml:space="preserve">FAT*</w:t>
            </w:r>
          </w:p>
        </w:tc>
        <w:tc>
          <w:tcPr/>
          <w:p>
            <w:pPr>
              <w:pStyle w:val="Compact"/>
            </w:pPr>
            <w:r>
              <w:t xml:space="preserve">Fairness, Accountability, and Transparency (ACM conference series)</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Gemini</w:t>
            </w:r>
          </w:p>
        </w:tc>
        <w:tc>
          <w:tcPr/>
          <w:p>
            <w:pPr>
              <w:pStyle w:val="Compact"/>
            </w:pPr>
            <w:r>
              <w:t xml:space="preserve">Google’s family of large language models (2.5 Flash used here)</w:t>
            </w:r>
          </w:p>
        </w:tc>
      </w:tr>
      <w:tr>
        <w:tc>
          <w:tcPr/>
          <w:p>
            <w:pPr>
              <w:pStyle w:val="Compact"/>
            </w:pPr>
            <w:r>
              <w:t xml:space="preserve">GPT</w:t>
            </w:r>
          </w:p>
        </w:tc>
        <w:tc>
          <w:tcPr/>
          <w:p>
            <w:pPr>
              <w:pStyle w:val="Compact"/>
            </w:pPr>
            <w:r>
              <w:t xml:space="preserve">Generative Pre-trained Transformer</w:t>
            </w:r>
          </w:p>
        </w:tc>
      </w:tr>
      <w:tr>
        <w:tc>
          <w:tcPr/>
          <w:p>
            <w:pPr>
              <w:pStyle w:val="Compact"/>
            </w:pPr>
            <w:r>
              <w:t xml:space="preserve">GraphQL</w:t>
            </w:r>
          </w:p>
        </w:tc>
        <w:tc>
          <w:tcPr/>
          <w:p>
            <w:pPr>
              <w:pStyle w:val="Compact"/>
            </w:pPr>
            <w:r>
              <w:t xml:space="preserve">Query language for APIs</w:t>
            </w:r>
          </w:p>
        </w:tc>
      </w:tr>
      <w:tr>
        <w:tc>
          <w:tcPr/>
          <w:p>
            <w:pPr>
              <w:pStyle w:val="Compact"/>
            </w:pPr>
            <w:r>
              <w:t xml:space="preserve">GUI</w:t>
            </w:r>
          </w:p>
        </w:tc>
        <w:tc>
          <w:tcPr/>
          <w:p>
            <w:pPr>
              <w:pStyle w:val="Compact"/>
            </w:pPr>
            <w:r>
              <w:t xml:space="preserve">Graphical User Interface</w:t>
            </w:r>
          </w:p>
        </w:tc>
      </w:tr>
      <w:tr>
        <w:tc>
          <w:tcPr/>
          <w:p>
            <w:pPr>
              <w:pStyle w:val="Compact"/>
            </w:pPr>
            <w:r>
              <w:t xml:space="preserve">HR</w:t>
            </w:r>
          </w:p>
        </w:tc>
        <w:tc>
          <w:tcPr/>
          <w:p>
            <w:pPr>
              <w:pStyle w:val="Compact"/>
            </w:pPr>
            <w:r>
              <w:t xml:space="preserve">Human Resources</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HttpOnly</w:t>
            </w:r>
          </w:p>
        </w:tc>
        <w:tc>
          <w:tcPr/>
          <w:p>
            <w:pPr>
              <w:pStyle w:val="Compact"/>
            </w:pPr>
            <w:r>
              <w:t xml:space="preserve">Cookie attribute preventing JavaScript access</w:t>
            </w:r>
          </w:p>
        </w:tc>
      </w:tr>
      <w:tr>
        <w:tc>
          <w:tcPr/>
          <w:p>
            <w:pPr>
              <w:pStyle w:val="Compact"/>
            </w:pPr>
            <w:r>
              <w:t xml:space="preserve">ID</w:t>
            </w:r>
          </w:p>
        </w:tc>
        <w:tc>
          <w:tcPr/>
          <w:p>
            <w:pPr>
              <w:pStyle w:val="Compact"/>
            </w:pPr>
            <w:r>
              <w:t xml:space="preserve">Identifier</w:t>
            </w:r>
          </w:p>
        </w:tc>
      </w:tr>
      <w:tr>
        <w:tc>
          <w:tcPr/>
          <w:p>
            <w:pPr>
              <w:pStyle w:val="Compact"/>
            </w:pPr>
            <w:r>
              <w:t xml:space="preserve">IDF</w:t>
            </w:r>
          </w:p>
        </w:tc>
        <w:tc>
          <w:tcPr/>
          <w:p>
            <w:pPr>
              <w:pStyle w:val="Compact"/>
            </w:pPr>
            <w:r>
              <w:t xml:space="preserve">Inverse Document Frequency</w:t>
            </w:r>
          </w:p>
        </w:tc>
      </w:tr>
      <w:tr>
        <w:tc>
          <w:tcPr/>
          <w:p>
            <w:pPr>
              <w:pStyle w:val="Compact"/>
            </w:pPr>
            <w:r>
              <w:t xml:space="preserve">IR</w:t>
            </w:r>
          </w:p>
        </w:tc>
        <w:tc>
          <w:tcPr/>
          <w:p>
            <w:pPr>
              <w:pStyle w:val="Compact"/>
            </w:pPr>
            <w:r>
              <w:t xml:space="preserve">Information Retrieval</w:t>
            </w:r>
          </w:p>
        </w:tc>
      </w:tr>
      <w:tr>
        <w:tc>
          <w:tcPr/>
          <w:p>
            <w:pPr>
              <w:pStyle w:val="Compact"/>
            </w:pPr>
            <w:r>
              <w:t xml:space="preserve">ISCO</w:t>
            </w:r>
          </w:p>
        </w:tc>
        <w:tc>
          <w:tcPr/>
          <w:p>
            <w:pPr>
              <w:pStyle w:val="Compact"/>
            </w:pPr>
            <w:r>
              <w:t xml:space="preserve">International Standard Classification of Occupations</w:t>
            </w:r>
          </w:p>
        </w:tc>
      </w:tr>
      <w:tr>
        <w:tc>
          <w:tcPr/>
          <w:p>
            <w:pPr>
              <w:pStyle w:val="Compact"/>
            </w:pPr>
            <w:r>
              <w:t xml:space="preserve">JD</w:t>
            </w:r>
          </w:p>
        </w:tc>
        <w:tc>
          <w:tcPr/>
          <w:p>
            <w:pPr>
              <w:pStyle w:val="Compact"/>
            </w:pPr>
            <w:r>
              <w:t xml:space="preserve">Job Description</w:t>
            </w:r>
          </w:p>
        </w:tc>
      </w:tr>
      <w:tr>
        <w:tc>
          <w:tcPr/>
          <w:p>
            <w:pPr>
              <w:pStyle w:val="Compact"/>
            </w:pPr>
            <w:r>
              <w:t xml:space="preserve">JS</w:t>
            </w:r>
          </w:p>
        </w:tc>
        <w:tc>
          <w:tcPr/>
          <w:p>
            <w:pPr>
              <w:pStyle w:val="Compact"/>
            </w:pPr>
            <w:r>
              <w:t xml:space="preserve">JavaScript</w:t>
            </w:r>
          </w:p>
        </w:tc>
      </w:tr>
      <w:tr>
        <w:tc>
          <w:tcPr/>
          <w:p>
            <w:pPr>
              <w:pStyle w:val="Compact"/>
            </w:pPr>
            <w:r>
              <w:t xml:space="preserve">JSA</w:t>
            </w:r>
          </w:p>
        </w:tc>
        <w:tc>
          <w:tcPr/>
          <w:p>
            <w:pPr>
              <w:pStyle w:val="Compact"/>
            </w:pPr>
            <w:r>
              <w:t xml:space="preserve">Jednolity System Antyplagiatowy (Polish national anti-plagiarism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KS</w:t>
            </w:r>
          </w:p>
        </w:tc>
        <w:tc>
          <w:tcPr/>
          <w:p>
            <w:pPr>
              <w:pStyle w:val="Compact"/>
            </w:pPr>
            <w:r>
              <w:t xml:space="preserve">Kolmogorov–Smirnov (statistical distance)</w:t>
            </w:r>
          </w:p>
        </w:tc>
      </w:tr>
      <w:tr>
        <w:tc>
          <w:tcPr/>
          <w:p>
            <w:pPr>
              <w:pStyle w:val="Compact"/>
            </w:pPr>
            <w:r>
              <w:t xml:space="preserve">LLM</w:t>
            </w:r>
          </w:p>
        </w:tc>
        <w:tc>
          <w:tcPr/>
          <w:p>
            <w:pPr>
              <w:pStyle w:val="Compact"/>
            </w:pPr>
            <w:r>
              <w:t xml:space="preserve">Large Language Model</w:t>
            </w:r>
          </w:p>
        </w:tc>
      </w:tr>
      <w:tr>
        <w:tc>
          <w:tcPr/>
          <w:p>
            <w:pPr>
              <w:pStyle w:val="Compact"/>
            </w:pPr>
            <w:r>
              <w:t xml:space="preserve">MIT</w:t>
            </w:r>
          </w:p>
        </w:tc>
        <w:tc>
          <w:tcPr/>
          <w:p>
            <w:pPr>
              <w:pStyle w:val="Compact"/>
            </w:pPr>
            <w:r>
              <w:t xml:space="preserve">Massachusetts Institute of Technology</w:t>
            </w:r>
          </w:p>
        </w:tc>
      </w:tr>
      <w:tr>
        <w:tc>
          <w:tcPr/>
          <w:p>
            <w:pPr>
              <w:pStyle w:val="Compact"/>
            </w:pPr>
            <w:r>
              <w:t xml:space="preserve">ML</w:t>
            </w:r>
          </w:p>
        </w:tc>
        <w:tc>
          <w:tcPr/>
          <w:p>
            <w:pPr>
              <w:pStyle w:val="Compact"/>
            </w:pPr>
            <w:r>
              <w:t xml:space="preserve">Machine Learning</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NER</w:t>
            </w:r>
          </w:p>
        </w:tc>
        <w:tc>
          <w:tcPr/>
          <w:p>
            <w:pPr>
              <w:pStyle w:val="Compact"/>
            </w:pPr>
            <w:r>
              <w:t xml:space="preserve">Named-Entity Recognition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OAuth</w:t>
            </w:r>
          </w:p>
        </w:tc>
        <w:tc>
          <w:tcPr/>
          <w:p>
            <w:pPr>
              <w:pStyle w:val="Compact"/>
            </w:pPr>
            <w:r>
              <w:t xml:space="preserve">Open Authorization (federated-identity protocol)</w:t>
            </w:r>
          </w:p>
        </w:tc>
      </w:tr>
      <w:tr>
        <w:tc>
          <w:tcPr/>
          <w:p>
            <w:pPr>
              <w:pStyle w:val="Compact"/>
            </w:pPr>
            <w:r>
              <w:t xml:space="preserve">OECD</w:t>
            </w:r>
          </w:p>
        </w:tc>
        <w:tc>
          <w:tcPr/>
          <w:p>
            <w:pPr>
              <w:pStyle w:val="Compact"/>
            </w:pPr>
            <w:r>
              <w:t xml:space="preserve">Organisation for Economic Co-operation and Development</w:t>
            </w:r>
          </w:p>
        </w:tc>
      </w:tr>
      <w:tr>
        <w:tc>
          <w:tcPr/>
          <w:p>
            <w:pPr>
              <w:pStyle w:val="Compact"/>
            </w:pPr>
            <w:r>
              <w:t xml:space="preserve">O*NET</w:t>
            </w:r>
          </w:p>
        </w:tc>
        <w:tc>
          <w:tcPr/>
          <w:p>
            <w:pPr>
              <w:pStyle w:val="Compact"/>
            </w:pPr>
            <w:r>
              <w:t xml:space="preserve">Occupational Information Network (US Department of Labor taxonomy)</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PL</w:t>
            </w:r>
          </w:p>
        </w:tc>
        <w:tc>
          <w:tcPr/>
          <w:p>
            <w:pPr>
              <w:pStyle w:val="Compact"/>
            </w:pPr>
            <w:r>
              <w:t xml:space="preserve">Polish (language)</w:t>
            </w:r>
          </w:p>
        </w:tc>
      </w:tr>
      <w:tr>
        <w:tc>
          <w:tcPr/>
          <w:p>
            <w:pPr>
              <w:pStyle w:val="Compact"/>
            </w:pPr>
            <w:r>
              <w:t xml:space="preserve">PR</w:t>
            </w:r>
          </w:p>
        </w:tc>
        <w:tc>
          <w:tcPr/>
          <w:p>
            <w:pPr>
              <w:pStyle w:val="Compact"/>
            </w:pPr>
            <w:r>
              <w:t xml:space="preserve">Pull Request / Pattern Recognition (latter in example thesis)</w:t>
            </w:r>
          </w:p>
        </w:tc>
      </w:tr>
      <w:tr>
        <w:tc>
          <w:tcPr/>
          <w:p>
            <w:pPr>
              <w:pStyle w:val="Compact"/>
            </w:pPr>
            <w:r>
              <w:t xml:space="preserve">PWr</w:t>
            </w:r>
          </w:p>
        </w:tc>
        <w:tc>
          <w:tcPr/>
          <w:p>
            <w:pPr>
              <w:pStyle w:val="Compact"/>
            </w:pPr>
            <w:r>
              <w:t xml:space="preserve">Politechnika Wrocławska (Wrocław University of Science and Technology)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RBO</w:t>
            </w:r>
          </w:p>
        </w:tc>
        <w:tc>
          <w:tcPr/>
          <w:p>
            <w:pPr>
              <w:pStyle w:val="Compact"/>
            </w:pPr>
            <w:r>
              <w:t xml:space="preserve">Ranked Biased Overlap</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RPM</w:t>
            </w:r>
          </w:p>
        </w:tc>
        <w:tc>
          <w:tcPr/>
          <w:p>
            <w:pPr>
              <w:pStyle w:val="Compact"/>
            </w:pPr>
            <w:r>
              <w:t xml:space="preserve">Requests Per Minute</w:t>
            </w:r>
          </w:p>
        </w:tc>
      </w:tr>
      <w:tr>
        <w:tc>
          <w:tcPr/>
          <w:p>
            <w:pPr>
              <w:pStyle w:val="Compact"/>
            </w:pPr>
            <w:r>
              <w:t xml:space="preserve">SaaS</w:t>
            </w:r>
          </w:p>
        </w:tc>
        <w:tc>
          <w:tcPr/>
          <w:p>
            <w:pPr>
              <w:pStyle w:val="Compact"/>
            </w:pPr>
            <w:r>
              <w:t xml:space="preserve">Software as a Service</w:t>
            </w:r>
          </w:p>
        </w:tc>
      </w:tr>
      <w:tr>
        <w:tc>
          <w:tcPr/>
          <w:p>
            <w:pPr>
              <w:pStyle w:val="Compact"/>
            </w:pPr>
            <w:r>
              <w:t xml:space="preserve">SBERT</w:t>
            </w:r>
          </w:p>
        </w:tc>
        <w:tc>
          <w:tcPr/>
          <w:p>
            <w:pPr>
              <w:pStyle w:val="Compact"/>
            </w:pPr>
            <w:r>
              <w:t xml:space="preserve">Sentence-BERT</w:t>
            </w:r>
          </w:p>
        </w:tc>
      </w:tr>
      <w:tr>
        <w:tc>
          <w:tcPr/>
          <w:p>
            <w:pPr>
              <w:pStyle w:val="Compact"/>
            </w:pPr>
            <w:r>
              <w:t xml:space="preserve">SDK</w:t>
            </w:r>
          </w:p>
        </w:tc>
        <w:tc>
          <w:tcPr/>
          <w:p>
            <w:pPr>
              <w:pStyle w:val="Compact"/>
            </w:pPr>
            <w:r>
              <w:t xml:space="preserve">Software Development Kit</w:t>
            </w:r>
          </w:p>
        </w:tc>
      </w:tr>
      <w:tr>
        <w:tc>
          <w:tcPr/>
          <w:p>
            <w:pPr>
              <w:pStyle w:val="Compact"/>
            </w:pPr>
            <w:r>
              <w:t xml:space="preserve">SOA</w:t>
            </w:r>
          </w:p>
        </w:tc>
        <w:tc>
          <w:tcPr/>
          <w:p>
            <w:pPr>
              <w:pStyle w:val="Compact"/>
            </w:pPr>
            <w:r>
              <w:t xml:space="preserve">Service-Oriented Architecture</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w:t>
            </w:r>
          </w:p>
        </w:tc>
        <w:tc>
          <w:tcPr/>
          <w:p>
            <w:pPr>
              <w:pStyle w:val="Compact"/>
            </w:pPr>
            <w:r>
              <w:t xml:space="preserve">Term Frequency</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TLS</w:t>
            </w:r>
          </w:p>
        </w:tc>
        <w:tc>
          <w:tcPr/>
          <w:p>
            <w:pPr>
              <w:pStyle w:val="Compact"/>
            </w:pPr>
            <w:r>
              <w:t xml:space="preserve">Transport Layer Security</w:t>
            </w:r>
          </w:p>
        </w:tc>
      </w:tr>
      <w:tr>
        <w:tc>
          <w:tcPr/>
          <w:p>
            <w:pPr>
              <w:pStyle w:val="Compact"/>
            </w:pPr>
            <w:r>
              <w:t xml:space="preserve">TTL</w:t>
            </w:r>
          </w:p>
        </w:tc>
        <w:tc>
          <w:tcPr/>
          <w:p>
            <w:pPr>
              <w:pStyle w:val="Compact"/>
            </w:pPr>
            <w:r>
              <w:t xml:space="preserve">Time-To-Live</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USOS</w:t>
            </w:r>
          </w:p>
        </w:tc>
        <w:tc>
          <w:tcPr/>
          <w:p>
            <w:pPr>
              <w:pStyle w:val="Compact"/>
            </w:pPr>
            <w:r>
              <w:t xml:space="preserve">Uniwersytecki System Obsługi Studiów (PWr student information system)</w:t>
            </w:r>
          </w:p>
        </w:tc>
      </w:tr>
      <w:tr>
        <w:tc>
          <w:tcPr/>
          <w:p>
            <w:pPr>
              <w:pStyle w:val="Compact"/>
            </w:pPr>
            <w:r>
              <w:t xml:space="preserve">USOS-APD</w:t>
            </w:r>
          </w:p>
        </w:tc>
        <w:tc>
          <w:tcPr/>
          <w:p>
            <w:pPr>
              <w:pStyle w:val="Compact"/>
            </w:pPr>
            <w:r>
              <w:t xml:space="preserve">USOS Archive of Diploma Theses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V1 / V1.1</w:t>
            </w:r>
          </w:p>
        </w:tc>
        <w:tc>
          <w:tcPr/>
          <w:p>
            <w:pPr>
              <w:pStyle w:val="Compact"/>
            </w:pPr>
            <w:r>
              <w:t xml:space="preserve">Version 1 / Version 1.1 (release-numbering convention used in this thesis)</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WEFiM</w:t>
            </w:r>
          </w:p>
        </w:tc>
        <w:tc>
          <w:tcPr/>
          <w:p>
            <w:pPr>
              <w:pStyle w:val="Compact"/>
            </w:pPr>
            <w:r>
              <w:t xml:space="preserve">Wydział Elektroniki, Fotoniki i Mikrosystemów (Faculty of Electronics, Photonics and Microsystems)</w:t>
            </w:r>
          </w:p>
        </w:tc>
      </w:tr>
      <w:tr>
        <w:tc>
          <w:tcPr/>
          <w:p>
            <w:pPr>
              <w:pStyle w:val="Compact"/>
            </w:pPr>
            <w:r>
              <w:t xml:space="preserve">XML</w:t>
            </w:r>
          </w:p>
        </w:tc>
        <w:tc>
          <w:tcPr/>
          <w:p>
            <w:pPr>
              <w:pStyle w:val="Compact"/>
            </w:pPr>
            <w:r>
              <w:t xml:space="preserve">eXtensible Markup Language</w:t>
            </w:r>
          </w:p>
        </w:tc>
      </w:tr>
      <w:tr>
        <w:tc>
          <w:tcPr/>
          <w:p>
            <w:pPr>
              <w:pStyle w:val="Compact"/>
            </w:pPr>
            <w:r>
              <w:t xml:space="preserve">Zod</w:t>
            </w:r>
          </w:p>
        </w:tc>
        <w:tc>
          <w:tcPr/>
          <w:p>
            <w:pPr>
              <w:pStyle w:val="Compact"/>
            </w:pPr>
            <w:r>
              <w:t xml:space="preserve">Runtime schema-validation library for TypeScript</w:t>
            </w:r>
          </w:p>
        </w:tc>
      </w:tr>
    </w:tbl>
    <w:bookmarkStart w:id="15" w:name="symbols-used-in-formulas-in-chapter-4"/>
    <w:p>
      <w:pPr>
        <w:pStyle w:val="Heading2"/>
      </w:pPr>
      <w:r>
        <w:t xml:space="preserve">Symbols (used in formulas in Chapter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i/>
                <w:iCs/>
              </w:rPr>
              <w:t xml:space="preserve">r</w:t>
            </w:r>
          </w:p>
        </w:tc>
        <w:tc>
          <w:tcPr/>
          <w:p>
            <w:pPr>
              <w:pStyle w:val="Compact"/>
            </w:pPr>
            <w:r>
              <w:t xml:space="preserve">Pearson correlation coefficient</w:t>
            </w:r>
          </w:p>
        </w:tc>
      </w:tr>
      <w:tr>
        <w:tc>
          <w:tcPr/>
          <w:p>
            <w:pPr>
              <w:pStyle w:val="Compact"/>
            </w:pPr>
            <w:r>
              <w:rPr>
                <w:i/>
                <w:iCs/>
              </w:rPr>
              <w:t xml:space="preserve">k₁</w:t>
            </w:r>
            <w:r>
              <w:t xml:space="preserve">,</w:t>
            </w:r>
            <w:r>
              <w:t xml:space="preserve"> </w:t>
            </w:r>
            <w:r>
              <w:rPr>
                <w:i/>
                <w:iCs/>
              </w:rPr>
              <w:t xml:space="preserve">b</w:t>
            </w:r>
          </w:p>
        </w:tc>
        <w:tc>
          <w:tcPr/>
          <w:p>
            <w:pPr>
              <w:pStyle w:val="Compact"/>
            </w:pPr>
            <w:r>
              <w:t xml:space="preserve">BM25 hyperparameters (term-frequency saturation and document-length normalisation)</w:t>
            </w:r>
          </w:p>
        </w:tc>
      </w:tr>
      <w:tr>
        <w:tc>
          <w:tcPr/>
          <w:p>
            <w:pPr>
              <w:pStyle w:val="Compact"/>
            </w:pPr>
            <w:r>
              <w:rPr>
                <w:i/>
                <w:iCs/>
              </w:rPr>
              <w:t xml:space="preserve">τ</w:t>
            </w:r>
          </w:p>
        </w:tc>
        <w:tc>
          <w:tcPr/>
          <w:p>
            <w:pPr>
              <w:pStyle w:val="Compact"/>
            </w:pPr>
            <w:r>
              <w:t xml:space="preserve">Fuzzy-matching threshold (Levenshtein-similarity ratio)</w:t>
            </w:r>
          </w:p>
        </w:tc>
      </w:tr>
      <w:tr>
        <w:tc>
          <w:tcPr/>
          <w:p>
            <w:pPr>
              <w:pStyle w:val="Compact"/>
            </w:pPr>
            <w:r>
              <w:t xml:space="preserve">idf(t)</w:t>
            </w:r>
          </w:p>
        </w:tc>
        <w:tc>
          <w:tcPr/>
          <w:p>
            <w:pPr>
              <w:pStyle w:val="Compact"/>
            </w:pPr>
            <w:r>
              <w:t xml:space="preserve">Inverse document frequency of term</w:t>
            </w:r>
            <w:r>
              <w:t xml:space="preserve"> </w:t>
            </w:r>
            <w:r>
              <w:rPr>
                <w:i/>
                <w:iCs/>
              </w:rPr>
              <w:t xml:space="preserve">t</w:t>
            </w:r>
          </w:p>
        </w:tc>
      </w:tr>
      <w:tr>
        <w:tc>
          <w:tcPr/>
          <w:p>
            <w:pPr>
              <w:pStyle w:val="Compact"/>
            </w:pPr>
            <w:r>
              <w:rPr>
                <w:i/>
                <w:iCs/>
              </w:rPr>
              <w:t xml:space="preserve">N</w:t>
            </w:r>
            <w:r>
              <w:t xml:space="preserve">,</w:t>
            </w:r>
            <w:r>
              <w:t xml:space="preserve"> </w:t>
            </w:r>
            <w:r>
              <w:rPr>
                <w:i/>
                <w:iCs/>
              </w:rPr>
              <w:t xml:space="preserve">M</w:t>
            </w:r>
          </w:p>
        </w:tc>
        <w:tc>
          <w:tcPr/>
          <w:p>
            <w:pPr>
              <w:pStyle w:val="Compact"/>
            </w:pPr>
            <w:r>
              <w:t xml:space="preserve">Number of resumes and number of job descriptions in the evaluation set</w:t>
            </w:r>
          </w:p>
        </w:tc>
      </w:tr>
      <w:tr>
        <w:tc>
          <w:tcPr/>
          <w:p>
            <w:pPr>
              <w:pStyle w:val="Compact"/>
            </w:pPr>
            <w:r>
              <w:rPr>
                <w:i/>
                <w:iCs/>
              </w:rPr>
              <w:t xml:space="preserve">R</w:t>
            </w:r>
            <w:r>
              <w:t xml:space="preserve">,</w:t>
            </w:r>
            <w:r>
              <w:t xml:space="preserve"> </w:t>
            </w:r>
            <w:r>
              <w:rPr>
                <w:i/>
                <w:iCs/>
              </w:rPr>
              <w:t xml:space="preserve">J</w:t>
            </w:r>
          </w:p>
        </w:tc>
        <w:tc>
          <w:tcPr/>
          <w:p>
            <w:pPr>
              <w:pStyle w:val="Compact"/>
            </w:pPr>
            <w:r>
              <w:t xml:space="preserve">A single resume and a single job description</w:t>
            </w:r>
          </w:p>
        </w:tc>
      </w:tr>
      <w:tr>
        <w:tc>
          <w:tcPr/>
          <w:p>
            <w:pPr>
              <w:pStyle w:val="Compact"/>
            </w:pPr>
            <w:r>
              <w:rPr>
                <w:i/>
                <w:iCs/>
              </w:rPr>
              <w:t xml:space="preserve">K</w:t>
            </w:r>
            <w:r>
              <w:t xml:space="preserve">(·)</w:t>
            </w:r>
          </w:p>
        </w:tc>
        <w:tc>
          <w:tcPr/>
          <w:p>
            <w:pPr>
              <w:pStyle w:val="Compact"/>
            </w:pPr>
            <w:r>
              <w:t xml:space="preserve">Keyword extractor function (returns the keyword set of an input)</w:t>
            </w:r>
          </w:p>
        </w:tc>
      </w:tr>
      <w:tr>
        <w:tc>
          <w:tcPr/>
          <w:p>
            <w:pPr>
              <w:pStyle w:val="Compact"/>
            </w:pPr>
            <w:r>
              <w:t xml:space="preserve">dl, avgdl</w:t>
            </w:r>
          </w:p>
        </w:tc>
        <w:tc>
          <w:tcPr/>
          <w:p>
            <w:pPr>
              <w:pStyle w:val="Compact"/>
            </w:pPr>
            <w:r>
              <w:t xml:space="preserve">Document length, average document length (BM25 normalisation)</w:t>
            </w:r>
          </w:p>
        </w:tc>
      </w:tr>
    </w:tbl>
    <w:bookmarkEnd w:id="15"/>
    <w:bookmarkEnd w:id="16"/>
    <w:bookmarkStart w:id="23" w:name="chapter-1-introduction"/>
    <w:p>
      <w:pPr>
        <w:pStyle w:val="Heading1"/>
      </w:pPr>
      <w:r>
        <w:t xml:space="preserve">Chapter 1 — Introduction</w:t>
      </w:r>
    </w:p>
    <w:p>
      <w:pPr>
        <w:pStyle w:val="FirstParagraph"/>
      </w:pPr>
      <w: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pPr>
      <w:r>
        <w:t xml:space="preserve">A working candidate trying to answer those questions today typically uses a fragmented set of tools: a generic resume builder, a job board’s</w:t>
      </w:r>
      <w:r>
        <w:t xml:space="preserve"> </w:t>
      </w:r>
      <w:r>
        <w:t xml:space="preserve">“match score”</w:t>
      </w:r>
      <w: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pPr>
      <w: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(a generic resume editor, a job-board match score, a separate cover-letter prompt, an interview-question generator),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pPr>
      <w:r>
        <w:t xml:space="preserve">1.1 The career decision problem</w:t>
      </w:r>
    </w:p>
    <w:p>
      <w:pPr>
        <w:pStyle w:val="FirstParagraph"/>
      </w:pPr>
      <w:r>
        <w:t xml:space="preserve">Career decision making sits at the intersection of three difficult sub-problems.</w:t>
      </w:r>
      <w:r>
        <w:t xml:space="preserve"> </w:t>
      </w:r>
      <w:r>
        <w:rPr>
          <w:i/>
          <w:iCs/>
        </w:rPr>
        <w:t xml:space="preserve">Self-assessment</w:t>
      </w:r>
      <w:r>
        <w:t xml:space="preserve"> </w:t>
      </w:r>
      <w:r>
        <w:t xml:space="preserve">asks the candidate to inventory their skills, experience, and preferences in a form that other systems can reason over.</w:t>
      </w:r>
      <w:r>
        <w:t xml:space="preserve"> </w:t>
      </w:r>
      <w:r>
        <w:rPr>
          <w:i/>
          <w:iCs/>
        </w:rPr>
        <w:t xml:space="preserve">Market alignment</w:t>
      </w:r>
      <w:r>
        <w:t xml:space="preserve"> </w:t>
      </w:r>
      <w:r>
        <w:t xml:space="preserve">asks how the candidate’s profile compares to the current demand expressed in job advertisements.</w:t>
      </w:r>
      <w:r>
        <w:t xml:space="preserve"> </w:t>
      </w:r>
      <w:r>
        <w:rPr>
          <w:i/>
          <w:iCs/>
        </w:rPr>
        <w:t xml:space="preserve">Action planning</w:t>
      </w:r>
      <w:r>
        <w:t xml:space="preserve"> </w:t>
      </w:r>
      <w:r>
        <w:t xml:space="preserve">asks what concrete steps (a sharper resume bullet, a portfolio gap to close, a story to rehearse for an interview) would move the candidate from where they are to where they want to be.</w:t>
      </w:r>
    </w:p>
    <w:p>
      <w:pPr>
        <w:pStyle w:val="BodyText"/>
      </w:pPr>
      <w: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and what motivates this thesis,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pPr>
      <w:r>
        <w:t xml:space="preserve">1.2 AI-based recommendation systems for careers</w:t>
      </w:r>
    </w:p>
    <w:p>
      <w:pPr>
        <w:pStyle w:val="FirstParagraph"/>
      </w:pPr>
      <w:r>
        <w:t xml:space="preserve">Recommendation systems were originally developed for content domains in which the</w:t>
      </w:r>
      <w:r>
        <w:t xml:space="preserve"> </w:t>
      </w:r>
      <w:r>
        <w:rPr>
          <w:i/>
          <w:iCs/>
        </w:rPr>
        <w:t xml:space="preserve">items</w:t>
      </w:r>
      <w:r>
        <w:t xml:space="preserve"> </w:t>
      </w:r>
      <w:r>
        <w:t xml:space="preserve">(films, books, songs, products)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(a resume and a job description) projected into a shared representation [6, 8, 9, 10].</w:t>
      </w:r>
    </w:p>
    <w:p>
      <w:pPr>
        <w:pStyle w:val="BodyText"/>
      </w:pPr>
      <w: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(strategic-marketing decision-making and operations research) and confirms that the methodological pattern of</w:t>
      </w:r>
      <w:r>
        <w:t xml:space="preserve"> </w:t>
      </w:r>
      <w:r>
        <w:rPr>
          <w:i/>
          <w:iCs/>
        </w:rPr>
        <w:t xml:space="preserve">learned representations over hand-engineered features</w:t>
      </w:r>
      <w:r>
        <w:t xml:space="preserve"> </w:t>
      </w:r>
      <w: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t xml:space="preserve"> </w:t>
      </w:r>
      <w:r>
        <w:rPr>
          <w:i/>
          <w:iCs/>
        </w:rPr>
        <w:t xml:space="preserve">acting</w:t>
      </w:r>
      <w:r>
        <w:t xml:space="preserve"> </w:t>
      </w:r>
      <w:r>
        <w:t xml:space="preserve">on a recommendation, which is where the present thesis extends the state of the practice.</w:t>
      </w:r>
    </w:p>
    <w:bookmarkEnd w:id="18"/>
    <w:bookmarkStart w:id="19" w:name="X0f507a345d505e2b6b09af5902860f6a3d367ad"/>
    <w:p>
      <w:pPr>
        <w:pStyle w:val="Heading2"/>
      </w:pPr>
      <w:r>
        <w:t xml:space="preserve">1.3 Resume parsing and job-description analysis</w:t>
      </w:r>
    </w:p>
    <w:p>
      <w:pPr>
        <w:pStyle w:val="FirstParagraph"/>
      </w:pPr>
      <w:r>
        <w:t xml:space="preserve">For any of the matching approaches above to work, the first step is to extract structure from a resume that arrives as an unstructured PDF or text file. Resume parsing is an old problem;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pPr>
      <w: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A single token like</w:t>
      </w:r>
      <w:r>
        <w:t xml:space="preserve"> </w:t>
      </w:r>
      <w:r>
        <w:t xml:space="preserve">“Python”</w:t>
      </w:r>
      <w:r>
        <w:t xml:space="preserve"> </w:t>
      </w:r>
      <w: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pPr>
      <w:r>
        <w:t xml:space="preserve">Job-description analysis is the symmetric problem on the demand side. The most consequential recent research direction in this area is the linking of free-text job postings to standardised skill taxonomies, primarily</w:t>
      </w:r>
      <w:r>
        <w:t xml:space="preserve"> </w:t>
      </w:r>
      <w:r>
        <w:rPr>
          <w:i/>
          <w:iCs/>
        </w:rPr>
        <w:t xml:space="preserve">ESCO</w:t>
      </w:r>
      <w: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t xml:space="preserve"> </w:t>
      </w:r>
      <w:r>
        <w:t xml:space="preserve">“JavaScript”</w:t>
      </w:r>
      <w:r>
        <w:t xml:space="preserve">,</w:t>
      </w:r>
      <w:r>
        <w:t xml:space="preserve"> </w:t>
      </w:r>
      <w:r>
        <w:t xml:space="preserve">“JS”</w:t>
      </w:r>
      <w:r>
        <w:t xml:space="preserve">, and</w:t>
      </w:r>
      <w:r>
        <w:t xml:space="preserve"> </w:t>
      </w:r>
      <w:r>
        <w:t xml:space="preserve">“ECMAScript”</w:t>
      </w:r>
      <w:r>
        <w:t xml:space="preserve"> </w:t>
      </w:r>
      <w: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pPr>
      <w:r>
        <w:t xml:space="preserve">1.4 Heuristic and language-model scoring approaches</w:t>
      </w:r>
    </w:p>
    <w:p>
      <w:pPr>
        <w:pStyle w:val="FirstParagraph"/>
      </w:pPr>
      <w:r>
        <w:t xml:space="preserve">The central design tension addressed by this thesis is the choice between two families of methods for scoring the alignment between a resume and a job description.</w:t>
      </w:r>
    </w:p>
    <w:p>
      <w:pPr>
        <w:pStyle w:val="BodyText"/>
      </w:pPr>
      <w:r>
        <w:t xml:space="preserve">The first family is</w:t>
      </w:r>
      <w:r>
        <w:t xml:space="preserve"> </w:t>
      </w:r>
      <w:r>
        <w:rPr>
          <w:i/>
          <w:iCs/>
        </w:rPr>
        <w:t xml:space="preserve">heuristic</w:t>
      </w:r>
      <w:r>
        <w:t xml:space="preserve">: classical information-retrieval techniques that rely on statistical regularities of text. The foundational methods in this family,</w:t>
      </w:r>
      <w:r>
        <w:t xml:space="preserve"> </w:t>
      </w:r>
      <w:r>
        <w:rPr>
          <w:i/>
          <w:iCs/>
        </w:rPr>
        <w:t xml:space="preserve">TF–IDF</w:t>
      </w:r>
      <w:r>
        <w:t xml:space="preserve"> </w:t>
      </w:r>
      <w:r>
        <w:t xml:space="preserve">[5] and</w:t>
      </w:r>
      <w:r>
        <w:t xml:space="preserve"> </w:t>
      </w:r>
      <w:r>
        <w:rPr>
          <w:i/>
          <w:iCs/>
        </w:rPr>
        <w:t xml:space="preserve">BM25</w:t>
      </w:r>
      <w:r>
        <w:t xml:space="preserve"> </w:t>
      </w:r>
      <w:r>
        <w:t xml:space="preserve">[6], weight individual terms by how distinctive they are within a corpus, so that a rare technical skill counts for more than a common word. Fuzzy-matching algorithms based on the</w:t>
      </w:r>
      <w:r>
        <w:t xml:space="preserve"> </w:t>
      </w:r>
      <w:r>
        <w:rPr>
          <w:i/>
          <w:iCs/>
        </w:rPr>
        <w:t xml:space="preserve">Levenshtein edit distance</w:t>
      </w:r>
      <w:r>
        <w:t xml:space="preserve"> </w:t>
      </w:r>
      <w:r>
        <w:t xml:space="preserve">[7] absorb minor surface variation, allowing</w:t>
      </w:r>
      <w:r>
        <w:t xml:space="preserve"> </w:t>
      </w:r>
      <w:r>
        <w:t xml:space="preserve">“Postgres”</w:t>
      </w:r>
      <w:r>
        <w:t xml:space="preserve"> </w:t>
      </w:r>
      <w:r>
        <w:t xml:space="preserve">and</w:t>
      </w:r>
      <w:r>
        <w:t xml:space="preserve"> </w:t>
      </w:r>
      <w:r>
        <w:t xml:space="preserve">“PostgreSQL”</w:t>
      </w:r>
      <w:r>
        <w:t xml:space="preserve"> </w:t>
      </w:r>
      <w:r>
        <w:t xml:space="preserve">to register as the same term. Skill-taxonomy lookups against ESCO or O</w:t>
      </w:r>
      <w:r>
        <w:rPr>
          <w:i/>
          <w:iCs/>
        </w:rPr>
        <w:t xml:space="preserve">NET [8, 9] provide the normalisation step described in the previous section. Section-weighted feature extraction recognises that a skill listed in a dedicated</w:t>
      </w:r>
      <w:r>
        <w:rPr>
          <w:i/>
          <w:iCs/>
        </w:rPr>
        <w:t xml:space="preserve"> </w:t>
      </w:r>
      <w: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t xml:space="preserve"> </w:t>
      </w:r>
      <w:r>
        <w:rPr>
          <w:i/>
          <w:iCs/>
        </w:rPr>
        <w:t xml:space="preserve">already</w:t>
      </w:r>
      <w:r>
        <w:t xml:space="preserve"> </w:t>
      </w:r>
      <w:r>
        <w:t xml:space="preserve">capture most of what a recruiter scans for during the first pass over a resume.</w:t>
      </w:r>
    </w:p>
    <w:p>
      <w:pPr>
        <w:pStyle w:val="BodyText"/>
      </w:pPr>
      <w:r>
        <w:t xml:space="preserve">The second family is</w:t>
      </w:r>
      <w:r>
        <w:t xml:space="preserve"> </w:t>
      </w:r>
      <w:r>
        <w:rPr>
          <w:i/>
          <w:iCs/>
        </w:rPr>
        <w:t xml:space="preserve">language-model</w:t>
      </w:r>
      <w: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pPr>
      <w:r>
        <w:t xml:space="preserve">This dichotomy is the foundation of the comparative study reported in Chapter 4. The system described in this thesis exposes both modes through a single user-facing interface; an administrator can switch the analytical core between</w:t>
      </w:r>
      <w:r>
        <w:t xml:space="preserve"> </w:t>
      </w:r>
      <w:r>
        <w:rPr>
          <w:i/>
          <w:iCs/>
        </w:rPr>
        <w:t xml:space="preserve">fully heuristic</w:t>
      </w:r>
      <w:r>
        <w:t xml:space="preserve"> </w:t>
      </w:r>
      <w:r>
        <w:t xml:space="preserve">and</w:t>
      </w:r>
      <w:r>
        <w:t xml:space="preserve"> </w:t>
      </w:r>
      <w:r>
        <w:rPr>
          <w:i/>
          <w:iCs/>
        </w:rPr>
        <w:t xml:space="preserve">blended</w:t>
      </w:r>
      <w:r>
        <w:t xml:space="preserve"> </w:t>
      </w:r>
      <w:r>
        <w:t xml:space="preserve">(heuristic plus language model, weighted) at runtime, and the same input is then scored by both methods on demand. The research question is not whether one approach is universally better (both have well-understood failure modes) but rather:</w:t>
      </w:r>
      <w:r>
        <w:t xml:space="preserve"> </w:t>
      </w:r>
      <w:r>
        <w:rPr>
          <w:i/>
          <w:iCs/>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t xml:space="preserve"> </w:t>
      </w:r>
      <w:r>
        <w:t xml:space="preserve">The deliberately within-set framing is important; the benchmark and its construction limits are documented in Section 4.1.4.</w:t>
      </w:r>
    </w:p>
    <w:p>
      <w:pPr>
        <w:pStyle w:val="BodyText"/>
      </w:pPr>
      <w: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designed</w:t>
      </w:r>
      <w:r>
        <w:t xml:space="preserve"> </w:t>
      </w:r>
      <w:r>
        <w:rPr>
          <w:i/>
          <w:iCs/>
        </w:rPr>
        <w:t xml:space="preserve">after</w:t>
      </w:r>
      <w:r>
        <w:t xml:space="preserve"> </w:t>
      </w:r>
      <w:r>
        <w:t xml:space="preserve">the blended pipeline already existed; this sequencing shaped the heuristic toward the specific decisions the language model was already making in production rather than toward an idealised retrieval-research baseline.</w:t>
      </w:r>
    </w:p>
    <w:bookmarkEnd w:id="20"/>
    <w:bookmarkStart w:id="21" w:name="purpose-of-the-thesis"/>
    <w:p>
      <w:pPr>
        <w:pStyle w:val="Heading2"/>
      </w:pPr>
      <w:r>
        <w:t xml:space="preserve">1.5 Purpose of the thesis</w:t>
      </w:r>
    </w:p>
    <w:p>
      <w:pPr>
        <w:pStyle w:val="FirstParagraph"/>
      </w:pPr>
      <w: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pPr>
      <w:r>
        <w:t xml:space="preserve">The scope of the thesis follows the application approved in the</w:t>
      </w:r>
      <w:r>
        <w:t xml:space="preserve"> </w:t>
      </w:r>
      <w:r>
        <w:rPr>
          <w:i/>
          <w:iCs/>
        </w:rPr>
        <w:t xml:space="preserve">Archive of Diploma Theses</w:t>
      </w:r>
      <w:r>
        <w:t xml:space="preserve"> </w:t>
      </w:r>
      <w:r>
        <w:t xml:space="preserve">on 3 February 2026 and consists of two parallel aspects.</w:t>
      </w:r>
    </w:p>
    <w:p>
      <w:pPr>
        <w:pStyle w:val="BodyText"/>
      </w:pPr>
      <w:r>
        <w:t xml:space="preserve">The</w:t>
      </w:r>
      <w:r>
        <w:t xml:space="preserve"> </w:t>
      </w:r>
      <w:r>
        <w:rPr>
          <w:b/>
          <w:bCs/>
        </w:rPr>
        <w:t xml:space="preserve">engineering aspect</w:t>
      </w:r>
      <w:r>
        <w:t xml:space="preserve"> </w:t>
      </w:r>
      <w: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pPr>
      <w:r>
        <w:t xml:space="preserve">The</w:t>
      </w:r>
      <w:r>
        <w:t xml:space="preserve"> </w:t>
      </w:r>
      <w:r>
        <w:rPr>
          <w:b/>
          <w:bCs/>
        </w:rPr>
        <w:t xml:space="preserve">research aspect</w:t>
      </w:r>
      <w:r>
        <w:t xml:space="preserve"> </w:t>
      </w:r>
      <w:r>
        <w:t xml:space="preserve">covers a controlled comparative study of two scoring methods. The system supports a</w:t>
      </w:r>
      <w:r>
        <w:t xml:space="preserve"> </w:t>
      </w:r>
      <w:r>
        <w:rPr>
          <w:i/>
          <w:iCs/>
        </w:rPr>
        <w:t xml:space="preserve">blended mode</w:t>
      </w:r>
      <w:r>
        <w:t xml:space="preserve"> </w:t>
      </w:r>
      <w:r>
        <w:t xml:space="preserve">(heuristic 40%, language model 60%) and a</w:t>
      </w:r>
      <w:r>
        <w:t xml:space="preserve"> </w:t>
      </w:r>
      <w:r>
        <w:rPr>
          <w:i/>
          <w:iCs/>
        </w:rPr>
        <w:t xml:space="preserve">fully heuristic mode</w:t>
      </w:r>
      <w:r>
        <w:t xml:space="preserve"> </w:t>
      </w:r>
      <w:r>
        <w:t xml:space="preserve">grounded in TF–IDF–weighted keyword evidence, ESCO-aligned skill normalisation, fuzzy matching against a curated skill list, section-weighted features, and quantification detection. A small evaluation harness runs both modes against a curated</w:t>
      </w:r>
      <w:r>
        <w:t xml:space="preserve"> </w:t>
      </w:r>
      <w:r>
        <w:rPr>
          <w:i/>
          <w:iCs/>
        </w:rPr>
        <w:t xml:space="preserve">synthetic single-author</w:t>
      </w:r>
      <w:r>
        <w:t xml:space="preserve"> </w:t>
      </w:r>
      <w:r>
        <w:t xml:space="preserve">dataset of resumes and job descriptions and reports four metric families (score agreement, score distribution, latency, and per-call cost) with the goal of characterising the trade-offs</w:t>
      </w:r>
      <w:r>
        <w:t xml:space="preserve"> </w:t>
      </w:r>
      <w:r>
        <w:rPr>
          <w:i/>
          <w:iCs/>
        </w:rPr>
        <w:t xml:space="preserve">within that evaluation set</w:t>
      </w:r>
      <w:r>
        <w:t xml:space="preserve"> </w:t>
      </w:r>
      <w:r>
        <w:t xml:space="preserve">in a way that informs both the deployment of this specific system and the design of comparable systems in future research.</w:t>
      </w:r>
    </w:p>
    <w:p>
      <w:pPr>
        <w:pStyle w:val="BodyText"/>
      </w:pPr>
      <w: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pPr>
      <w:r>
        <w:t xml:space="preserve">The dual-mode design followed from a more pragmatic motivation than would have been predicted at project start. The</w:t>
      </w:r>
      <w:r>
        <w:t xml:space="preserve"> </w:t>
      </w:r>
      <w:r>
        <w:rPr>
          <w:i/>
          <w:iCs/>
        </w:rPr>
        <w:t xml:space="preserve">retry-with-jitter</w:t>
      </w:r>
      <w:r>
        <w:t xml:space="preserve"> </w:t>
      </w:r>
      <w: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t xml:space="preserve"> </w:t>
      </w:r>
      <w:r>
        <w:rPr>
          <w:i/>
          <w:iCs/>
        </w:rPr>
        <w:t xml:space="preserve">fallback policy</w:t>
      </w:r>
      <w:r>
        <w:t xml:space="preserve"> </w:t>
      </w:r>
      <w: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pPr>
      <w:r>
        <w:t xml:space="preserve">1.6 Structure of the thesis</w:t>
      </w:r>
    </w:p>
    <w:p>
      <w:pPr>
        <w:pStyle w:val="FirstParagraph"/>
      </w:pPr>
      <w:r>
        <w:t xml:space="preserve">The remainder of the thesis is organised as follows.</w:t>
      </w:r>
    </w:p>
    <w:p>
      <w:pPr>
        <w:pStyle w:val="BodyText"/>
      </w:pPr>
      <w:r>
        <w:rPr>
          <w:b/>
          <w:bCs/>
        </w:rPr>
        <w:t xml:space="preserve">Chapter 2</w:t>
      </w:r>
      <w:r>
        <w:t xml:space="preserve"> </w:t>
      </w:r>
      <w: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pPr>
      <w:r>
        <w:rPr>
          <w:b/>
          <w:bCs/>
        </w:rPr>
        <w:t xml:space="preserve">Chapter 3</w:t>
      </w:r>
      <w:r>
        <w:t xml:space="preserve"> </w:t>
      </w:r>
      <w:r>
        <w:t xml:space="preserve">describes the implementation of each of the six tools, highlighting the cross-cutting concerns that are shared by all of them: the unified</w:t>
      </w:r>
      <w:r>
        <w:t xml:space="preserve"> </w:t>
      </w:r>
      <w:r>
        <w:rPr>
          <w:rStyle w:val="VerbatimChar"/>
        </w:rPr>
        <w:t xml:space="preserve">tool_pipeline</w:t>
      </w:r>
      <w:r>
        <w:t xml:space="preserve"> </w:t>
      </w:r>
      <w: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pPr>
      <w:r>
        <w:rPr>
          <w:b/>
          <w:bCs/>
        </w:rPr>
        <w:t xml:space="preserve">Chapter 4</w:t>
      </w:r>
      <w:r>
        <w:t xml:space="preserve"> </w:t>
      </w:r>
      <w: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single-subject evaluation, English-only resumes, and the dependence of the LLM mode on a single model provider.</w:t>
      </w:r>
    </w:p>
    <w:p>
      <w:pPr>
        <w:pStyle w:val="BodyText"/>
      </w:pPr>
      <w:r>
        <w:rPr>
          <w:b/>
          <w:bCs/>
        </w:rPr>
        <w:t xml:space="preserve">Chapter 5</w:t>
      </w:r>
      <w:r>
        <w:t xml:space="preserve"> </w:t>
      </w:r>
      <w: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pPr>
      <w: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9" w:name="chapter-2-system-architecture"/>
    <w:p>
      <w:pPr>
        <w:pStyle w:val="Heading1"/>
      </w:pPr>
      <w:r>
        <w:t xml:space="preserve">Chapter 2 — System architecture</w:t>
      </w:r>
    </w:p>
    <w:p>
      <w:pPr>
        <w:pStyle w:val="FirstParagraph"/>
      </w:pPr>
      <w: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pPr>
      <w:r>
        <w:t xml:space="preserve">2.1 Functional and non-functional requirements</w:t>
      </w:r>
    </w:p>
    <w:p>
      <w:pPr>
        <w:pStyle w:val="FirstParagraph"/>
      </w:pPr>
      <w: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pPr>
      <w:r>
        <w:t xml:space="preserve">2.1.1 Functional requirements</w:t>
      </w:r>
    </w:p>
    <w:tbl>
      <w:tblPr>
        <w:tblStyle w:val="Table"/>
        <w:tblW w:type="pct" w:w="5000"/>
        <w:tblLayout w:type="fixed"/>
        <w:tblLook w:firstRow="1" w:lastRow="0" w:firstColumn="0" w:lastColumn="0" w:noHBand="0" w:noVBand="0" w:val="0020"/>
      </w:tblPr>
      <w:tblGrid>
        <w:gridCol w:w="1056"/>
        <w:gridCol w:w="1584"/>
        <w:gridCol w:w="5280"/>
      </w:tblGrid>
      <w:tr>
        <w:trPr>
          <w:tblHeader w:val="on"/>
        </w:trPr>
        <w:tc>
          <w:tcPr/>
          <w:p>
            <w:pPr>
              <w:pStyle w:val="Compact"/>
            </w:pPr>
            <w:r>
              <w:t xml:space="preserve">ID</w:t>
            </w:r>
          </w:p>
        </w:tc>
        <w:tc>
          <w:tcPr/>
          <w:p>
            <w:pPr>
              <w:pStyle w:val="Compact"/>
            </w:pPr>
            <w:r>
              <w:t xml:space="preserve">Tool</w:t>
            </w:r>
          </w:p>
        </w:tc>
        <w:tc>
          <w:tcPr/>
          <w:p>
            <w:pPr>
              <w:pStyle w:val="Compact"/>
            </w:pPr>
            <w:r>
              <w:t xml:space="preserve">Required behaviour</w:t>
            </w:r>
          </w:p>
        </w:tc>
      </w:tr>
      <w:tr>
        <w:tc>
          <w:tcPr/>
          <w:p>
            <w:pPr>
              <w:pStyle w:val="Compact"/>
            </w:pPr>
            <w:r>
              <w:t xml:space="preserve">F1</w:t>
            </w:r>
          </w:p>
        </w:tc>
        <w:tc>
          <w:tcPr/>
          <w:p>
            <w:pPr>
              <w:pStyle w:val="Compact"/>
            </w:pPr>
            <w:r>
              <w:t xml:space="preserve">Resume Analyzer</w:t>
            </w:r>
          </w:p>
        </w:tc>
        <w:tc>
          <w:tcPr/>
          <w:p>
            <w:pPr>
              <w:pStyle w:val="Compact"/>
            </w:pPr>
            <w:r>
              <w:t xml:space="preserve">Accept a free-text or uploaded resume, return a structured assessment with overall score, per-category sub-scores, identified issues, prioritised actions, and detected strengths.</w:t>
            </w:r>
          </w:p>
        </w:tc>
      </w:tr>
      <w:tr>
        <w:tc>
          <w:tcPr/>
          <w:p>
            <w:pPr>
              <w:pStyle w:val="Compact"/>
            </w:pPr>
            <w:r>
              <w:t xml:space="preserve">F2</w:t>
            </w:r>
          </w:p>
        </w:tc>
        <w:tc>
          <w:tcPr/>
          <w:p>
            <w:pPr>
              <w:pStyle w:val="Compact"/>
            </w:pPr>
            <w:r>
              <w:t xml:space="preserve">Job Match</w:t>
            </w:r>
          </w:p>
        </w:tc>
        <w:tc>
          <w:tcPr/>
          <w:p>
            <w:pPr>
              <w:pStyle w:val="Compact"/>
            </w:pPr>
            <w:r>
              <w:t xml:space="preserve">Accept a resume and a job description (text or URL), return a match score, matched keywords, missing keywords, a recruiter-style verdict, and a list of evidence-grounded action items.</w:t>
            </w:r>
          </w:p>
        </w:tc>
      </w:tr>
      <w:tr>
        <w:tc>
          <w:tcPr/>
          <w:p>
            <w:pPr>
              <w:pStyle w:val="Compact"/>
            </w:pPr>
            <w:r>
              <w:t xml:space="preserve">F3</w:t>
            </w:r>
          </w:p>
        </w:tc>
        <w:tc>
          <w:tcPr/>
          <w:p>
            <w:pPr>
              <w:pStyle w:val="Compact"/>
            </w:pPr>
            <w:r>
              <w:t xml:space="preserve">Career Path</w:t>
            </w:r>
          </w:p>
        </w:tc>
        <w:tc>
          <w:tcPr/>
          <w:p>
            <w:pPr>
              <w:pStyle w:val="Compact"/>
            </w:pPr>
            <w:r>
              <w:t xml:space="preserve">Accept a resume and optional preferences, return a ranked list of suggested career paths with rationale, requisite skills, and a notional progression timeline.</w:t>
            </w:r>
          </w:p>
        </w:tc>
      </w:tr>
      <w:tr>
        <w:tc>
          <w:tcPr/>
          <w:p>
            <w:pPr>
              <w:pStyle w:val="Compact"/>
            </w:pPr>
            <w:r>
              <w:t xml:space="preserve">F4</w:t>
            </w:r>
          </w:p>
        </w:tc>
        <w:tc>
          <w:tcPr/>
          <w:p>
            <w:pPr>
              <w:pStyle w:val="Compact"/>
            </w:pPr>
            <w:r>
              <w:t xml:space="preserve">Cover Letter</w:t>
            </w:r>
          </w:p>
        </w:tc>
        <w:tc>
          <w:tcPr/>
          <w:p>
            <w:pPr>
              <w:pStyle w:val="Compact"/>
            </w:pPr>
            <w:r>
              <w:t xml:space="preserve">Accept a resume and a job description, return a tailored cover letter with explicit structural sections that the user can copy and adapt.</w:t>
            </w:r>
          </w:p>
        </w:tc>
      </w:tr>
      <w:tr>
        <w:tc>
          <w:tcPr/>
          <w:p>
            <w:pPr>
              <w:pStyle w:val="Compact"/>
            </w:pPr>
            <w:r>
              <w:t xml:space="preserve">F5</w:t>
            </w:r>
          </w:p>
        </w:tc>
        <w:tc>
          <w:tcPr/>
          <w:p>
            <w:pPr>
              <w:pStyle w:val="Compact"/>
            </w:pPr>
            <w:r>
              <w:t xml:space="preserve">Interview Q&amp;A</w:t>
            </w:r>
          </w:p>
        </w:tc>
        <w:tc>
          <w:tcPr/>
          <w:p>
            <w:pPr>
              <w:pStyle w:val="Compact"/>
            </w:pPr>
            <w:r>
              <w:t xml:space="preserve">Accept a resume and a job description, return a curated list of likely interview questions clustered by category (behavioural, technical, role-specific), each with a coaching note.</w:t>
            </w:r>
          </w:p>
        </w:tc>
      </w:tr>
      <w:tr>
        <w:tc>
          <w:tcPr/>
          <w:p>
            <w:pPr>
              <w:pStyle w:val="Compact"/>
            </w:pPr>
            <w:r>
              <w:t xml:space="preserve">F6</w:t>
            </w:r>
          </w:p>
        </w:tc>
        <w:tc>
          <w:tcPr/>
          <w:p>
            <w:pPr>
              <w:pStyle w:val="Compact"/>
            </w:pPr>
            <w:r>
              <w:t xml:space="preserve">Portfolio Planner</w:t>
            </w:r>
          </w:p>
        </w:tc>
        <w:tc>
          <w:tcPr/>
          <w:p>
            <w:pPr>
              <w:pStyle w:val="Compact"/>
            </w:pPr>
            <w:r>
              <w:t xml:space="preserve">Accept a resume and a target role, return a prioritised list of skill gaps and concrete artefact ideas (project briefs, contributions, certifications) that would close those gaps.</w:t>
            </w:r>
          </w:p>
        </w:tc>
      </w:tr>
    </w:tbl>
    <w:p>
      <w:pPr>
        <w:pStyle w:val="BodyText"/>
      </w:pPr>
      <w: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pPr>
      <w:r>
        <w:t xml:space="preserve">2.1.2 Non-functional requirements</w:t>
      </w:r>
    </w:p>
    <w:p>
      <w:pPr>
        <w:pStyle w:val="FirstParagraph"/>
      </w:pPr>
      <w:r>
        <w:t xml:space="preserve">The non-functional requirements were derived from the practical constraints of a single-developer, thesis-scoped deployment.</w:t>
      </w:r>
    </w:p>
    <w:p>
      <w:pPr>
        <w:pStyle w:val="Compact"/>
        <w:numPr>
          <w:ilvl w:val="0"/>
          <w:numId w:val="1001"/>
        </w:numPr>
      </w:pPr>
      <w:r>
        <w:rPr>
          <w:b/>
          <w:bCs/>
        </w:rPr>
        <w:t xml:space="preserve">N1 (Latency).</w:t>
      </w:r>
      <w:r>
        <w:t xml:space="preserve"> </w:t>
      </w:r>
      <w:r>
        <w:t xml:space="preserve">Two targets are stated separately because the analytical core supports two scoring modes (Section 4.2.9) whose cost models differ by two orders of magnitude.</w:t>
      </w:r>
    </w:p>
    <w:p>
      <w:pPr>
        <w:pStyle w:val="Compact"/>
        <w:numPr>
          <w:ilvl w:val="1"/>
          <w:numId w:val="1002"/>
        </w:numPr>
      </w:pPr>
      <w:r>
        <w:rPr>
          <w:b/>
          <w:bCs/>
        </w:rPr>
        <w:t xml:space="preserve">N1a (heuristic-only path):</w:t>
      </w:r>
      <w:r>
        <w:t xml:space="preserve"> </w:t>
      </w:r>
      <w:r>
        <w:t xml:space="preserve">end-to-end tool latency at the 95th percentile under nominal load should remain below 50 ms; everything in the path is local string processing on commodity hardware.</w:t>
      </w:r>
    </w:p>
    <w:p>
      <w:pPr>
        <w:pStyle w:val="Compact"/>
        <w:numPr>
          <w:ilvl w:val="1"/>
          <w:numId w:val="1002"/>
        </w:numPr>
      </w:pPr>
      <w:r>
        <w:rPr>
          <w:b/>
          <w:bCs/>
        </w:rPr>
        <w:t xml:space="preserve">N1b (blended LLM path):</w:t>
      </w:r>
      <w:r>
        <w:t xml:space="preserve"> </w:t>
      </w:r>
      <w: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pPr>
      <w:r>
        <w:rPr>
          <w:b/>
          <w:bCs/>
        </w:rPr>
        <w:t xml:space="preserve">N2 (Cost ceiling).</w:t>
      </w:r>
      <w:r>
        <w:t xml:space="preserve"> </w:t>
      </w:r>
      <w: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pPr>
      <w:r>
        <w:rPr>
          <w:b/>
          <w:bCs/>
        </w:rPr>
        <w:t xml:space="preserve">N3 (Availability).</w:t>
      </w:r>
      <w:r>
        <w:t xml:space="preserve"> </w:t>
      </w:r>
      <w:r>
        <w:t xml:space="preserve">A degraded but useful service is preferred over a hard failure. When the LLM call fails or times out, analytical tools (Resume, Job Match) fall back to a heuristic-only response and surface a</w:t>
      </w:r>
      <w:r>
        <w:t xml:space="preserve"> </w:t>
      </w:r>
      <w:r>
        <w:rPr>
          <w:rStyle w:val="VerbatimChar"/>
        </w:rPr>
        <w:t xml:space="preserve">confidence_note</w:t>
      </w:r>
      <w:r>
        <w:t xml:space="preserve"> </w:t>
      </w:r>
      <w:r>
        <w:t xml:space="preserve">to the user. Generative tools (Cover Letter, Interview Q&amp;A) fail loudly with a structured error rather than producing fabricated content.</w:t>
      </w:r>
    </w:p>
    <w:p>
      <w:pPr>
        <w:pStyle w:val="Compact"/>
        <w:numPr>
          <w:ilvl w:val="0"/>
          <w:numId w:val="1001"/>
        </w:numPr>
      </w:pPr>
      <w:r>
        <w:rPr>
          <w:b/>
          <w:bCs/>
        </w:rPr>
        <w:t xml:space="preserve">N4 (Auditability).</w:t>
      </w:r>
      <w:r>
        <w:t xml:space="preserve"> </w:t>
      </w:r>
      <w: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pPr>
      <w:r>
        <w:rPr>
          <w:b/>
          <w:bCs/>
        </w:rPr>
        <w:t xml:space="preserve">N5 (Privacy).</w:t>
      </w:r>
      <w:r>
        <w:t xml:space="preserve"> </w:t>
      </w:r>
      <w: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pPr>
      <w:r>
        <w:rPr>
          <w:b/>
          <w:bCs/>
        </w:rPr>
        <w:t xml:space="preserve">N6 (Single deployment surface).</w:t>
      </w:r>
      <w:r>
        <w:t xml:space="preserve"> </w:t>
      </w:r>
      <w: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pPr>
      <w:r>
        <w:rPr>
          <w:b/>
          <w:bCs/>
        </w:rPr>
        <w:t xml:space="preserve">N7 (Demonstrability).</w:t>
      </w:r>
      <w:r>
        <w:t xml:space="preserve"> </w:t>
      </w:r>
      <w: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pPr>
      <w:r>
        <w:t xml:space="preserve">2.2 Technology stack and rationale</w:t>
      </w:r>
    </w:p>
    <w:p>
      <w:pPr>
        <w:pStyle w:val="FirstParagraph"/>
      </w:pPr>
      <w:r>
        <w:t xml:space="preserve">The technology stack is summarised in Table 2.1.</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Backend framework</w:t>
            </w:r>
          </w:p>
        </w:tc>
        <w:tc>
          <w:tcPr/>
          <w:p>
            <w:pPr>
              <w:pStyle w:val="Compact"/>
            </w:pPr>
            <w:r>
              <w:t xml:space="preserve">FastAPI 0.115</w:t>
            </w:r>
          </w:p>
        </w:tc>
        <w:tc>
          <w:tcPr/>
          <w:p>
            <w:pPr>
              <w:pStyle w:val="Compact"/>
            </w:pPr>
            <w:r>
              <w:t xml:space="preserve">Python-native, asynchronous, automatic OpenAPI generation, Pydantic-driven schema validation.</w:t>
            </w:r>
          </w:p>
        </w:tc>
      </w:tr>
      <w:tr>
        <w:tc>
          <w:tcPr/>
          <w:p>
            <w:pPr>
              <w:pStyle w:val="Compact"/>
            </w:pPr>
            <w:r>
              <w:t xml:space="preserve">ORM and migrations</w:t>
            </w:r>
          </w:p>
        </w:tc>
        <w:tc>
          <w:tcPr/>
          <w:p>
            <w:pPr>
              <w:pStyle w:val="Compact"/>
            </w:pPr>
            <w:r>
              <w:t xml:space="preserve">SQLAlchemy 2.0 + Alembic</w:t>
            </w:r>
          </w:p>
        </w:tc>
        <w:tc>
          <w:tcPr/>
          <w:p>
            <w:pPr>
              <w:pStyle w:val="Compact"/>
            </w:pPr>
            <w:r>
              <w:t xml:space="preserve">Mature, type-safe in 2.0, integrates with FastAPI’s dependency injection.</w:t>
            </w:r>
          </w:p>
        </w:tc>
      </w:tr>
      <w:tr>
        <w:tc>
          <w:tcPr/>
          <w:p>
            <w:pPr>
              <w:pStyle w:val="Compact"/>
            </w:pPr>
            <w:r>
              <w:t xml:space="preserve">Database</w:t>
            </w:r>
          </w:p>
        </w:tc>
        <w:tc>
          <w:tcPr/>
          <w:p>
            <w:pPr>
              <w:pStyle w:val="Compact"/>
            </w:pPr>
            <w:r>
              <w:t xml:space="preserve">PostgreSQL 16 (Railway managed)</w:t>
            </w:r>
          </w:p>
        </w:tc>
        <w:tc>
          <w:tcPr/>
          <w:p>
            <w:pPr>
              <w:pStyle w:val="Compact"/>
            </w:pPr>
            <w:r>
              <w:t xml:space="preserve">Single-node managed Postgres is sufficient for the workload; no sharding required.</w:t>
            </w:r>
          </w:p>
        </w:tc>
      </w:tr>
      <w:tr>
        <w:tc>
          <w:tcPr/>
          <w:p>
            <w:pPr>
              <w:pStyle w:val="Compact"/>
            </w:pPr>
            <w:r>
              <w:t xml:space="preserve">LLM provider</w:t>
            </w:r>
          </w:p>
        </w:tc>
        <w:tc>
          <w:tcPr/>
          <w:p>
            <w:pPr>
              <w:pStyle w:val="Compact"/>
            </w:pPr>
            <w:r>
              <w:t xml:space="preserve">Google Vertex AI Gemini 2.5 Flash</w:t>
            </w:r>
          </w:p>
        </w:tc>
        <w:tc>
          <w:tcPr/>
          <w:p>
            <w:pPr>
              <w:pStyle w:val="Compact"/>
            </w:pPr>
            <w:r>
              <w:t xml:space="preserve">Lowest cost per 1M tokens in the production-quality tier at the time of selection; native asynchronous client; reliable structured-output mode.</w:t>
            </w:r>
          </w:p>
        </w:tc>
      </w:tr>
      <w:tr>
        <w:tc>
          <w:tcPr/>
          <w:p>
            <w:pPr>
              <w:pStyle w:val="Compact"/>
            </w:pPr>
            <w:r>
              <w:t xml:space="preserve">Frontend framework</w:t>
            </w:r>
          </w:p>
        </w:tc>
        <w:tc>
          <w:tcPr/>
          <w:p>
            <w:pPr>
              <w:pStyle w:val="Compact"/>
            </w:pPr>
            <w:r>
              <w:t xml:space="preserve">React 19</w:t>
            </w:r>
          </w:p>
        </w:tc>
        <w:tc>
          <w:tcPr/>
          <w:p>
            <w:pPr>
              <w:pStyle w:val="Compact"/>
            </w:pPr>
            <w:r>
              <w:t xml:space="preserve">Concurrent rendering, automatic batching, and the most mature component ecosystem.</w:t>
            </w:r>
          </w:p>
        </w:tc>
      </w:tr>
      <w:tr>
        <w:tc>
          <w:tcPr/>
          <w:p>
            <w:pPr>
              <w:pStyle w:val="Compact"/>
            </w:pPr>
            <w:r>
              <w:t xml:space="preserve">Routing</w:t>
            </w:r>
          </w:p>
        </w:tc>
        <w:tc>
          <w:tcPr/>
          <w:p>
            <w:pPr>
              <w:pStyle w:val="Compact"/>
            </w:pPr>
            <w:r>
              <w:t xml:space="preserve">TanStack Router via TanStack Start</w:t>
            </w:r>
          </w:p>
        </w:tc>
        <w:tc>
          <w:tcPr/>
          <w:p>
            <w:pPr>
              <w:pStyle w:val="Compact"/>
            </w:pPr>
            <w:r>
              <w:t xml:space="preserve">File-based routes, type-safe links, search-param state co-location.</w:t>
            </w:r>
          </w:p>
        </w:tc>
      </w:tr>
      <w:tr>
        <w:tc>
          <w:tcPr/>
          <w:p>
            <w:pPr>
              <w:pStyle w:val="Compact"/>
            </w:pPr>
            <w:r>
              <w:t xml:space="preserve">Build tool</w:t>
            </w:r>
          </w:p>
        </w:tc>
        <w:tc>
          <w:tcPr/>
          <w:p>
            <w:pPr>
              <w:pStyle w:val="Compact"/>
            </w:pPr>
            <w:r>
              <w:t xml:space="preserve">Vite 7</w:t>
            </w:r>
          </w:p>
        </w:tc>
        <w:tc>
          <w:tcPr/>
          <w:p>
            <w:pPr>
              <w:pStyle w:val="Compact"/>
            </w:pPr>
            <w:r>
              <w:t xml:space="preserve">Sub-second hot module replacement during development.</w:t>
            </w:r>
          </w:p>
        </w:tc>
      </w:tr>
      <w:tr>
        <w:tc>
          <w:tcPr/>
          <w:p>
            <w:pPr>
              <w:pStyle w:val="Compact"/>
            </w:pPr>
            <w:r>
              <w:t xml:space="preserve">Styling</w:t>
            </w:r>
          </w:p>
        </w:tc>
        <w:tc>
          <w:tcPr/>
          <w:p>
            <w:pPr>
              <w:pStyle w:val="Compact"/>
            </w:pPr>
            <w:r>
              <w:t xml:space="preserve">Tailwind 4 + Radix UI primitives</w:t>
            </w:r>
          </w:p>
        </w:tc>
        <w:tc>
          <w:tcPr/>
          <w:p>
            <w:pPr>
              <w:pStyle w:val="Compact"/>
            </w:pPr>
            <w:r>
              <w:t xml:space="preserve">Utility-first CSS without a parallel design-token system; Radix provides accessibility-correct primitives for menus, dialogs, and toggles.</w:t>
            </w:r>
          </w:p>
        </w:tc>
      </w:tr>
      <w:tr>
        <w:tc>
          <w:tcPr/>
          <w:p>
            <w:pPr>
              <w:pStyle w:val="Compact"/>
            </w:pPr>
            <w:r>
              <w:t xml:space="preserve">Animation</w:t>
            </w:r>
          </w:p>
        </w:tc>
        <w:tc>
          <w:tcPr/>
          <w:p>
            <w:pPr>
              <w:pStyle w:val="Compact"/>
            </w:pPr>
            <w:r>
              <w:t xml:space="preserve">Framer Motion</w:t>
            </w:r>
          </w:p>
        </w:tc>
        <w:tc>
          <w:tcPr/>
          <w:p>
            <w:pPr>
              <w:pStyle w:val="Compact"/>
            </w:pPr>
            <w:r>
              <w:t xml:space="preserve">Declarative timeline animations for the input page heroes.</w:t>
            </w:r>
          </w:p>
        </w:tc>
      </w:tr>
      <w:tr>
        <w:tc>
          <w:tcPr/>
          <w:p>
            <w:pPr>
              <w:pStyle w:val="Compact"/>
            </w:pPr>
            <w:r>
              <w:t xml:space="preserve">Authentication</w:t>
            </w:r>
          </w:p>
        </w:tc>
        <w:tc>
          <w:tcPr/>
          <w:p>
            <w:pPr>
              <w:pStyle w:val="Compact"/>
            </w:pPr>
            <w:r>
              <w:t xml:space="preserve">JWT in HttpOnly cookies + Google OAuth (authlib)</w:t>
            </w:r>
          </w:p>
        </w:tc>
        <w:tc>
          <w:tcPr/>
          <w:p>
            <w:pPr>
              <w:pStyle w:val="Compact"/>
            </w:pPr>
            <w:r>
              <w:t xml:space="preserve">No client-readable tokens; standard refresh-rotation pattern.</w:t>
            </w:r>
          </w:p>
        </w:tc>
      </w:tr>
      <w:tr>
        <w:tc>
          <w:tcPr/>
          <w:p>
            <w:pPr>
              <w:pStyle w:val="Compact"/>
            </w:pPr>
            <w:r>
              <w:t xml:space="preserve">Transactional email</w:t>
            </w:r>
          </w:p>
        </w:tc>
        <w:tc>
          <w:tcPr/>
          <w:p>
            <w:pPr>
              <w:pStyle w:val="Compact"/>
            </w:pPr>
            <w:r>
              <w:t xml:space="preserve">Resend</w:t>
            </w:r>
          </w:p>
        </w:tc>
        <w:tc>
          <w:tcPr/>
          <w:p>
            <w:pPr>
              <w:pStyle w:val="Compact"/>
            </w:pPr>
            <w:r>
              <w:t xml:space="preserve">Used only for password-reset emails (no welcome or marketing email is sent in V1).</w:t>
            </w:r>
          </w:p>
        </w:tc>
      </w:tr>
      <w:tr>
        <w:tc>
          <w:tcPr/>
          <w:p>
            <w:pPr>
              <w:pStyle w:val="Compact"/>
            </w:pPr>
            <w:r>
              <w:t xml:space="preserve">Hosting</w:t>
            </w:r>
          </w:p>
        </w:tc>
        <w:tc>
          <w:tcPr/>
          <w:p>
            <w:pPr>
              <w:pStyle w:val="Compact"/>
            </w:pPr>
            <w:r>
              <w:t xml:space="preserve">Railway (backend, frontend, Postgres)</w:t>
            </w:r>
          </w:p>
        </w:tc>
        <w:tc>
          <w:tcPr/>
          <w:p>
            <w:pPr>
              <w:pStyle w:val="Compact"/>
            </w:pPr>
            <w:r>
              <w:t xml:space="preserve">Single dashboard, single billing relationship, native GitHub deploy hooks.</w:t>
            </w:r>
          </w:p>
        </w:tc>
      </w:tr>
      <w:tr>
        <w:tc>
          <w:tcPr/>
          <w:p>
            <w:pPr>
              <w:pStyle w:val="Compact"/>
            </w:pPr>
            <w:r>
              <w:t xml:space="preserve">Observability</w:t>
            </w:r>
          </w:p>
        </w:tc>
        <w:tc>
          <w:tcPr/>
          <w:p>
            <w:pPr>
              <w:pStyle w:val="Compact"/>
            </w:pPr>
            <w:r>
              <w:t xml:space="preserve">Railway built-in metrics + Sentry free tier</w:t>
            </w:r>
          </w:p>
        </w:tc>
        <w:tc>
          <w:tcPr/>
          <w:p>
            <w:pPr>
              <w:pStyle w:val="Compact"/>
            </w:pPr>
            <w:r>
              <w:t xml:space="preserve">Sufficient for thesis-scope traffic; can be extended to a paid tier without code changes.</w:t>
            </w:r>
          </w:p>
        </w:tc>
      </w:tr>
    </w:tbl>
    <w:p>
      <w:pPr>
        <w:pStyle w:val="BodyText"/>
      </w:pPr>
      <w:r>
        <w:t xml:space="preserve">Two stack decisions deserve explicit defence because either could plausibly have been made differently.</w:t>
      </w:r>
    </w:p>
    <w:p>
      <w:pPr>
        <w:pStyle w:val="BodyText"/>
      </w:pPr>
      <w:r>
        <w:rPr>
          <w:b/>
          <w:bCs/>
        </w:rPr>
        <w:t xml:space="preserve">Why FastAPI rather than a Node/TypeScript backend.</w:t>
      </w:r>
      <w:r>
        <w:t xml:space="preserve"> </w:t>
      </w:r>
      <w: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(Python’s</w:t>
      </w:r>
      <w:r>
        <w:t xml:space="preserve"> </w:t>
      </w:r>
      <w:r>
        <w:rPr>
          <w:rStyle w:val="VerbatimChar"/>
        </w:rPr>
        <w:t xml:space="preserve">re</w:t>
      </w:r>
      <w:r>
        <w:t xml:space="preserve">,</w:t>
      </w:r>
      <w:r>
        <w:t xml:space="preserve"> </w:t>
      </w:r>
      <w:r>
        <w:rPr>
          <w:rStyle w:val="VerbatimChar"/>
        </w:rPr>
        <w:t xml:space="preserve">difflib</w:t>
      </w:r>
      <w:r>
        <w:t xml:space="preserve">,</w:t>
      </w:r>
      <w:r>
        <w:t xml:space="preserve"> </w:t>
      </w:r>
      <w:r>
        <w:rPr>
          <w:rStyle w:val="VerbatimChar"/>
        </w:rPr>
        <w:t xml:space="preserve">unicodedata</w:t>
      </w:r>
      <w:r>
        <w:t xml:space="preserve">, and the optional</w:t>
      </w:r>
      <w:r>
        <w:t xml:space="preserve"> </w:t>
      </w:r>
      <w:r>
        <w:rPr>
          <w:rStyle w:val="VerbatimChar"/>
        </w:rPr>
        <w:t xml:space="preserve">rapidfuzz</w:t>
      </w:r>
      <w:r>
        <w:t xml:space="preserve"> </w:t>
      </w:r>
      <w:r>
        <w:t xml:space="preserve">and</w:t>
      </w:r>
      <w:r>
        <w:t xml:space="preserve"> </w:t>
      </w:r>
      <w:r>
        <w:rPr>
          <w:rStyle w:val="VerbatimChar"/>
        </w:rPr>
        <w:t xml:space="preserve">scikit-learn</w:t>
      </w:r>
      <w:r>
        <w:t xml:space="preserve"> </w:t>
      </w:r>
      <w:r>
        <w:t xml:space="preserve">ecosystems available if the heuristic is later extended)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pPr>
      <w:r>
        <w:rPr>
          <w:b/>
          <w:bCs/>
        </w:rPr>
        <w:t xml:space="preserve">Why TanStack Start rather than Next.js.</w:t>
      </w:r>
      <w:r>
        <w:t xml:space="preserve"> </w:t>
      </w:r>
      <w: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pPr>
      <w: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t xml:space="preserve"> </w:t>
      </w:r>
      <w:r>
        <w:rPr>
          <w:rStyle w:val="VerbatimChar"/>
        </w:rPr>
        <w:t xml:space="preserve">tool_/result/$historyId.tsx</w:t>
      </w:r>
      <w:r>
        <w:t xml:space="preserve"> </w:t>
      </w:r>
      <w:r>
        <w:t xml:space="preserve">would have required substantially more glue in a Next.js setup.</w:t>
      </w:r>
    </w:p>
    <w:bookmarkEnd w:id="27"/>
    <w:bookmarkStart w:id="38" w:name="backend-architecture"/>
    <w:p>
      <w:pPr>
        <w:pStyle w:val="Heading2"/>
      </w:pPr>
      <w:r>
        <w:t xml:space="preserve">2.3 Backend architecture</w:t>
      </w:r>
    </w:p>
    <w:p>
      <w:pPr>
        <w:pStyle w:val="FirstParagraph"/>
      </w:pPr>
      <w:r>
        <w:t xml:space="preserve">The backend is structured in four horizontal layers (Figure 2.1).</w:t>
      </w:r>
    </w:p>
    <w:p>
      <w:pPr>
        <w:pStyle w:val="CaptionedFigure"/>
      </w:pPr>
      <w:r>
        <w:drawing>
          <wp:inline>
            <wp:extent cx="5334000" cy="3769267"/>
            <wp:effectExtent b="0" l="0" r="0" t="0"/>
            <wp:docPr descr="Figure 2.1: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figure-2-1-architecture.png" id="30" name="Picture"/>
                    <pic:cNvPicPr>
                      <a:picLocks noChangeArrowheads="1" noChangeAspect="1"/>
                    </pic:cNvPicPr>
                  </pic:nvPicPr>
                  <pic:blipFill>
                    <a:blip r:embed="rId28"/>
                    <a:stretch>
                      <a:fillRect/>
                    </a:stretch>
                  </pic:blipFill>
                  <pic:spPr bwMode="auto">
                    <a:xfrm>
                      <a:off x="0" y="0"/>
                      <a:ext cx="5334000" cy="3769267"/>
                    </a:xfrm>
                    <a:prstGeom prst="rect">
                      <a:avLst/>
                    </a:prstGeom>
                    <a:noFill/>
                    <a:ln w="9525">
                      <a:noFill/>
                      <a:headEnd/>
                      <a:tailEnd/>
                    </a:ln>
                  </pic:spPr>
                </pic:pic>
              </a:graphicData>
            </a:graphic>
          </wp:inline>
        </w:drawing>
      </w:r>
    </w:p>
    <w:p>
      <w:pPr>
        <w:pStyle w:val="ImageCaption"/>
      </w:pPr>
      <w:r>
        <w:t xml:space="preserve">Figure 2.1: Backend layered architecture. The FastAPI surface (routers and schemas) delegates to a service layer that runs every analytical tool through the shared</w:t>
      </w:r>
      <w:r>
        <w:t xml:space="preserve"> </w:t>
      </w:r>
      <w:r>
        <w:rPr>
          <w:rStyle w:val="VerbatimChar"/>
        </w:rPr>
        <w:t xml:space="preserve">run_tool_pipeline</w:t>
      </w:r>
      <w:r>
        <w:t xml:space="preserve">, which in turn invokes the heuristic prepass, the LLM gateway (Vertex AI Gemini 2.5 Flash via</w:t>
      </w:r>
      <w:r>
        <w:t xml:space="preserve"> </w:t>
      </w:r>
      <w:r>
        <w:rPr>
          <w:rStyle w:val="VerbatimChar"/>
        </w:rPr>
        <w:t xml:space="preserve">ai_client.py</w:t>
      </w:r>
      <w:r>
        <w:t xml:space="preserve">), and the persistence layer (SQLAlchemy 2.0 + Alembic over PostgreSQL).</w:t>
      </w:r>
    </w:p>
    <w:bookmarkStart w:id="31" w:name="routers"/>
    <w:p>
      <w:pPr>
        <w:pStyle w:val="Heading3"/>
      </w:pPr>
      <w:r>
        <w:t xml:space="preserve">2.3.1 Routers</w:t>
      </w:r>
    </w:p>
    <w:p>
      <w:pPr>
        <w:pStyle w:val="FirstParagraph"/>
      </w:pPr>
      <w:r>
        <w:t xml:space="preserve">Each domain has its own router file in</w:t>
      </w:r>
      <w:r>
        <w:t xml:space="preserve"> </w:t>
      </w:r>
      <w:r>
        <w:rPr>
          <w:rStyle w:val="VerbatimChar"/>
        </w:rPr>
        <w:t xml:space="preserve">app/routers/</w:t>
      </w:r>
      <w:r>
        <w:t xml:space="preserve">:</w:t>
      </w:r>
      <w:r>
        <w:t xml:space="preserve"> </w:t>
      </w:r>
      <w:r>
        <w:rPr>
          <w:rStyle w:val="VerbatimChar"/>
        </w:rPr>
        <w:t xml:space="preserve">auth</w:t>
      </w:r>
      <w:r>
        <w:t xml:space="preserve">,</w:t>
      </w:r>
      <w:r>
        <w:t xml:space="preserve"> </w:t>
      </w:r>
      <w:r>
        <w:rPr>
          <w:rStyle w:val="VerbatimChar"/>
        </w:rPr>
        <w:t xml:space="preserve">google_auth</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career</w:t>
      </w:r>
      <w:r>
        <w:t xml:space="preserve">,</w:t>
      </w:r>
      <w:r>
        <w:t xml:space="preserve"> </w:t>
      </w:r>
      <w:r>
        <w:rPr>
          <w:rStyle w:val="VerbatimChar"/>
        </w:rPr>
        <w:t xml:space="preserve">cover_letter</w:t>
      </w:r>
      <w:r>
        <w:t xml:space="preserve">,</w:t>
      </w:r>
      <w:r>
        <w:t xml:space="preserve"> </w:t>
      </w:r>
      <w:r>
        <w:rPr>
          <w:rStyle w:val="VerbatimChar"/>
        </w:rPr>
        <w:t xml:space="preserve">interview</w:t>
      </w:r>
      <w:r>
        <w:t xml:space="preserve">,</w:t>
      </w:r>
      <w:r>
        <w:t xml:space="preserve"> </w:t>
      </w:r>
      <w:r>
        <w:rPr>
          <w:rStyle w:val="VerbatimChar"/>
        </w:rPr>
        <w:t xml:space="preserve">portfolio</w:t>
      </w:r>
      <w:r>
        <w:t xml:space="preserve">,</w:t>
      </w:r>
      <w:r>
        <w:t xml:space="preserve"> </w:t>
      </w:r>
      <w:r>
        <w:rPr>
          <w:rStyle w:val="VerbatimChar"/>
        </w:rPr>
        <w:t xml:space="preserve">history</w:t>
      </w:r>
      <w:r>
        <w:t xml:space="preserve">,</w:t>
      </w:r>
      <w:r>
        <w:t xml:space="preserve"> </w:t>
      </w:r>
      <w:r>
        <w:rPr>
          <w:rStyle w:val="VerbatimChar"/>
        </w:rPr>
        <w:t xml:space="preserve">files</w:t>
      </w:r>
      <w:r>
        <w:t xml:space="preserve">,</w:t>
      </w:r>
      <w:r>
        <w:t xml:space="preserve"> </w:t>
      </w:r>
      <w:r>
        <w:rPr>
          <w:rStyle w:val="VerbatimChar"/>
        </w:rPr>
        <w:t xml:space="preserve">admin</w:t>
      </w:r>
      <w:r>
        <w:t xml:space="preserve">,</w:t>
      </w:r>
      <w:r>
        <w:t xml:space="preserve"> </w:t>
      </w:r>
      <w:r>
        <w:rPr>
          <w:rStyle w:val="VerbatimChar"/>
        </w:rPr>
        <w:t xml:space="preserve">health</w:t>
      </w:r>
      <w:r>
        <w:t xml:space="preserve">, and</w:t>
      </w:r>
      <w:r>
        <w:t xml:space="preserve"> </w:t>
      </w:r>
      <w:r>
        <w:rPr>
          <w:rStyle w:val="VerbatimChar"/>
        </w:rPr>
        <w:t xml:space="preserve">telemetry</w:t>
      </w:r>
      <w:r>
        <w:t xml:space="preserve">. All routers are mounted under the API prefix</w:t>
      </w:r>
      <w:r>
        <w:t xml:space="preserve"> </w:t>
      </w:r>
      <w:r>
        <w:rPr>
          <w:rStyle w:val="VerbatimChar"/>
        </w:rPr>
        <w:t xml:space="preserve">/api/v1</w:t>
      </w:r>
      <w:r>
        <w:t xml:space="preserve">. Routers are deliberately thin: they parse and validate the request body via the corresponding Pydantic schema, resolve dependencies (current user, database session), invoke the relevant service function, and return the response.</w:t>
      </w:r>
    </w:p>
    <w:bookmarkEnd w:id="31"/>
    <w:bookmarkStart w:id="35" w:name="the-shared-tool-pipeline"/>
    <w:p>
      <w:pPr>
        <w:pStyle w:val="Heading3"/>
      </w:pPr>
      <w:r>
        <w:t xml:space="preserve">2.3.2 The shared tool pipeline</w:t>
      </w:r>
    </w:p>
    <w:p>
      <w:pPr>
        <w:pStyle w:val="FirstParagraph"/>
      </w:pPr>
      <w:r>
        <w:t xml:space="preserve">The six functional tools share a single cross-cutting pipeline implemented in</w:t>
      </w:r>
      <w:r>
        <w:t xml:space="preserve"> </w:t>
      </w:r>
      <w:r>
        <w:rPr>
          <w:rStyle w:val="VerbatimChar"/>
        </w:rPr>
        <w:t xml:space="preserve">services/tool_pipeline.py</w:t>
      </w:r>
      <w:r>
        <w:t xml:space="preserve"> </w:t>
      </w:r>
      <w:r>
        <w:t xml:space="preserve">and exposed as the asynchronous function</w:t>
      </w:r>
      <w:r>
        <w:t xml:space="preserve"> </w:t>
      </w:r>
      <w:r>
        <w:rPr>
          <w:rStyle w:val="VerbatimChar"/>
        </w:rPr>
        <w:t xml:space="preserve">run_tool_pipeline(...)</w:t>
      </w:r>
      <w:r>
        <w:t xml:space="preserve">. Every tool router invokes this pipeline rather than calling the tool service directly. The pipeline has six stages, executed in order (Figure 2.2):</w:t>
      </w:r>
    </w:p>
    <w:p>
      <w:pPr>
        <w:pStyle w:val="Compact"/>
        <w:numPr>
          <w:ilvl w:val="0"/>
          <w:numId w:val="1003"/>
        </w:numPr>
      </w:pPr>
      <w:r>
        <w:rPr>
          <w:b/>
          <w:bCs/>
        </w:rPr>
        <w:t xml:space="preserve">Sanitise.</w:t>
      </w:r>
      <w:r>
        <w:t xml:space="preserve"> </w:t>
      </w:r>
      <w:r>
        <w:t xml:space="preserve">The resume text, the job description (if any), and any feedback string are passed through</w:t>
      </w:r>
      <w:r>
        <w:t xml:space="preserve"> </w:t>
      </w:r>
      <w:r>
        <w:rPr>
          <w:rStyle w:val="VerbatimChar"/>
        </w:rPr>
        <w:t xml:space="preserve">sanitize_user_input</w:t>
      </w:r>
      <w:r>
        <w:t xml:space="preserve">, which strips control characters, normalises whitespace, and bounds the input length. This is a defence-in-depth measure against prompt-injection-style payloads embedded in resumes.</w:t>
      </w:r>
    </w:p>
    <w:p>
      <w:pPr>
        <w:pStyle w:val="Compact"/>
        <w:numPr>
          <w:ilvl w:val="0"/>
          <w:numId w:val="1003"/>
        </w:numPr>
      </w:pPr>
      <w:r>
        <w:rPr>
          <w:b/>
          <w:bCs/>
        </w:rPr>
        <w:t xml:space="preserve">Cache lookup.</w:t>
      </w:r>
      <w:r>
        <w:t xml:space="preserve"> </w:t>
      </w:r>
      <w: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pPr>
      <w:r>
        <w:rPr>
          <w:b/>
          <w:bCs/>
        </w:rPr>
        <w:t xml:space="preserve">Service call.</w:t>
      </w:r>
      <w:r>
        <w:t xml:space="preserve"> </w:t>
      </w:r>
      <w:r>
        <w:t xml:space="preserve">The tool-specific service function is invoked. Each tool service is a coroutine that returns a fully populated response dictionary.</w:t>
      </w:r>
    </w:p>
    <w:p>
      <w:pPr>
        <w:pStyle w:val="Compact"/>
        <w:numPr>
          <w:ilvl w:val="0"/>
          <w:numId w:val="1003"/>
        </w:numPr>
      </w:pPr>
      <w:r>
        <w:rPr>
          <w:b/>
          <w:bCs/>
        </w:rPr>
        <w:t xml:space="preserve">Persistence.</w:t>
      </w:r>
      <w:r>
        <w:t xml:space="preserve"> </w:t>
      </w:r>
      <w:r>
        <w:t xml:space="preserve">The result is persisted as a</w:t>
      </w:r>
      <w:r>
        <w:t xml:space="preserve"> </w:t>
      </w:r>
      <w:r>
        <w:rPr>
          <w:rStyle w:val="VerbatimChar"/>
        </w:rPr>
        <w:t xml:space="preserve">ToolRun</w:t>
      </w:r>
      <w:r>
        <w:t xml:space="preserve"> </w:t>
      </w:r>
      <w: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pPr>
      <w:r>
        <w:rPr>
          <w:b/>
          <w:bCs/>
        </w:rPr>
        <w:t xml:space="preserve">Response assembly.</w:t>
      </w:r>
      <w:r>
        <w:t xml:space="preserve"> </w:t>
      </w:r>
      <w:r>
        <w:t xml:space="preserve">A unified response shape is built from the persisted record, including the history identifier and the access mode.</w:t>
      </w:r>
    </w:p>
    <w:p>
      <w:pPr>
        <w:pStyle w:val="Compact"/>
        <w:numPr>
          <w:ilvl w:val="0"/>
          <w:numId w:val="1003"/>
        </w:numPr>
      </w:pPr>
      <w:r>
        <w:rPr>
          <w:b/>
          <w:bCs/>
        </w:rPr>
        <w:t xml:space="preserve">Observability.</w:t>
      </w:r>
      <w:r>
        <w:t xml:space="preserve"> </w:t>
      </w:r>
      <w: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pPr>
      <w:r>
        <w:drawing>
          <wp:inline>
            <wp:extent cx="5334000" cy="1274352"/>
            <wp:effectExtent b="0" l="0" r="0" t="0"/>
            <wp:docPr descr="Figure 2.2: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figure-2-2-pipeline.png" id="34" name="Picture"/>
                    <pic:cNvPicPr>
                      <a:picLocks noChangeArrowheads="1" noChangeAspect="1"/>
                    </pic:cNvPicPr>
                  </pic:nvPicPr>
                  <pic:blipFill>
                    <a:blip r:embed="rId32"/>
                    <a:stretch>
                      <a:fillRect/>
                    </a:stretch>
                  </pic:blipFill>
                  <pic:spPr bwMode="auto">
                    <a:xfrm>
                      <a:off x="0" y="0"/>
                      <a:ext cx="5334000" cy="1274352"/>
                    </a:xfrm>
                    <a:prstGeom prst="rect">
                      <a:avLst/>
                    </a:prstGeom>
                    <a:noFill/>
                    <a:ln w="9525">
                      <a:noFill/>
                      <a:headEnd/>
                      <a:tailEnd/>
                    </a:ln>
                  </pic:spPr>
                </pic:pic>
              </a:graphicData>
            </a:graphic>
          </wp:inline>
        </w:drawing>
      </w:r>
    </w:p>
    <w:p>
      <w:pPr>
        <w:pStyle w:val="ImageCaption"/>
      </w:pPr>
      <w:r>
        <w:t xml:space="preserve">Figure 2.2: Tool pipeline (</w:t>
      </w:r>
      <w:r>
        <w:rPr>
          <w:rStyle w:val="VerbatimChar"/>
        </w:rPr>
        <w:t xml:space="preserve">run_tool_pipeline</w:t>
      </w:r>
      <w: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pPr>
      <w: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pPr>
      <w: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t xml:space="preserve"> </w:t>
      </w:r>
      <w:r>
        <w:rPr>
          <w:rStyle w:val="VerbatimChar"/>
        </w:rPr>
        <w:t xml:space="preserve">run_tool_pipeline</w:t>
      </w:r>
      <w:r>
        <w:t xml:space="preserve">. That refactor is small in lines but is the single architectural change that has saved the most engineering effort across the project.</w:t>
      </w:r>
    </w:p>
    <w:bookmarkEnd w:id="35"/>
    <w:bookmarkStart w:id="36" w:name="tool-services-and-prompt-builders"/>
    <w:p>
      <w:pPr>
        <w:pStyle w:val="Heading3"/>
      </w:pPr>
      <w:r>
        <w:t xml:space="preserve">2.3.3 Tool services and prompt builders</w:t>
      </w:r>
    </w:p>
    <w:p>
      <w:pPr>
        <w:pStyle w:val="FirstParagraph"/>
      </w:pPr>
      <w:r>
        <w:t xml:space="preserve">The body of each tool’s logic lives in two files: a service module (</w:t>
      </w:r>
      <w:r>
        <w:rPr>
          <w:rStyle w:val="VerbatimChar"/>
        </w:rPr>
        <w:t xml:space="preserve">services/&lt;tool&gt;_*.py</w:t>
      </w:r>
      <w:r>
        <w:t xml:space="preserve">) and a prompt module (</w:t>
      </w:r>
      <w:r>
        <w:rPr>
          <w:rStyle w:val="VerbatimChar"/>
        </w:rPr>
        <w:t xml:space="preserve">prompts/&lt;tool&gt;.py</w:t>
      </w:r>
      <w:r>
        <w:t xml:space="preserve">). The service module orchestrates the heuristic prepass, builds the prompt by delegating to the prompt module, calls</w:t>
      </w:r>
      <w:r>
        <w:t xml:space="preserve"> </w:t>
      </w:r>
      <w:r>
        <w:rPr>
          <w:rStyle w:val="VerbatimChar"/>
        </w:rPr>
        <w:t xml:space="preserve">complete_structured</w:t>
      </w:r>
      <w:r>
        <w:t xml:space="preserve"> </w:t>
      </w:r>
      <w:r>
        <w:t xml:space="preserve">from</w:t>
      </w:r>
      <w:r>
        <w:t xml:space="preserve"> </w:t>
      </w:r>
      <w:r>
        <w:rPr>
          <w:rStyle w:val="VerbatimChar"/>
        </w:rPr>
        <w:t xml:space="preserve">services/ai_client.py</w:t>
      </w:r>
      <w:r>
        <w:t xml:space="preserve"> </w:t>
      </w:r>
      <w:r>
        <w:t xml:space="preserve">to obtain a validated JSON response from Gemini, and post-processes the result. The prompt module is responsible only for assembling the</w:t>
      </w:r>
      <w:r>
        <w:t xml:space="preserve"> </w:t>
      </w:r>
      <w:r>
        <w:rPr>
          <w:rStyle w:val="VerbatimChar"/>
        </w:rPr>
        <w:t xml:space="preserve">system</w:t>
      </w:r>
      <w:r>
        <w:t xml:space="preserve"> </w:t>
      </w:r>
      <w:r>
        <w:t xml:space="preserve">and</w:t>
      </w:r>
      <w:r>
        <w:t xml:space="preserve"> </w:t>
      </w:r>
      <w:r>
        <w:rPr>
          <w:rStyle w:val="VerbatimChar"/>
        </w:rPr>
        <w:t xml:space="preserve">user</w:t>
      </w:r>
      <w:r>
        <w:t xml:space="preserve"> </w:t>
      </w:r>
      <w:r>
        <w:t xml:space="preserve">messages from the inputs and the heuristic prepass. Splitting these responsibilities keeps the prompt content under version control without coupling it to the service-orchestration code.</w:t>
      </w:r>
    </w:p>
    <w:bookmarkEnd w:id="36"/>
    <w:bookmarkStart w:id="37" w:name="the-heuristic-prepass"/>
    <w:p>
      <w:pPr>
        <w:pStyle w:val="Heading3"/>
      </w:pPr>
      <w:r>
        <w:t xml:space="preserve">2.3.4 The heuristic prepass</w:t>
      </w:r>
    </w:p>
    <w:p>
      <w:pPr>
        <w:pStyle w:val="FirstParagraph"/>
      </w:pPr>
      <w:r>
        <w:t xml:space="preserve">For tools that produce a numerical score (Resume Analyzer and Job Match)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t xml:space="preserve"> </w:t>
      </w:r>
      <w:r>
        <w:rPr>
          <w:i/>
          <w:iCs/>
        </w:rPr>
        <w:t xml:space="preserve">locked payload</w:t>
      </w:r>
      <w: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7"/>
    <w:bookmarkEnd w:id="38"/>
    <w:bookmarkStart w:id="42" w:name="frontend-architecture"/>
    <w:p>
      <w:pPr>
        <w:pStyle w:val="Heading2"/>
      </w:pPr>
      <w:r>
        <w:t xml:space="preserve">2.4 Frontend architecture</w:t>
      </w:r>
    </w:p>
    <w:p>
      <w:pPr>
        <w:pStyle w:val="FirstParagraph"/>
      </w:pPr>
      <w:r>
        <w:t xml:space="preserve">The frontend is a single-page application served from a Railway service that lives in the same Railway project as the backend service; both share one external hostname through path-based routing (the backend handles</w:t>
      </w:r>
      <w:r>
        <w:t xml:space="preserve"> </w:t>
      </w:r>
      <w:r>
        <w:rPr>
          <w:rStyle w:val="VerbatimChar"/>
        </w:rPr>
        <w:t xml:space="preserve">/api/*</w:t>
      </w:r>
      <w:r>
        <w:t xml:space="preserve">, the frontend handles everything else). The deployment topology is described in detail in Section 2.7.</w:t>
      </w:r>
    </w:p>
    <w:bookmarkStart w:id="39" w:name="route-structure"/>
    <w:p>
      <w:pPr>
        <w:pStyle w:val="Heading3"/>
      </w:pPr>
      <w:r>
        <w:t xml:space="preserve">2.4.1 Route structure</w:t>
      </w:r>
    </w:p>
    <w:p>
      <w:pPr>
        <w:pStyle w:val="FirstParagraph"/>
      </w:pPr>
      <w:r>
        <w:t xml:space="preserve">Routes live in</w:t>
      </w:r>
      <w:r>
        <w:t xml:space="preserve"> </w:t>
      </w:r>
      <w:r>
        <w:rPr>
          <w:rStyle w:val="VerbatimChar"/>
        </w:rPr>
        <w:t xml:space="preserve">frontend/src/routes/</w:t>
      </w:r>
      <w:r>
        <w:t xml:space="preserve"> </w:t>
      </w:r>
      <w:r>
        <w:t xml:space="preserve">and are file-based. The route tree is generated at build time by TanStack Router. Each tool has a pair of routes:</w:t>
      </w:r>
    </w:p>
    <w:p>
      <w:pPr>
        <w:pStyle w:val="Compact"/>
        <w:numPr>
          <w:ilvl w:val="0"/>
          <w:numId w:val="1004"/>
        </w:numPr>
      </w:pPr>
      <w:r>
        <w:t xml:space="preserve">An</w:t>
      </w:r>
      <w:r>
        <w:t xml:space="preserve"> </w:t>
      </w:r>
      <w:r>
        <w:rPr>
          <w:i/>
          <w:iCs/>
        </w:rPr>
        <w:t xml:space="preserve">input</w:t>
      </w:r>
      <w:r>
        <w:t xml:space="preserve"> </w:t>
      </w:r>
      <w:r>
        <w:t xml:space="preserve">route at</w:t>
      </w:r>
      <w:r>
        <w:t xml:space="preserve"> </w:t>
      </w:r>
      <w:r>
        <w:rPr>
          <w:rStyle w:val="VerbatimChar"/>
        </w:rPr>
        <w:t xml:space="preserve">/&lt;tool&gt;</w:t>
      </w:r>
      <w:r>
        <w:t xml:space="preserve"> </w:t>
      </w:r>
      <w:r>
        <w:t xml:space="preserve">(for example,</w:t>
      </w:r>
      <w:r>
        <w:t xml:space="preserve"> </w:t>
      </w:r>
      <w:r>
        <w:rPr>
          <w:rStyle w:val="VerbatimChar"/>
        </w:rPr>
        <w:t xml:space="preserve">/resume</w:t>
      </w:r>
      <w:r>
        <w:t xml:space="preserve">,</w:t>
      </w:r>
      <w:r>
        <w:t xml:space="preserve"> </w:t>
      </w:r>
      <w:r>
        <w:rPr>
          <w:rStyle w:val="VerbatimChar"/>
        </w:rPr>
        <w:t xml:space="preserve">/job-match</w:t>
      </w:r>
      <w:r>
        <w:t xml:space="preserve">); this workspace page contains the resume input, the job-description input where applicable, and per-tool animation, copy, and chips.</w:t>
      </w:r>
    </w:p>
    <w:p>
      <w:pPr>
        <w:pStyle w:val="Compact"/>
        <w:numPr>
          <w:ilvl w:val="0"/>
          <w:numId w:val="1004"/>
        </w:numPr>
      </w:pPr>
      <w:r>
        <w:t xml:space="preserve">A</w:t>
      </w:r>
      <w:r>
        <w:t xml:space="preserve"> </w:t>
      </w:r>
      <w:r>
        <w:rPr>
          <w:i/>
          <w:iCs/>
        </w:rPr>
        <w:t xml:space="preserve">result</w:t>
      </w:r>
      <w:r>
        <w:t xml:space="preserve"> </w:t>
      </w:r>
      <w:r>
        <w:t xml:space="preserve">route at</w:t>
      </w:r>
      <w:r>
        <w:t xml:space="preserve"> </w:t>
      </w:r>
      <w:r>
        <w:rPr>
          <w:rStyle w:val="VerbatimChar"/>
        </w:rPr>
        <w:t xml:space="preserve">/&lt;tool&gt;_/result/$historyId</w:t>
      </w:r>
      <w:r>
        <w:t xml:space="preserve">, the page rendered after a tool run completes. The route segment</w:t>
      </w:r>
      <w:r>
        <w:t xml:space="preserve"> </w:t>
      </w:r>
      <w:r>
        <w:rPr>
          <w:rStyle w:val="VerbatimChar"/>
        </w:rPr>
        <w:t xml:space="preserve">_/</w:t>
      </w:r>
      <w:r>
        <w:t xml:space="preserve"> </w:t>
      </w:r>
      <w:r>
        <w:t xml:space="preserve">declares a layout split, and the dynamic segment</w:t>
      </w:r>
      <w:r>
        <w:t xml:space="preserve"> </w:t>
      </w:r>
      <w:r>
        <w:rPr>
          <w:rStyle w:val="VerbatimChar"/>
        </w:rPr>
        <w:t xml:space="preserve">$historyId</w:t>
      </w:r>
      <w:r>
        <w:t xml:space="preserve"> </w:t>
      </w:r>
      <w:r>
        <w:t xml:space="preserve">is the persistent identifier of the</w:t>
      </w:r>
      <w:r>
        <w:t xml:space="preserve"> </w:t>
      </w:r>
      <w:r>
        <w:rPr>
          <w:rStyle w:val="VerbatimChar"/>
        </w:rPr>
        <w:t xml:space="preserve">ToolRun</w:t>
      </w:r>
      <w:r>
        <w:t xml:space="preserve"> </w:t>
      </w:r>
      <w:r>
        <w:t xml:space="preserve">record on the backend.</w:t>
      </w:r>
    </w:p>
    <w:p>
      <w:pPr>
        <w:pStyle w:val="FirstParagraph"/>
      </w:pPr>
      <w:r>
        <w:t xml:space="preserve">In addition, routes exist for the dashboard, account settings, login, password reset, history, and the small admin surface introduced in Chapter 4.</w:t>
      </w:r>
    </w:p>
    <w:bookmarkEnd w:id="39"/>
    <w:bookmarkStart w:id="40" w:name="state-management"/>
    <w:p>
      <w:pPr>
        <w:pStyle w:val="Heading3"/>
      </w:pPr>
      <w:r>
        <w:t xml:space="preserve">2.4.2 State management</w:t>
      </w:r>
    </w:p>
    <w:p>
      <w:pPr>
        <w:pStyle w:val="FirstParagraph"/>
      </w:pPr>
      <w:r>
        <w:t xml:space="preserve">Application state is partitioned into three scopes.</w:t>
      </w:r>
    </w:p>
    <w:p>
      <w:pPr>
        <w:pStyle w:val="Compact"/>
        <w:numPr>
          <w:ilvl w:val="0"/>
          <w:numId w:val="1005"/>
        </w:numPr>
      </w:pPr>
      <w:r>
        <w:rPr>
          <w:b/>
          <w:bCs/>
        </w:rPr>
        <w:t xml:space="preserve">Server state</w:t>
      </w:r>
      <w:r>
        <w:t xml:space="preserve"> </w:t>
      </w:r>
      <w:r>
        <w:t xml:space="preserve">(anything that originates from the backend)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pPr>
      <w:r>
        <w:rPr>
          <w:b/>
          <w:bCs/>
        </w:rPr>
        <w:t xml:space="preserve">Workflow state</w:t>
      </w:r>
      <w:r>
        <w:t xml:space="preserve"> </w:t>
      </w:r>
      <w:r>
        <w:t xml:space="preserve">(the resume text being carried between tools and the most recent tool result the user is referencing) is held in</w:t>
      </w:r>
      <w:r>
        <w:t xml:space="preserve"> </w:t>
      </w:r>
      <w:r>
        <w:rPr>
          <w:rStyle w:val="VerbatimChar"/>
        </w:rPr>
        <w:t xml:space="preserve">sessionStorage</w:t>
      </w:r>
      <w:r>
        <w:t xml:space="preserve"> </w:t>
      </w:r>
      <w:r>
        <w:t xml:space="preserve">and read through small custom hooks (</w:t>
      </w:r>
      <w:r>
        <w:rPr>
          <w:rStyle w:val="VerbatimChar"/>
        </w:rPr>
        <w:t xml:space="preserve">useResumeCarry</w:t>
      </w:r>
      <w:r>
        <w:t xml:space="preserve">,</w:t>
      </w:r>
      <w:r>
        <w:t xml:space="preserve"> </w:t>
      </w:r>
      <w:r>
        <w:rPr>
          <w:rStyle w:val="VerbatimChar"/>
        </w:rPr>
        <w:t xml:space="preserve">useSession</w:t>
      </w:r>
      <w:r>
        <w:t xml:space="preserve">). Workflow state is tab-scoped by design: opening the same site in a second tab does not share workflow context, which prevents accidental cross-talk.</w:t>
      </w:r>
    </w:p>
    <w:p>
      <w:pPr>
        <w:pStyle w:val="Compact"/>
        <w:numPr>
          <w:ilvl w:val="0"/>
          <w:numId w:val="1005"/>
        </w:numPr>
      </w:pPr>
      <w:r>
        <w:rPr>
          <w:b/>
          <w:bCs/>
        </w:rPr>
        <w:t xml:space="preserve">Component state</w:t>
      </w:r>
      <w:r>
        <w:t xml:space="preserve"> </w:t>
      </w:r>
      <w:r>
        <w:t xml:space="preserve">(input values, sheet open/closed flags, animation timing) is local to each component and uses standard React</w:t>
      </w:r>
      <w:r>
        <w:t xml:space="preserve"> </w:t>
      </w:r>
      <w:r>
        <w:rPr>
          <w:rStyle w:val="VerbatimChar"/>
        </w:rPr>
        <w:t xml:space="preserve">useState</w:t>
      </w:r>
      <w:r>
        <w:t xml:space="preserve"> </w:t>
      </w:r>
      <w:r>
        <w:t xml:space="preserve">and</w:t>
      </w:r>
      <w:r>
        <w:t xml:space="preserve"> </w:t>
      </w:r>
      <w:r>
        <w:rPr>
          <w:rStyle w:val="VerbatimChar"/>
        </w:rPr>
        <w:t xml:space="preserve">useReducer</w:t>
      </w:r>
      <w:r>
        <w:t xml:space="preserve">.</w:t>
      </w:r>
    </w:p>
    <w:bookmarkEnd w:id="40"/>
    <w:bookmarkStart w:id="41" w:name="layout-shell-and-navigation"/>
    <w:p>
      <w:pPr>
        <w:pStyle w:val="Heading3"/>
      </w:pPr>
      <w:r>
        <w:t xml:space="preserve">2.4.3 Layout shell and navigation</w:t>
      </w:r>
    </w:p>
    <w:p>
      <w:pPr>
        <w:pStyle w:val="FirstParagraph"/>
      </w:pPr>
      <w:r>
        <w:t xml:space="preserve">The application shell consists of a dark sidebar and topbar with a light content area; there is no dark-mode toggle. The sidebar groups the six tools into three semantic clusters,</w:t>
      </w:r>
      <w:r>
        <w:t xml:space="preserve"> </w:t>
      </w:r>
      <w:r>
        <w:rPr>
          <w:i/>
          <w:iCs/>
        </w:rPr>
        <w:t xml:space="preserve">primary</w:t>
      </w:r>
      <w:r>
        <w:t xml:space="preserve"> </w:t>
      </w:r>
      <w:r>
        <w:t xml:space="preserve">(Resume, Job Match),</w:t>
      </w:r>
      <w:r>
        <w:t xml:space="preserve"> </w:t>
      </w:r>
      <w:r>
        <w:rPr>
          <w:i/>
          <w:iCs/>
        </w:rPr>
        <w:t xml:space="preserve">application</w:t>
      </w:r>
      <w:r>
        <w:t xml:space="preserve"> </w:t>
      </w:r>
      <w:r>
        <w:t xml:space="preserve">(Cover Letter, Interview Q&amp;A), and</w:t>
      </w:r>
      <w:r>
        <w:t xml:space="preserve"> </w:t>
      </w:r>
      <w:r>
        <w:rPr>
          <w:i/>
          <w:iCs/>
        </w:rPr>
        <w:t xml:space="preserve">planning</w:t>
      </w:r>
      <w:r>
        <w:t xml:space="preserve"> </w:t>
      </w:r>
      <w:r>
        <w:t xml:space="preserve">(Career Path, Portfolio), to reduce the cognitive load of navigation. On mobile breakpoints, the sidebar collapses into a bottom tab bar (</w:t>
      </w:r>
      <w:r>
        <w:rPr>
          <w:rStyle w:val="VerbatimChar"/>
        </w:rPr>
        <w:t xml:space="preserve">MobileNav</w:t>
      </w:r>
      <w:r>
        <w:t xml:space="preserve">) and a tools sheet (</w:t>
      </w:r>
      <w:r>
        <w:rPr>
          <w:rStyle w:val="VerbatimChar"/>
        </w:rPr>
        <w:t xml:space="preserve">ToolGridSheet</w:t>
      </w:r>
      <w:r>
        <w:t xml:space="preserve">). All tool metadata that drives the sidebar, the dashboard cards, and the tools-sheet grid is centralised in</w:t>
      </w:r>
      <w:r>
        <w:t xml:space="preserve"> </w:t>
      </w:r>
      <w:r>
        <w:rPr>
          <w:rStyle w:val="VerbatimChar"/>
        </w:rPr>
        <w:t xml:space="preserve">frontend/src/lib/tools/registry.ts</w:t>
      </w:r>
      <w:r>
        <w:t xml:space="preserve">, so a new tool can be exposed across the entire UI with a single registry entry.</w:t>
      </w:r>
    </w:p>
    <w:bookmarkEnd w:id="41"/>
    <w:bookmarkEnd w:id="42"/>
    <w:bookmarkStart w:id="43" w:name="data-model-and-persistence"/>
    <w:p>
      <w:pPr>
        <w:pStyle w:val="Heading2"/>
      </w:pPr>
      <w:r>
        <w:t xml:space="preserve">2.5 Data model and persistence</w:t>
      </w:r>
    </w:p>
    <w:p>
      <w:pPr>
        <w:pStyle w:val="FirstParagraph"/>
      </w:pPr>
      <w:r>
        <w:t xml:space="preserve">The persistence model contains three primary tables, summarised in Table 2.2.</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users</w:t>
            </w:r>
          </w:p>
        </w:tc>
        <w:tc>
          <w:tcPr/>
          <w:p>
            <w:pPr>
              <w:pStyle w:val="Compact"/>
            </w:pPr>
            <w:r>
              <w:t xml:space="preserve">One row per registered account</w:t>
            </w:r>
          </w:p>
        </w:tc>
        <w:tc>
          <w:tcPr/>
          <w:p>
            <w:pPr>
              <w:pStyle w:val="Compact"/>
            </w:pPr>
            <w:r>
              <w:rPr>
                <w:rStyle w:val="VerbatimChar"/>
              </w:rPr>
              <w:t xml:space="preserve">id</w:t>
            </w:r>
            <w:r>
              <w:t xml:space="preserve"> </w:t>
            </w:r>
            <w:r>
              <w:t xml:space="preserve">(UUID),</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(bcrypt) or null for OAuth-only accounts,</w:t>
            </w:r>
            <w:r>
              <w:t xml:space="preserve"> </w:t>
            </w:r>
            <w:r>
              <w:rPr>
                <w:rStyle w:val="VerbatimChar"/>
              </w:rPr>
              <w:t xml:space="preserve">google_subject</w:t>
            </w:r>
            <w:r>
              <w:t xml:space="preserve"> </w:t>
            </w:r>
            <w:r>
              <w:t xml:space="preserve">for federated identities, timestamps.</w:t>
            </w:r>
          </w:p>
        </w:tc>
      </w:tr>
      <w:tr>
        <w:tc>
          <w:tcPr/>
          <w:p>
            <w:pPr>
              <w:pStyle w:val="Compact"/>
            </w:pPr>
            <w:r>
              <w:rPr>
                <w:rStyle w:val="VerbatimChar"/>
              </w:rPr>
              <w:t xml:space="preserve">tool_runs</w:t>
            </w:r>
          </w:p>
        </w:tc>
        <w:tc>
          <w:tcPr/>
          <w:p>
            <w:pPr>
              <w:pStyle w:val="Compact"/>
            </w:pPr>
            <w:r>
              <w:t xml:space="preserve">One row per tool invocation that the system chose to persist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tool_name</w:t>
            </w:r>
            <w:r>
              <w:t xml:space="preserve">,</w:t>
            </w:r>
            <w:r>
              <w:t xml:space="preserve"> </w:t>
            </w:r>
            <w:r>
              <w:rPr>
                <w:rStyle w:val="VerbatimChar"/>
              </w:rPr>
              <w:t xml:space="preserve">label</w:t>
            </w:r>
            <w:r>
              <w:t xml:space="preserve">,</w:t>
            </w:r>
            <w:r>
              <w:t xml:space="preserve"> </w:t>
            </w:r>
            <w:r>
              <w:rPr>
                <w:rStyle w:val="VerbatimChar"/>
              </w:rPr>
              <w:t xml:space="preserve">result_json</w:t>
            </w:r>
            <w:r>
              <w:t xml:space="preserve">,</w:t>
            </w:r>
            <w:r>
              <w:t xml:space="preserve"> </w:t>
            </w:r>
            <w:r>
              <w:rPr>
                <w:rStyle w:val="VerbatimChar"/>
              </w:rPr>
              <w:t xml:space="preserve">parent_run_id</w:t>
            </w:r>
            <w:r>
              <w:t xml:space="preserve"> </w:t>
            </w:r>
            <w:r>
              <w:t xml:space="preserve">for regeneration chains,</w:t>
            </w:r>
            <w:r>
              <w:t xml:space="preserve"> </w:t>
            </w:r>
            <w:r>
              <w:rPr>
                <w:rStyle w:val="VerbatimChar"/>
              </w:rPr>
              <w:t xml:space="preserve">linked_context_ids</w:t>
            </w:r>
            <w:r>
              <w:t xml:space="preserve">,</w:t>
            </w:r>
            <w:r>
              <w:t xml:space="preserve"> </w:t>
            </w:r>
            <w:r>
              <w:rPr>
                <w:rStyle w:val="VerbatimChar"/>
              </w:rPr>
              <w:t xml:space="preserve">workspace_id</w:t>
            </w:r>
            <w:r>
              <w:t xml:space="preserve">,</w:t>
            </w:r>
            <w:r>
              <w:t xml:space="preserve"> </w:t>
            </w:r>
            <w:r>
              <w:rPr>
                <w:rStyle w:val="VerbatimChar"/>
              </w:rPr>
              <w:t xml:space="preserve">feedback_text</w:t>
            </w:r>
            <w:r>
              <w:t xml:space="preserve">,</w:t>
            </w:r>
            <w:r>
              <w:t xml:space="preserve"> </w:t>
            </w:r>
            <w:r>
              <w:rPr>
                <w:rStyle w:val="VerbatimChar"/>
              </w:rPr>
              <w:t xml:space="preserve">created_at</w:t>
            </w:r>
            <w:r>
              <w:t xml:space="preserve">.</w:t>
            </w:r>
          </w:p>
        </w:tc>
      </w:tr>
      <w:tr>
        <w:tc>
          <w:tcPr/>
          <w:p>
            <w:pPr>
              <w:pStyle w:val="Compact"/>
            </w:pPr>
            <w:r>
              <w:rPr>
                <w:rStyle w:val="VerbatimChar"/>
              </w:rPr>
              <w:t xml:space="preserve">workspaces</w:t>
            </w:r>
          </w:p>
        </w:tc>
        <w:tc>
          <w:tcPr/>
          <w:p>
            <w:pPr>
              <w:pStyle w:val="Compact"/>
            </w:pPr>
            <w:r>
              <w:t xml:space="preserve">Optional grouping of tool runs around a single role search</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 timestamps.</w:t>
            </w:r>
          </w:p>
        </w:tc>
      </w:tr>
    </w:tbl>
    <w:p>
      <w:pPr>
        <w:pStyle w:val="BodyText"/>
      </w:pPr>
      <w:r>
        <w:t xml:space="preserve">Two design choices on the data model deserve note.</w:t>
      </w:r>
    </w:p>
    <w:p>
      <w:pPr>
        <w:pStyle w:val="BodyText"/>
      </w:pPr>
      <w:r>
        <w:t xml:space="preserve">First,</w:t>
      </w:r>
      <w:r>
        <w:t xml:space="preserve"> </w:t>
      </w:r>
      <w:r>
        <w:rPr>
          <w:b/>
          <w:bCs/>
        </w:rPr>
        <w:t xml:space="preserve">regeneration never overwrites</w:t>
      </w:r>
      <w:r>
        <w:t xml:space="preserve">. A regenerated tool run is a new</w:t>
      </w:r>
      <w:r>
        <w:t xml:space="preserve"> </w:t>
      </w:r>
      <w:r>
        <w:rPr>
          <w:rStyle w:val="VerbatimChar"/>
        </w:rPr>
        <w:t xml:space="preserve">tool_runs</w:t>
      </w:r>
      <w:r>
        <w:t xml:space="preserve"> </w:t>
      </w:r>
      <w:r>
        <w:t xml:space="preserve">row whose</w:t>
      </w:r>
      <w:r>
        <w:t xml:space="preserve"> </w:t>
      </w:r>
      <w:r>
        <w:rPr>
          <w:rStyle w:val="VerbatimChar"/>
        </w:rPr>
        <w:t xml:space="preserve">parent_run_id</w:t>
      </w:r>
      <w:r>
        <w:t xml:space="preserve"> </w:t>
      </w:r>
      <w:r>
        <w:t xml:space="preserve">points to the original. This produces a complete audit trail of the user’s iteration on any single piece of analytical work, and supports rolling back a result that the user found less useful than its predecessor.</w:t>
      </w:r>
    </w:p>
    <w:p>
      <w:pPr>
        <w:pStyle w:val="BodyText"/>
      </w:pPr>
      <w:r>
        <w:t xml:space="preserve">Second,</w:t>
      </w:r>
      <w:r>
        <w:t xml:space="preserve"> </w:t>
      </w:r>
      <w:r>
        <w:rPr>
          <w:b/>
          <w:bCs/>
        </w:rPr>
        <w:t xml:space="preserve">guest tool runs are never persisted to the database</w:t>
      </w:r>
      <w: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43"/>
    <w:bookmarkStart w:id="44" w:name="authentication-and-security"/>
    <w:p>
      <w:pPr>
        <w:pStyle w:val="Heading2"/>
      </w:pPr>
      <w:r>
        <w:t xml:space="preserve">2.6 Authentication and security</w:t>
      </w:r>
    </w:p>
    <w:p>
      <w:pPr>
        <w:pStyle w:val="FirstParagraph"/>
      </w:pPr>
      <w:r>
        <w:t xml:space="preserve">Authentication uses JSON Web Tokens carried in HttpOnly cookies. There are two cookies: a 30-minute</w:t>
      </w:r>
      <w:r>
        <w:t xml:space="preserve"> </w:t>
      </w:r>
      <w:r>
        <w:rPr>
          <w:i/>
          <w:iCs/>
        </w:rPr>
        <w:t xml:space="preserve">access</w:t>
      </w:r>
      <w:r>
        <w:t xml:space="preserve"> </w:t>
      </w:r>
      <w:r>
        <w:t xml:space="preserve">token and a 7-day</w:t>
      </w:r>
      <w:r>
        <w:t xml:space="preserve"> </w:t>
      </w:r>
      <w:r>
        <w:rPr>
          <w:i/>
          <w:iCs/>
        </w:rPr>
        <w:t xml:space="preserve">refresh</w:t>
      </w:r>
      <w:r>
        <w:t xml:space="preserve"> </w:t>
      </w:r>
      <w:r>
        <w:t xml:space="preserve">token. The access token carries the user identifier and is validated on every protected request through a FastAPI dependency. The refresh token is sent only to a single endpoint (</w:t>
      </w:r>
      <w:r>
        <w:rPr>
          <w:rStyle w:val="VerbatimChar"/>
        </w:rPr>
        <w:t xml:space="preserve">/auth/refresh</w:t>
      </w:r>
      <w:r>
        <w:t xml:space="preserve">) and is rotated on every successful refresh; the previous refresh token is invalidated atomically with the issue of the new pair to prevent replay. Cookies are marked</w:t>
      </w:r>
      <w:r>
        <w:t xml:space="preserve"> </w:t>
      </w:r>
      <w:r>
        <w:rPr>
          <w:rStyle w:val="VerbatimChar"/>
        </w:rPr>
        <w:t xml:space="preserve">Secure</w:t>
      </w:r>
      <w:r>
        <w:t xml:space="preserve">,</w:t>
      </w:r>
      <w:r>
        <w:t xml:space="preserve"> </w:t>
      </w:r>
      <w:r>
        <w:rPr>
          <w:rStyle w:val="VerbatimChar"/>
        </w:rPr>
        <w:t xml:space="preserve">SameSite=Lax</w:t>
      </w:r>
      <w:r>
        <w:t xml:space="preserve">, and</w:t>
      </w:r>
      <w:r>
        <w:t xml:space="preserve"> </w:t>
      </w:r>
      <w:r>
        <w:rPr>
          <w:rStyle w:val="VerbatimChar"/>
        </w:rPr>
        <w:t xml:space="preserve">HttpOnly</w:t>
      </w:r>
      <w:r>
        <w:t xml:space="preserve">. No CSRF tokens are issued, because the API accepts only</w:t>
      </w:r>
      <w:r>
        <w:t xml:space="preserve"> </w:t>
      </w:r>
      <w:r>
        <w:rPr>
          <w:rStyle w:val="VerbatimChar"/>
        </w:rPr>
        <w:t xml:space="preserve">application/json</w:t>
      </w:r>
      <w:r>
        <w:t xml:space="preserve"> </w:t>
      </w:r>
      <w:r>
        <w:t xml:space="preserve">request bodies and the SameSite policy is sufficient against the threat model.</w:t>
      </w:r>
    </w:p>
    <w:p>
      <w:pPr>
        <w:pStyle w:val="BodyText"/>
      </w:pPr>
      <w:r>
        <w:t xml:space="preserve">Federated login is supported through Google OAuth using the</w:t>
      </w:r>
      <w:r>
        <w:t xml:space="preserve"> </w:t>
      </w:r>
      <w:r>
        <w:rPr>
          <w:rStyle w:val="VerbatimChar"/>
        </w:rPr>
        <w:t xml:space="preserve">authlib</w:t>
      </w:r>
      <w:r>
        <w:t xml:space="preserve"> </w:t>
      </w:r>
      <w:r>
        <w:t xml:space="preserve">library. Password reset is implemented through a single-use token sent by Resend; the token is bound to a hash of the user’s current password hash, so a successful reset implicitly invalidates earlier reset tokens.</w:t>
      </w:r>
    </w:p>
    <w:p>
      <w:pPr>
        <w:pStyle w:val="BodyText"/>
      </w:pPr>
      <w:r>
        <w:t xml:space="preserve">Beyond authentication, three additional security measures are worth noting. Inputs are sanitised before reaching any prompt builder (Section 2.3.2). Disposable-email domains are blocklisted at signup. Rate limiting is enforced through</w:t>
      </w:r>
      <w:r>
        <w:t xml:space="preserve"> </w:t>
      </w:r>
      <w:r>
        <w:rPr>
          <w:rStyle w:val="VerbatimChar"/>
        </w:rPr>
        <w:t xml:space="preserve">slowapi</w:t>
      </w:r>
      <w:r>
        <w:t xml:space="preserve">, with stricter limits on login and password-reset endpoints than on the tool endpoints.</w:t>
      </w:r>
    </w:p>
    <w:bookmarkEnd w:id="44"/>
    <w:bookmarkStart w:id="48" w:name="deployment-topology"/>
    <w:p>
      <w:pPr>
        <w:pStyle w:val="Heading2"/>
      </w:pPr>
      <w:r>
        <w:t xml:space="preserve">2.7 Deployment topology</w:t>
      </w:r>
    </w:p>
    <w:p>
      <w:pPr>
        <w:pStyle w:val="FirstParagraph"/>
      </w:pPr>
      <w:r>
        <w:t xml:space="preserve">The production deployment runs as a single Railway project containing two application services (frontend and backend) plus a managed PostgreSQL add-on (Figure 2.3).</w:t>
      </w:r>
    </w:p>
    <w:p>
      <w:pPr>
        <w:pStyle w:val="CaptionedFigure"/>
      </w:pPr>
      <w:r>
        <w:drawing>
          <wp:inline>
            <wp:extent cx="5334000" cy="2177691"/>
            <wp:effectExtent b="0" l="0" r="0" t="0"/>
            <wp:docPr descr="Figure 2.3: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figure-2-3-deployment.png" id="47" name="Picture"/>
                    <pic:cNvPicPr>
                      <a:picLocks noChangeArrowheads="1" noChangeAspect="1"/>
                    </pic:cNvPicPr>
                  </pic:nvPicPr>
                  <pic:blipFill>
                    <a:blip r:embed="rId45"/>
                    <a:stretch>
                      <a:fillRect/>
                    </a:stretch>
                  </pic:blipFill>
                  <pic:spPr bwMode="auto">
                    <a:xfrm>
                      <a:off x="0" y="0"/>
                      <a:ext cx="5334000" cy="2177691"/>
                    </a:xfrm>
                    <a:prstGeom prst="rect">
                      <a:avLst/>
                    </a:prstGeom>
                    <a:noFill/>
                    <a:ln w="9525">
                      <a:noFill/>
                      <a:headEnd/>
                      <a:tailEnd/>
                    </a:ln>
                  </pic:spPr>
                </pic:pic>
              </a:graphicData>
            </a:graphic>
          </wp:inline>
        </w:drawing>
      </w:r>
    </w:p>
    <w:p>
      <w:pPr>
        <w:pStyle w:val="ImageCaption"/>
      </w:pPr>
      <w:r>
        <w:t xml:space="preserve">Figure 2.3: Production deployment topology. Browser traffic resolves through Cloudflare DNS and TLS into a single Railway hostname; path-based routing at the Railway edge delivers the</w:t>
      </w:r>
      <w:r>
        <w:t xml:space="preserve"> </w:t>
      </w:r>
      <w:r>
        <w:rPr>
          <w:rStyle w:val="VerbatimChar"/>
        </w:rPr>
        <w:t xml:space="preserve">/</w:t>
      </w:r>
      <w:r>
        <w:t xml:space="preserve"> </w:t>
      </w:r>
      <w:r>
        <w:t xml:space="preserve">path to the Vite-built frontend service and the</w:t>
      </w:r>
      <w:r>
        <w:t xml:space="preserve"> </w:t>
      </w:r>
      <w:r>
        <w:rPr>
          <w:rStyle w:val="VerbatimChar"/>
        </w:rPr>
        <w:t xml:space="preserve">/api/v1/*</w:t>
      </w:r>
      <w:r>
        <w:t xml:space="preserve"> </w:t>
      </w:r>
      <w:r>
        <w:t xml:space="preserve">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w:t>
      </w:r>
    </w:p>
    <w:p>
      <w:pPr>
        <w:pStyle w:val="BodyText"/>
      </w:pPr>
      <w: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pPr>
      <w:r>
        <w:t xml:space="preserve">Continuous deployment is wired to a single branch (</w:t>
      </w:r>
      <w:r>
        <w:rPr>
          <w:rStyle w:val="VerbatimChar"/>
        </w:rPr>
        <w:t xml:space="preserve">deploy</w:t>
      </w:r>
      <w:r>
        <w:t xml:space="preserve">). Pushing to</w:t>
      </w:r>
      <w:r>
        <w:t xml:space="preserve"> </w:t>
      </w:r>
      <w:r>
        <w:rPr>
          <w:rStyle w:val="VerbatimChar"/>
        </w:rPr>
        <w:t xml:space="preserve">main</w:t>
      </w:r>
      <w:r>
        <w:t xml:space="preserve"> </w:t>
      </w:r>
      <w:r>
        <w:t xml:space="preserve">is a development checkpoint; promoting a commit to</w:t>
      </w:r>
      <w:r>
        <w:t xml:space="preserve"> </w:t>
      </w:r>
      <w:r>
        <w:rPr>
          <w:rStyle w:val="VerbatimChar"/>
        </w:rPr>
        <w:t xml:space="preserve">deploy</w:t>
      </w:r>
      <w:r>
        <w:t xml:space="preserve"> </w:t>
      </w:r>
      <w: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pPr>
      <w:r>
        <w:t xml:space="preserve">The Railway choice was driven by the desire for a unified deployment surface. Serving the frontend at</w:t>
      </w:r>
      <w:r>
        <w:t xml:space="preserve"> </w:t>
      </w:r>
      <w:r>
        <w:rPr>
          <w:rStyle w:val="VerbatimChar"/>
        </w:rPr>
        <w:t xml:space="preserve">/</w:t>
      </w:r>
      <w:r>
        <w:t xml:space="preserve"> </w:t>
      </w:r>
      <w:r>
        <w:t xml:space="preserve">and the backend at</w:t>
      </w:r>
      <w:r>
        <w:t xml:space="preserve"> </w:t>
      </w:r>
      <w:r>
        <w:rPr>
          <w:rStyle w:val="VerbatimChar"/>
        </w:rPr>
        <w:t xml:space="preserve">/api/*</w:t>
      </w:r>
      <w:r>
        <w:t xml:space="preserve"> </w:t>
      </w:r>
      <w:r>
        <w:t xml:space="preserve">from a single hostname collapses the entire system into one domain, which removes an entire class of CORS and</w:t>
      </w:r>
      <w:r>
        <w:t xml:space="preserve"> </w:t>
      </w:r>
      <w:r>
        <w:rPr>
          <w:rStyle w:val="VerbatimChar"/>
        </w:rPr>
        <w:t xml:space="preserve">SameSite</w:t>
      </w:r>
      <w:r>
        <w:t xml:space="preserve">-cookie configuration bugs from the project before they can be introduced. Split-deployment alternatives (typically a frontend host such as Vercel paired with a separate backend host)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pPr>
      <w:r>
        <w:t xml:space="preserve">The next chapter details the implementation of each of the six tools that this architecture supports.</w:t>
      </w:r>
    </w:p>
    <w:bookmarkEnd w:id="48"/>
    <w:bookmarkEnd w:id="49"/>
    <w:bookmarkStart w:id="75" w:name="chapter-3-tool-implementations"/>
    <w:p>
      <w:pPr>
        <w:pStyle w:val="Heading1"/>
      </w:pPr>
      <w:r>
        <w:t xml:space="preserve">Chapter 3 — Tool implementations</w:t>
      </w:r>
    </w:p>
    <w:p>
      <w:pPr>
        <w:pStyle w:val="FirstParagraph"/>
      </w:pPr>
      <w: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t xml:space="preserve"> </w:t>
      </w:r>
      <w:r>
        <w:rPr>
          <w:i/>
          <w:iCs/>
        </w:rPr>
        <w:t xml:space="preserve">primary</w:t>
      </w:r>
      <w:r>
        <w:t xml:space="preserve"> </w:t>
      </w:r>
      <w:r>
        <w:t xml:space="preserve">tools (Resume, Job Match) produce numerical assessments and can therefore be run in either the blended or the fully-heuristic mode introduced in Chapter 4. The</w:t>
      </w:r>
      <w:r>
        <w:t xml:space="preserve"> </w:t>
      </w:r>
      <w:r>
        <w:rPr>
          <w:i/>
          <w:iCs/>
        </w:rPr>
        <w:t xml:space="preserve">application</w:t>
      </w:r>
      <w:r>
        <w:t xml:space="preserve"> </w:t>
      </w:r>
      <w:r>
        <w:t xml:space="preserve">tools (Cover Letter, Interview Q&amp;A) generate creative artefacts and are LLM-only by construction. The</w:t>
      </w:r>
      <w:r>
        <w:t xml:space="preserve"> </w:t>
      </w:r>
      <w:r>
        <w:rPr>
          <w:i/>
          <w:iCs/>
        </w:rPr>
        <w:t xml:space="preserve">planning</w:t>
      </w:r>
      <w:r>
        <w:t xml:space="preserve"> </w:t>
      </w:r>
      <w: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pPr>
      <w:r>
        <w:t xml:space="preserve">Before discussing each tool, Section 3.1 isolates the cross-cutting concerns that all six share, so that the per-tool sections can focus on what is specific to each.</w:t>
      </w:r>
    </w:p>
    <w:bookmarkStart w:id="55" w:name="cross-cutting-design"/>
    <w:p>
      <w:pPr>
        <w:pStyle w:val="Heading2"/>
      </w:pPr>
      <w:r>
        <w:t xml:space="preserve">3.1 Cross-cutting design</w:t>
      </w:r>
    </w:p>
    <w:bookmarkStart w:id="50" w:name="the-structured-output-llm-client"/>
    <w:p>
      <w:pPr>
        <w:pStyle w:val="Heading3"/>
      </w:pPr>
      <w:r>
        <w:t xml:space="preserve">3.1.1 The structured-output LLM client</w:t>
      </w:r>
    </w:p>
    <w:p>
      <w:pPr>
        <w:pStyle w:val="FirstParagraph"/>
      </w:pPr>
      <w:r>
        <w:t xml:space="preserve">All LLM calls go through a single coroutine,</w:t>
      </w:r>
      <w:r>
        <w:t xml:space="preserve"> </w:t>
      </w:r>
      <w:r>
        <w:rPr>
          <w:rStyle w:val="VerbatimChar"/>
        </w:rPr>
        <w:t xml:space="preserve">complete_structured(system_prompt, user_prompt, schema=None, model_override=None)</w:t>
      </w:r>
      <w:r>
        <w:t xml:space="preserve">, defined in</w:t>
      </w:r>
      <w:r>
        <w:t xml:space="preserve"> </w:t>
      </w:r>
      <w:r>
        <w:rPr>
          <w:rStyle w:val="VerbatimChar"/>
        </w:rPr>
        <w:t xml:space="preserve">app/services/ai_client.py</w:t>
      </w:r>
      <w:r>
        <w:t xml:space="preserve">. The function lazily initialises the Vertex AI SDK once per process, dispatches the request to the configured provider (</w:t>
      </w:r>
      <w:r>
        <w:rPr>
          <w:rStyle w:val="VerbatimChar"/>
        </w:rPr>
        <w:t xml:space="preserve">vertex</w:t>
      </w:r>
      <w:r>
        <w:t xml:space="preserve"> </w:t>
      </w:r>
      <w:r>
        <w:t xml:space="preserve">in production), and returns a parsed Python dictionary.</w:t>
      </w:r>
    </w:p>
    <w:p>
      <w:pPr>
        <w:pStyle w:val="BodyText"/>
      </w:pPr>
      <w:r>
        <w:t xml:space="preserve">Two reliability mechanisms are built into the client.</w:t>
      </w:r>
      <w:r>
        <w:t xml:space="preserve"> </w:t>
      </w:r>
      <w:r>
        <w:rPr>
          <w:b/>
          <w:bCs/>
        </w:rPr>
        <w:t xml:space="preserve">Per-call timeout</w:t>
      </w:r>
      <w:r>
        <w:t xml:space="preserve"> </w:t>
      </w:r>
      <w:r>
        <w:t xml:space="preserve">bounds an individual generation at 120 seconds; this is well above the 95th-percentile latency observed in practice but short enough that a stuck request does not tie up a worker indefinitely.</w:t>
      </w:r>
      <w:r>
        <w:t xml:space="preserve"> </w:t>
      </w:r>
      <w:r>
        <w:rPr>
          <w:b/>
          <w:bCs/>
        </w:rPr>
        <w:t xml:space="preserve">Exponential backoff with jitter</w:t>
      </w:r>
      <w:r>
        <w:t xml:space="preserve"> </w:t>
      </w:r>
      <w:r>
        <w:t xml:space="preserve">retries up to four times (at 5, 10, 20, and 40 seconds, plus a small random offset) for transient errors (</w:t>
      </w:r>
      <w:r>
        <w:rPr>
          <w:rStyle w:val="VerbatimChar"/>
        </w:rPr>
        <w:t xml:space="preserve">TimeoutError</w:t>
      </w:r>
      <w:r>
        <w:t xml:space="preserve">,</w:t>
      </w:r>
      <w:r>
        <w:t xml:space="preserve"> </w:t>
      </w:r>
      <w:r>
        <w:rPr>
          <w:rStyle w:val="VerbatimChar"/>
        </w:rPr>
        <w:t xml:space="preserve">RuntimeError</w:t>
      </w:r>
      <w:r>
        <w:t xml:space="preserve">,</w:t>
      </w:r>
      <w:r>
        <w:t xml:space="preserve"> </w:t>
      </w:r>
      <w:r>
        <w:rPr>
          <w:rStyle w:val="VerbatimChar"/>
        </w:rPr>
        <w:t xml:space="preserve">json.JSONDecodeError</w:t>
      </w:r>
      <w:r>
        <w:t xml:space="preserve">). JSON-decode errors are retried because Gemini occasionally truncates structured output under load; the retry loop deliberately excludes</w:t>
      </w:r>
      <w:r>
        <w:t xml:space="preserve"> </w:t>
      </w:r>
      <w:r>
        <w:rPr>
          <w:rStyle w:val="VerbatimChar"/>
        </w:rPr>
        <w:t xml:space="preserve">ValueError</w:t>
      </w:r>
      <w: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pPr>
      <w: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50"/>
    <w:bookmarkStart w:id="51" w:name="the-locked-payload-prompt-pattern"/>
    <w:p>
      <w:pPr>
        <w:pStyle w:val="Heading3"/>
      </w:pPr>
      <w:r>
        <w:t xml:space="preserve">3.1.2 The locked-payload prompt pattern</w:t>
      </w:r>
    </w:p>
    <w:p>
      <w:pPr>
        <w:pStyle w:val="FirstParagraph"/>
      </w:pPr>
      <w:r>
        <w:t xml:space="preserve">For the analytical tools (Resume Analyzer, Job Match) the prompt builder constructs three blocks: a</w:t>
      </w:r>
      <w:r>
        <w:t xml:space="preserve"> </w:t>
      </w:r>
      <w:r>
        <w:rPr>
          <w:i/>
          <w:iCs/>
        </w:rPr>
        <w:t xml:space="preserve">system</w:t>
      </w:r>
      <w:r>
        <w:t xml:space="preserve"> </w:t>
      </w:r>
      <w:r>
        <w:t xml:space="preserve">prompt that establishes role, register, and forbidden behaviours; a</w:t>
      </w:r>
      <w:r>
        <w:t xml:space="preserve"> </w:t>
      </w:r>
      <w:r>
        <w:rPr>
          <w:i/>
          <w:iCs/>
        </w:rPr>
        <w:t xml:space="preserve">user</w:t>
      </w:r>
      <w:r>
        <w:t xml:space="preserve"> </w:t>
      </w:r>
      <w:r>
        <w:t xml:space="preserve">prompt that contains the resume and (where applicable) the job description; and a</w:t>
      </w:r>
      <w:r>
        <w:t xml:space="preserve"> </w:t>
      </w:r>
      <w:r>
        <w:rPr>
          <w:i/>
          <w:iCs/>
        </w:rPr>
        <w:t xml:space="preserve">locked-payload</w:t>
      </w:r>
      <w:r>
        <w:t xml:space="preserve"> </w:t>
      </w:r>
      <w: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the heuristic prepass already produces a complete response on its own.</w:t>
      </w:r>
    </w:p>
    <w:bookmarkEnd w:id="51"/>
    <w:bookmarkStart w:id="52" w:name="pydantic-validated-structured-output"/>
    <w:p>
      <w:pPr>
        <w:pStyle w:val="Heading3"/>
      </w:pPr>
      <w:r>
        <w:t xml:space="preserve">3.1.3 Pydantic-validated structured output</w:t>
      </w:r>
    </w:p>
    <w:p>
      <w:pPr>
        <w:pStyle w:val="FirstParagraph"/>
      </w:pPr>
      <w:r>
        <w:t xml:space="preserve">Every LLM response is validated against a Pydantic schema defined in</w:t>
      </w:r>
      <w:r>
        <w:t xml:space="preserve"> </w:t>
      </w:r>
      <w:r>
        <w:rPr>
          <w:rStyle w:val="VerbatimChar"/>
        </w:rPr>
        <w:t xml:space="preserve">app/schemas/tools.py</w:t>
      </w:r>
      <w:r>
        <w:t xml:space="preserve">. The schema is bidirectional: the same definition that constrains the JSON returned by Gemini also defines the Zod schema used by the frontend (</w:t>
      </w:r>
      <w:r>
        <w:rPr>
          <w:rStyle w:val="VerbatimChar"/>
        </w:rPr>
        <w:t xml:space="preserve">frontend/src/lib/api/schemas.ts</w:t>
      </w:r>
      <w: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52"/>
    <w:bookmarkStart w:id="53" w:name="fallback-policy"/>
    <w:p>
      <w:pPr>
        <w:pStyle w:val="Heading3"/>
      </w:pPr>
      <w:r>
        <w:t xml:space="preserve">3.1.4 Fallback policy</w:t>
      </w:r>
    </w:p>
    <w:p>
      <w:pPr>
        <w:pStyle w:val="FirstParagraph"/>
      </w:pPr>
      <w:r>
        <w:t xml:space="preserve">The system distinguishes two failure modes for an LLM call: a recoverable failure that should produce a degraded but useful response, and an unrecoverable failure that should surface as an explicit error to the user.</w:t>
      </w:r>
    </w:p>
    <w:p>
      <w:pPr>
        <w:pStyle w:val="BodyText"/>
      </w:pPr>
      <w:r>
        <w:t xml:space="preserve">For</w:t>
      </w:r>
      <w:r>
        <w:t xml:space="preserve"> </w:t>
      </w:r>
      <w:r>
        <w:rPr>
          <w:i/>
          <w:iCs/>
        </w:rPr>
        <w:t xml:space="preserve">analytical</w:t>
      </w:r>
      <w:r>
        <w:t xml:space="preserve"> </w:t>
      </w:r>
      <w:r>
        <w:t xml:space="preserve">tools (Resume Analyzer, Job Match) the recoverable path is taken: when</w:t>
      </w:r>
      <w:r>
        <w:t xml:space="preserve"> </w:t>
      </w:r>
      <w:r>
        <w:rPr>
          <w:rStyle w:val="VerbatimChar"/>
        </w:rPr>
        <w:t xml:space="preserve">complete_structured</w:t>
      </w:r>
      <w:r>
        <w:t xml:space="preserve"> </w:t>
      </w:r>
      <w:r>
        <w:t xml:space="preserve">raises after exhausting retries, the service constructs a complete response from the heuristic prepass alone, using the same payload structure the LLM would have populated but with the deterministic baseline as the source of truth. The user sees the result and a</w:t>
      </w:r>
      <w:r>
        <w:t xml:space="preserve"> </w:t>
      </w:r>
      <w:r>
        <w:rPr>
          <w:rStyle w:val="VerbatimChar"/>
        </w:rPr>
        <w:t xml:space="preserve">confidence_note</w:t>
      </w:r>
      <w:r>
        <w:t xml:space="preserve"> </w:t>
      </w:r>
      <w:r>
        <w:t xml:space="preserve">indicating that the analysis ran in heuristic-only mode. This design satisfies non-functional requirement N3 of Chapter 2.</w:t>
      </w:r>
    </w:p>
    <w:p>
      <w:pPr>
        <w:pStyle w:val="BodyText"/>
      </w:pPr>
      <w: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pPr>
      <w:r>
        <w:t xml:space="preserve">For</w:t>
      </w:r>
      <w:r>
        <w:t xml:space="preserve"> </w:t>
      </w:r>
      <w:r>
        <w:rPr>
          <w:i/>
          <w:iCs/>
        </w:rPr>
        <w:t xml:space="preserve">generative</w:t>
      </w:r>
      <w:r>
        <w:t xml:space="preserve"> </w:t>
      </w:r>
      <w:r>
        <w:t xml:space="preserve">tools (Cover Letter, Interview Q&amp;A, Career Path, Portfolio) no fallback is offered. A heuristic-generated cover letter or interview-question list is not a credible substitute for an LLM-generated one; producing such an artefact would be misleading. These tools raise a structured 503 error that the frontend renders as a retry-able failure state.</w:t>
      </w:r>
    </w:p>
    <w:bookmarkEnd w:id="53"/>
    <w:bookmarkStart w:id="54" w:name="caching"/>
    <w:p>
      <w:pPr>
        <w:pStyle w:val="Heading3"/>
      </w:pPr>
      <w:r>
        <w:t xml:space="preserve">3.1.5 Caching</w:t>
      </w:r>
    </w:p>
    <w:p>
      <w:pPr>
        <w:pStyle w:val="FirstParagraph"/>
      </w:pPr>
      <w:r>
        <w:t xml:space="preserve">The shared pipeline (Chapter 2.3.2) computes a content hash from the tool name, the sanitised inputs, the user identifier, and any tool-specific cache keys. The result of a cache hit is returned without invoking the service function, bypassing the LLM call entirely.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pPr>
      <w:r>
        <w:t xml:space="preserve">3.2 Resume Analyzer</w:t>
      </w:r>
    </w:p>
    <w:p>
      <w:pPr>
        <w:pStyle w:val="FirstParagraph"/>
      </w:pPr>
      <w: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pPr>
      <w:r>
        <w:t xml:space="preserve">3.2.1 Input contract</w:t>
      </w:r>
    </w:p>
    <w:p>
      <w:pPr>
        <w:pStyle w:val="FirstParagraph"/>
      </w:pPr>
      <w:r>
        <w:t xml:space="preserve">The request body contains the raw resume text (free-form, minimum 80 characters), an optional job description text, and an optional</w:t>
      </w:r>
      <w:r>
        <w:t xml:space="preserve"> </w:t>
      </w:r>
      <w:r>
        <w:rPr>
          <w:rStyle w:val="VerbatimChar"/>
        </w:rPr>
        <w:t xml:space="preserve">feedback</w:t>
      </w:r>
      <w:r>
        <w:t xml:space="preserve"> </w:t>
      </w:r>
      <w:r>
        <w:t xml:space="preserve">string used when the user regenerates with a specific instruction.</w:t>
      </w:r>
    </w:p>
    <w:bookmarkEnd w:id="56"/>
    <w:bookmarkStart w:id="57" w:name="heuristic-prepass"/>
    <w:p>
      <w:pPr>
        <w:pStyle w:val="Heading3"/>
      </w:pPr>
      <w:r>
        <w:t xml:space="preserve">3.2.2 Heuristic prepass</w:t>
      </w:r>
    </w:p>
    <w:p>
      <w:pPr>
        <w:pStyle w:val="FirstParagraph"/>
      </w:pPr>
      <w:r>
        <w:rPr>
          <w:rStyle w:val="VerbatimChar"/>
        </w:rPr>
        <w:t xml:space="preserve">build_resume_prepass(resume_text, job_description)</w:t>
      </w:r>
      <w:r>
        <w:t xml:space="preserve"> </w:t>
      </w:r>
      <w:r>
        <w:t xml:space="preserve">performs five extractions in a single pass over the resume text.</w:t>
      </w:r>
    </w:p>
    <w:p>
      <w:pPr>
        <w:pStyle w:val="Compact"/>
        <w:numPr>
          <w:ilvl w:val="0"/>
          <w:numId w:val="1006"/>
        </w:numPr>
      </w:pPr>
      <w:r>
        <w:rPr>
          <w:b/>
          <w:bCs/>
        </w:rPr>
        <w:t xml:space="preserve">Section detection.</w:t>
      </w:r>
      <w:r>
        <w:t xml:space="preserve"> </w:t>
      </w:r>
      <w:r>
        <w:t xml:space="preserve">A regular-expression pass identifies common resume section headers (</w:t>
      </w:r>
      <w:r>
        <w:rPr>
          <w:rStyle w:val="VerbatimChar"/>
        </w:rPr>
        <w:t xml:space="preserve">Summary</w:t>
      </w:r>
      <w:r>
        <w:t xml:space="preserve">,</w:t>
      </w:r>
      <w:r>
        <w:t xml:space="preserve"> </w:t>
      </w:r>
      <w:r>
        <w:rPr>
          <w:rStyle w:val="VerbatimChar"/>
        </w:rPr>
        <w:t xml:space="preserve">Experience</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Certifications</w:t>
      </w:r>
      <w:r>
        <w:t xml:space="preserve">) and returns the set of sections present.</w:t>
      </w:r>
    </w:p>
    <w:p>
      <w:pPr>
        <w:pStyle w:val="Compact"/>
        <w:numPr>
          <w:ilvl w:val="0"/>
          <w:numId w:val="1006"/>
        </w:numPr>
      </w:pPr>
      <w:r>
        <w:rPr>
          <w:b/>
          <w:bCs/>
        </w:rPr>
        <w:t xml:space="preserve">Keyword extraction.</w:t>
      </w:r>
      <w:r>
        <w:t xml:space="preserve"> </w:t>
      </w:r>
      <w: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pPr>
      <w:r>
        <w:rPr>
          <w:b/>
          <w:bCs/>
        </w:rPr>
        <w:t xml:space="preserve">Quantification detection.</w:t>
      </w:r>
      <w:r>
        <w:t xml:space="preserve"> </w:t>
      </w:r>
      <w:r>
        <w:t xml:space="preserve">Bullet lines are scanned for numbers, percentages, currency tokens, and time periods that indicate measurable outcomes. The count of quantified bullets is one of the inputs to the</w:t>
      </w:r>
      <w:r>
        <w:t xml:space="preserve"> </w:t>
      </w:r>
      <w:r>
        <w:rPr>
          <w:i/>
          <w:iCs/>
        </w:rPr>
        <w:t xml:space="preserve">impact</w:t>
      </w:r>
      <w:r>
        <w:t xml:space="preserve"> </w:t>
      </w:r>
      <w:r>
        <w:t xml:space="preserve">sub-score.</w:t>
      </w:r>
    </w:p>
    <w:p>
      <w:pPr>
        <w:pStyle w:val="Compact"/>
        <w:numPr>
          <w:ilvl w:val="0"/>
          <w:numId w:val="1006"/>
        </w:numPr>
      </w:pPr>
      <w:r>
        <w:rPr>
          <w:b/>
          <w:bCs/>
        </w:rPr>
        <w:t xml:space="preserve">Skill extraction.</w:t>
      </w:r>
      <w:r>
        <w:t xml:space="preserve"> </w:t>
      </w:r>
      <w: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pPr>
      <w:r>
        <w:rPr>
          <w:b/>
          <w:bCs/>
        </w:rPr>
        <w:t xml:space="preserve">Structural metrics.</w:t>
      </w:r>
      <w:r>
        <w:t xml:space="preserve"> </w:t>
      </w:r>
      <w:r>
        <w:t xml:space="preserve">The total bullet count, the word count, and the number of detected sections are returned as inputs to the</w:t>
      </w:r>
      <w:r>
        <w:t xml:space="preserve"> </w:t>
      </w:r>
      <w:r>
        <w:rPr>
          <w:i/>
          <w:iCs/>
        </w:rPr>
        <w:t xml:space="preserve">structure</w:t>
      </w:r>
      <w:r>
        <w:t xml:space="preserve">,</w:t>
      </w:r>
      <w:r>
        <w:t xml:space="preserve"> </w:t>
      </w:r>
      <w:r>
        <w:rPr>
          <w:i/>
          <w:iCs/>
        </w:rPr>
        <w:t xml:space="preserve">clarity</w:t>
      </w:r>
      <w:r>
        <w:t xml:space="preserve">, and</w:t>
      </w:r>
      <w:r>
        <w:t xml:space="preserve"> </w:t>
      </w:r>
      <w:r>
        <w:rPr>
          <w:i/>
          <w:iCs/>
        </w:rPr>
        <w:t xml:space="preserve">completeness</w:t>
      </w:r>
      <w:r>
        <w:t xml:space="preserve"> </w:t>
      </w:r>
      <w:r>
        <w:t xml:space="preserve">sub-scores.</w:t>
      </w:r>
    </w:p>
    <w:p>
      <w:pPr>
        <w:pStyle w:val="FirstParagraph"/>
      </w:pPr>
      <w:r>
        <w:t xml:space="preserve">The five-axis score breakdown (keyword alignment, impact, structure, clarity, and completeness) is computed from these extractions through</w:t>
      </w:r>
      <w:r>
        <w:t xml:space="preserve"> </w:t>
      </w:r>
      <w:r>
        <w:rPr>
          <w:rStyle w:val="VerbatimChar"/>
        </w:rPr>
        <w:t xml:space="preserve">compute_resume_breakdown</w:t>
      </w:r>
      <w:r>
        <w:t xml:space="preserve"> </w:t>
      </w:r>
      <w:r>
        <w:t xml:space="preserve">in</w:t>
      </w:r>
      <w:r>
        <w:t xml:space="preserve"> </w:t>
      </w:r>
      <w:r>
        <w:rPr>
          <w:rStyle w:val="VerbatimChar"/>
        </w:rPr>
        <w:t xml:space="preserve">app/services/quality_signals.py</w:t>
      </w:r>
      <w:r>
        <w:t xml:space="preserve">. Each sub-score is clamped to the integer range [0, 100].</w:t>
      </w:r>
    </w:p>
    <w:bookmarkEnd w:id="57"/>
    <w:bookmarkStart w:id="58" w:name="prompt-and-post-processing"/>
    <w:p>
      <w:pPr>
        <w:pStyle w:val="Heading3"/>
      </w:pPr>
      <w:r>
        <w:t xml:space="preserve">3.2.3 Prompt and post-processing</w:t>
      </w:r>
    </w:p>
    <w:p>
      <w:pPr>
        <w:pStyle w:val="FirstParagraph"/>
      </w:pPr>
      <w:r>
        <w:t xml:space="preserve">The resume prompt (</w:t>
      </w:r>
      <w:r>
        <w:rPr>
          <w:rStyle w:val="VerbatimChar"/>
        </w:rPr>
        <w:t xml:space="preserve">app/prompts/resume.py</w:t>
      </w:r>
      <w: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t xml:space="preserve"> </w:t>
      </w:r>
      <w:r>
        <w:rPr>
          <w:rStyle w:val="VerbatimChar"/>
        </w:rPr>
        <w:t xml:space="preserve">why_it_matters</w:t>
      </w:r>
      <w:r>
        <w:t xml:space="preserve">,</w:t>
      </w:r>
      <w:r>
        <w:t xml:space="preserve"> </w:t>
      </w:r>
      <w:r>
        <w:rPr>
          <w:rStyle w:val="VerbatimChar"/>
        </w:rPr>
        <w:t xml:space="preserve">evidence</w:t>
      </w:r>
      <w:r>
        <w:t xml:space="preserve">, and</w:t>
      </w:r>
      <w:r>
        <w:t xml:space="preserve"> </w:t>
      </w:r>
      <w:r>
        <w:rPr>
          <w:rStyle w:val="VerbatimChar"/>
        </w:rPr>
        <w:t xml:space="preserve">fix</w:t>
      </w:r>
      <w:r>
        <w:t xml:space="preserve"> </w:t>
      </w:r>
      <w:r>
        <w:t xml:space="preserve">fields, and to produce up to three prioritised top actions that may be different in framing from the issues. When the user has specified a target role label in the job description, the LLM additionally produces a</w:t>
      </w:r>
      <w:r>
        <w:t xml:space="preserve"> </w:t>
      </w:r>
      <w:r>
        <w:rPr>
          <w:rStyle w:val="VerbatimChar"/>
        </w:rPr>
        <w:t xml:space="preserve">role_fit</w:t>
      </w:r>
      <w:r>
        <w:t xml:space="preserve"> </w:t>
      </w:r>
      <w:r>
        <w:t xml:space="preserve">block with a fit score and a rationale.</w:t>
      </w:r>
    </w:p>
    <w:p>
      <w:pPr>
        <w:pStyle w:val="BodyText"/>
      </w:pPr>
      <w:r>
        <w:t xml:space="preserve">The service then computes the blended score (heuristic 40%, LLM 60%) following the formula in Section 4.2 and returns a unified response object. When the heuristic and LLM overall scores diverge by more than 20 points, an explicit</w:t>
      </w:r>
      <w:r>
        <w:t xml:space="preserve"> </w:t>
      </w:r>
      <w:r>
        <w:rPr>
          <w:rStyle w:val="VerbatimChar"/>
        </w:rPr>
        <w:t xml:space="preserve">confidence_note</w:t>
      </w:r>
      <w:r>
        <w:t xml:space="preserve"> </w:t>
      </w:r>
      <w:r>
        <w:t xml:space="preserve">is added to the response surface so that the user understands that two independent estimates disagreed.</w:t>
      </w:r>
    </w:p>
    <w:bookmarkEnd w:id="58"/>
    <w:bookmarkEnd w:id="59"/>
    <w:bookmarkStart w:id="63" w:name="job-match"/>
    <w:p>
      <w:pPr>
        <w:pStyle w:val="Heading2"/>
      </w:pPr>
      <w:r>
        <w:t xml:space="preserve">3.3 Job Match</w:t>
      </w:r>
    </w:p>
    <w:p>
      <w:pPr>
        <w:pStyle w:val="FirstParagraph"/>
      </w:pPr>
      <w:r>
        <w:t xml:space="preserve">The Job Match tool accepts a resume and a job description (provided as text or as a URL) and produces a structured match assessment.</w:t>
      </w:r>
    </w:p>
    <w:bookmarkStart w:id="60" w:name="input-contract-1"/>
    <w:p>
      <w:pPr>
        <w:pStyle w:val="Heading3"/>
      </w:pPr>
      <w:r>
        <w:t xml:space="preserve">3.3.1 Input contract</w:t>
      </w:r>
    </w:p>
    <w:p>
      <w:pPr>
        <w:pStyle w:val="FirstParagraph"/>
      </w:pPr>
      <w: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pPr>
      <w:r>
        <w:t xml:space="preserve">3.3.2 Heuristic prepass</w:t>
      </w:r>
    </w:p>
    <w:p>
      <w:pPr>
        <w:pStyle w:val="FirstParagraph"/>
      </w:pPr>
      <w:r>
        <w:t xml:space="preserve">The Job Match prepass extends the Resume Analyzer prepass with a single additional output: a deterministic match score computed from the matched-keyword and missing-keyword lists through</w:t>
      </w:r>
      <w:r>
        <w:t xml:space="preserve"> </w:t>
      </w:r>
      <w:r>
        <w:rPr>
          <w:rStyle w:val="VerbatimChar"/>
        </w:rPr>
        <w:t xml:space="preserve">compute_match_score</w:t>
      </w:r>
      <w:r>
        <w:t xml:space="preserve"> </w:t>
      </w:r>
      <w:r>
        <w:t xml:space="preserve">in</w:t>
      </w:r>
      <w:r>
        <w:t xml:space="preserve"> </w:t>
      </w:r>
      <w:r>
        <w:rPr>
          <w:rStyle w:val="VerbatimChar"/>
        </w:rPr>
        <w:t xml:space="preserve">app/services/quality_signals.py</w:t>
      </w:r>
      <w:r>
        <w:t xml:space="preserve">. The function returns a value in [0, 100] derived from the matched-to-total ratio. The deterministic verdict (</w:t>
      </w:r>
      <w:r>
        <w:rPr>
          <w:rStyle w:val="VerbatimChar"/>
        </w:rPr>
        <w:t xml:space="preserve">strong</w:t>
      </w:r>
      <w:r>
        <w:t xml:space="preserve">,</w:t>
      </w:r>
      <w:r>
        <w:t xml:space="preserve"> </w:t>
      </w:r>
      <w:r>
        <w:rPr>
          <w:rStyle w:val="VerbatimChar"/>
        </w:rPr>
        <w:t xml:space="preserve">borderline</w:t>
      </w:r>
      <w:r>
        <w:t xml:space="preserve">,</w:t>
      </w:r>
      <w:r>
        <w:t xml:space="preserve"> </w:t>
      </w:r>
      <w:r>
        <w:rPr>
          <w:rStyle w:val="VerbatimChar"/>
        </w:rPr>
        <w:t xml:space="preserve">stretch</w:t>
      </w:r>
      <w:r>
        <w:t xml:space="preserve">) is read off this score by</w:t>
      </w:r>
      <w:r>
        <w:t xml:space="preserve"> </w:t>
      </w:r>
      <w:r>
        <w:rPr>
          <w:rStyle w:val="VerbatimChar"/>
        </w:rPr>
        <w:t xml:space="preserve">job_match_verdict</w:t>
      </w:r>
      <w:r>
        <w:t xml:space="preserve">.</w:t>
      </w:r>
    </w:p>
    <w:bookmarkEnd w:id="61"/>
    <w:bookmarkStart w:id="62" w:name="prompt-and-post-processing-1"/>
    <w:p>
      <w:pPr>
        <w:pStyle w:val="Heading3"/>
      </w:pPr>
      <w:r>
        <w:t xml:space="preserve">3.3.3 Prompt and post-processing</w:t>
      </w:r>
    </w:p>
    <w:p>
      <w:pPr>
        <w:pStyle w:val="FirstParagraph"/>
      </w:pPr>
      <w:r>
        <w:t xml:space="preserve">The Job Match prompt (</w:t>
      </w:r>
      <w:r>
        <w:rPr>
          <w:rStyle w:val="VerbatimChar"/>
        </w:rPr>
        <w:t xml:space="preserve">app/prompts/job_match.py</w:t>
      </w:r>
      <w:r>
        <w:t xml:space="preserve">) instructs the LLM to produce a structured requirement-by-requirement breakdown. For each detected role requirement, the LLM populates an importance (</w:t>
      </w:r>
      <w:r>
        <w:rPr>
          <w:rStyle w:val="VerbatimChar"/>
        </w:rPr>
        <w:t xml:space="preserve">must</w:t>
      </w:r>
      <w:r>
        <w:t xml:space="preserve"> </w:t>
      </w:r>
      <w:r>
        <w:t xml:space="preserve">/</w:t>
      </w:r>
      <w:r>
        <w:t xml:space="preserve"> </w:t>
      </w:r>
      <w:r>
        <w:rPr>
          <w:rStyle w:val="VerbatimChar"/>
        </w:rPr>
        <w:t xml:space="preserve">preferred</w:t>
      </w:r>
      <w:r>
        <w:t xml:space="preserve">), a status (</w:t>
      </w:r>
      <w:r>
        <w:rPr>
          <w:rStyle w:val="VerbatimChar"/>
        </w:rPr>
        <w:t xml:space="preserve">matched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pPr>
      <w: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62"/>
    <w:bookmarkEnd w:id="63"/>
    <w:bookmarkStart w:id="66" w:name="career-path"/>
    <w:p>
      <w:pPr>
        <w:pStyle w:val="Heading2"/>
      </w:pPr>
      <w:r>
        <w:t xml:space="preserve">3.4 Career Path</w:t>
      </w:r>
    </w:p>
    <w:p>
      <w:pPr>
        <w:pStyle w:val="FirstParagraph"/>
      </w:pPr>
      <w:r>
        <w:t xml:space="preserve">The Career Path tool produces forward-looking career suggestions from the resume alone. Unlike Resume Analyzer and Job Match, it does not consume a job description; the user instead optionally supplies a free-form preference string (</w:t>
      </w:r>
      <w:r>
        <w:t xml:space="preserve">“interested in management”</w:t>
      </w:r>
      <w:r>
        <w:t xml:space="preserve">,</w:t>
      </w:r>
      <w:r>
        <w:t xml:space="preserve"> </w:t>
      </w:r>
      <w:r>
        <w:t xml:space="preserve">“want to stay technical”</w:t>
      </w:r>
      <w:r>
        <w:t xml:space="preserve">) that is folded into the prompt.</w:t>
      </w:r>
    </w:p>
    <w:bookmarkStart w:id="64" w:name="heuristic-prepass-2"/>
    <w:p>
      <w:pPr>
        <w:pStyle w:val="Heading3"/>
      </w:pPr>
      <w:r>
        <w:t xml:space="preserve">3.4.1 Heuristic prepass</w:t>
      </w:r>
    </w:p>
    <w:p>
      <w:pPr>
        <w:pStyle w:val="FirstParagraph"/>
      </w:pPr>
      <w:r>
        <w:t xml:space="preserve">The prepass extracts three coarse profile signals from the resume: an inferred</w:t>
      </w:r>
      <w:r>
        <w:t xml:space="preserve"> </w:t>
      </w:r>
      <w:r>
        <w:rPr>
          <w:i/>
          <w:iCs/>
        </w:rPr>
        <w:t xml:space="preserve">discipline</w:t>
      </w:r>
      <w:r>
        <w:t xml:space="preserve"> </w:t>
      </w:r>
      <w:r>
        <w:t xml:space="preserve">(backend-engineering, frontend-engineering, full-stack-engineering, data-analytics, product-design, etc., among ~10 supported categories), an inferred</w:t>
      </w:r>
      <w:r>
        <w:t xml:space="preserve"> </w:t>
      </w:r>
      <w:r>
        <w:rPr>
          <w:i/>
          <w:iCs/>
        </w:rPr>
        <w:t xml:space="preserve">seniority</w:t>
      </w:r>
      <w:r>
        <w:t xml:space="preserve"> </w:t>
      </w:r>
      <w:r>
        <w:t xml:space="preserve">(junior, mid, senior), and an estimated</w:t>
      </w:r>
      <w:r>
        <w:t xml:space="preserve"> </w:t>
      </w:r>
      <w:r>
        <w:rPr>
          <w:i/>
          <w:iCs/>
        </w:rPr>
        <w:t xml:space="preserve">years of experience</w:t>
      </w:r>
      <w:r>
        <w:t xml:space="preserve">. Each inference is conservative; when confidence is low, the prepass returns the most general label.</w:t>
      </w:r>
    </w:p>
    <w:p>
      <w:pPr>
        <w:pStyle w:val="BodyText"/>
      </w:pPr>
      <w:r>
        <w:t xml:space="preserve">For every discipline, a curated</w:t>
      </w:r>
      <w:r>
        <w:t xml:space="preserve"> </w:t>
      </w:r>
      <w:r>
        <w:rPr>
          <w:rStyle w:val="VerbatimChar"/>
        </w:rPr>
        <w:t xml:space="preserve">DISCIPLINE_TARGET_SKILLS</w:t>
      </w:r>
      <w:r>
        <w:t xml:space="preserve"> </w:t>
      </w:r>
      <w:r>
        <w:t xml:space="preserve">mapping defined in</w:t>
      </w:r>
      <w:r>
        <w:t xml:space="preserve"> </w:t>
      </w:r>
      <w:r>
        <w:rPr>
          <w:rStyle w:val="VerbatimChar"/>
        </w:rPr>
        <w:t xml:space="preserve">app/services/career_recommender.py</w:t>
      </w:r>
      <w:r>
        <w:t xml:space="preserve"> </w:t>
      </w:r>
      <w: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pPr>
      <w:r>
        <w:t xml:space="preserve">3.4.2 Prompt and post-processing</w:t>
      </w:r>
    </w:p>
    <w:p>
      <w:pPr>
        <w:pStyle w:val="FirstParagraph"/>
      </w:pPr>
      <w: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pPr>
      <w:r>
        <w:t xml:space="preserve">3.5 Cover Letter</w:t>
      </w:r>
    </w:p>
    <w:p>
      <w:pPr>
        <w:pStyle w:val="FirstParagraph"/>
      </w:pPr>
      <w: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pPr>
      <w:r>
        <w:t xml:space="preserve">3.5.1 Prompt and post-processing</w:t>
      </w:r>
    </w:p>
    <w:p>
      <w:pPr>
        <w:pStyle w:val="FirstParagraph"/>
      </w:pPr>
      <w: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(neither overly formal nor casual) and to avoid clichés that recruiters report fatigue with (the prompt includes an explicit blocklist of phrases such as</w:t>
      </w:r>
      <w:r>
        <w:t xml:space="preserve"> </w:t>
      </w:r>
      <w:r>
        <w:t xml:space="preserve">“team player”</w:t>
      </w:r>
      <w:r>
        <w:t xml:space="preserve">,</w:t>
      </w:r>
      <w:r>
        <w:t xml:space="preserve"> </w:t>
      </w:r>
      <w:r>
        <w:t xml:space="preserve">“synergy”</w:t>
      </w:r>
      <w:r>
        <w:t xml:space="preserve">, and</w:t>
      </w:r>
      <w:r>
        <w:t xml:space="preserve"> </w:t>
      </w:r>
      <w:r>
        <w:t xml:space="preserve">“passionate self-starter”</w:t>
      </w:r>
      <w:r>
        <w:t xml:space="preserve">). The response also includes three short alternative opening lines, allowing the user to swap the opening without regenerating the whole letter.</w:t>
      </w:r>
    </w:p>
    <w:bookmarkEnd w:id="67"/>
    <w:bookmarkEnd w:id="68"/>
    <w:bookmarkStart w:id="70" w:name="interview-qa"/>
    <w:p>
      <w:pPr>
        <w:pStyle w:val="Heading2"/>
      </w:pPr>
      <w:r>
        <w:t xml:space="preserve">3.6 Interview Q&amp;A</w:t>
      </w:r>
    </w:p>
    <w:p>
      <w:pPr>
        <w:pStyle w:val="FirstParagraph"/>
      </w:pPr>
      <w:r>
        <w:t xml:space="preserve">The Interview Q&amp;A tool produces a curated list of likely interview questions for a given resume and job description. It is LLM-only.</w:t>
      </w:r>
    </w:p>
    <w:bookmarkStart w:id="69" w:name="prompt-and-post-processing-4"/>
    <w:p>
      <w:pPr>
        <w:pStyle w:val="Heading3"/>
      </w:pPr>
      <w:r>
        <w:t xml:space="preserve">3.6.1 Prompt and post-processing</w:t>
      </w:r>
    </w:p>
    <w:p>
      <w:pPr>
        <w:pStyle w:val="FirstParagraph"/>
      </w:pPr>
      <w:r>
        <w:t xml:space="preserve">The prompt asks the LLM to cluster the generated questions into three categories (</w:t>
      </w:r>
      <w:r>
        <w:rPr>
          <w:i/>
          <w:iCs/>
        </w:rPr>
        <w:t xml:space="preserve">behavioural</w:t>
      </w:r>
      <w:r>
        <w:t xml:space="preserve">,</w:t>
      </w:r>
      <w:r>
        <w:t xml:space="preserve"> </w:t>
      </w:r>
      <w:r>
        <w:rPr>
          <w:i/>
          <w:iCs/>
        </w:rPr>
        <w:t xml:space="preserve">technical</w:t>
      </w:r>
      <w:r>
        <w:t xml:space="preserve">, and</w:t>
      </w:r>
      <w:r>
        <w:t xml:space="preserve"> </w:t>
      </w:r>
      <w:r>
        <w:rPr>
          <w:i/>
          <w:iCs/>
        </w:rPr>
        <w:t xml:space="preserve">role-specific</w:t>
      </w:r>
      <w: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pPr>
      <w: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t xml:space="preserve"> </w:t>
      </w:r>
      <w:r>
        <w:rPr>
          <w:rStyle w:val="VerbatimChar"/>
        </w:rPr>
        <w:t xml:space="preserve">LLM_PRACTICE_MODEL</w:t>
      </w:r>
      <w: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9"/>
    <w:bookmarkEnd w:id="70"/>
    <w:bookmarkStart w:id="72" w:name="portfolio-planner"/>
    <w:p>
      <w:pPr>
        <w:pStyle w:val="Heading2"/>
      </w:pPr>
      <w:r>
        <w:t xml:space="preserve">3.7 Portfolio Planner</w:t>
      </w:r>
    </w:p>
    <w:p>
      <w:pPr>
        <w:pStyle w:val="FirstParagraph"/>
      </w:pPr>
      <w: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pPr>
      <w:r>
        <w:t xml:space="preserve">3.7.1 Prompt and post-processing</w:t>
      </w:r>
    </w:p>
    <w:p>
      <w:pPr>
        <w:pStyle w:val="FirstParagraph"/>
      </w:pPr>
      <w:r>
        <w:t xml:space="preserve">The prepass detects the resume’s discipline and seniority (the same inference used by Career Path) and identifies up to ten skills that the resume</w:t>
      </w:r>
      <w:r>
        <w:t xml:space="preserve"> </w:t>
      </w:r>
      <w:r>
        <w:rPr>
          <w:i/>
          <w:iCs/>
        </w:rPr>
        <w:t xml:space="preserve">does not</w:t>
      </w:r>
      <w:r>
        <w:t xml:space="preserve"> </w:t>
      </w:r>
      <w: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pPr>
      <w:r>
        <w:t xml:space="preserve">3.8 Persistence, regeneration, and result history</w:t>
      </w:r>
    </w:p>
    <w:p>
      <w:pPr>
        <w:pStyle w:val="FirstParagraph"/>
      </w:pPr>
      <w:r>
        <w:t xml:space="preserve">Every tool result that runs in</w:t>
      </w:r>
      <w:r>
        <w:t xml:space="preserve"> </w:t>
      </w:r>
      <w:r>
        <w:rPr>
          <w:i/>
          <w:iCs/>
        </w:rPr>
        <w:t xml:space="preserve">authenticated</w:t>
      </w:r>
      <w:r>
        <w:t xml:space="preserve"> </w:t>
      </w:r>
      <w:r>
        <w:t xml:space="preserve">mode is persisted as a</w:t>
      </w:r>
      <w:r>
        <w:t xml:space="preserve"> </w:t>
      </w:r>
      <w:r>
        <w:rPr>
          <w:rStyle w:val="VerbatimChar"/>
        </w:rPr>
        <w:t xml:space="preserve">ToolRun</w:t>
      </w:r>
      <w:r>
        <w:t xml:space="preserve"> </w:t>
      </w:r>
      <w:r>
        <w:t xml:space="preserve">row through the shared pipeline (Chapter 2.3.2). The persistence layer adds three behaviours that are visible to the user.</w:t>
      </w:r>
    </w:p>
    <w:p>
      <w:pPr>
        <w:pStyle w:val="BodyText"/>
      </w:pPr>
      <w:r>
        <w:rPr>
          <w:b/>
          <w:bCs/>
        </w:rPr>
        <w:t xml:space="preserve">Result pages by history identifier.</w:t>
      </w:r>
      <w:r>
        <w:t xml:space="preserve"> </w:t>
      </w:r>
      <w:r>
        <w:t xml:space="preserve">The result of a tool run is rendered at</w:t>
      </w:r>
      <w:r>
        <w:t xml:space="preserve"> </w:t>
      </w:r>
      <w:r>
        <w:rPr>
          <w:rStyle w:val="VerbatimChar"/>
        </w:rPr>
        <w:t xml:space="preserve">/&lt;tool&gt;_/result/&lt;historyId&gt;</w:t>
      </w:r>
      <w:r>
        <w:t xml:space="preserve">, where the history identifier is the primary key of the</w:t>
      </w:r>
      <w:r>
        <w:t xml:space="preserve"> </w:t>
      </w:r>
      <w:r>
        <w:rPr>
          <w:rStyle w:val="VerbatimChar"/>
        </w:rPr>
        <w:t xml:space="preserve">ToolRun</w:t>
      </w:r>
      <w:r>
        <w:t xml:space="preserve"> </w:t>
      </w:r>
      <w:r>
        <w:t xml:space="preserve">row. The user can return to a result page later by visiting the URL directly, share the URL with a collaborator who has access to the same account, or reach the result through the</w:t>
      </w:r>
      <w:r>
        <w:t xml:space="preserve"> </w:t>
      </w:r>
      <w:r>
        <w:rPr>
          <w:i/>
          <w:iCs/>
        </w:rPr>
        <w:t xml:space="preserve">History</w:t>
      </w:r>
      <w:r>
        <w:t xml:space="preserve"> </w:t>
      </w:r>
      <w:r>
        <w:t xml:space="preserve">page that lists every run in reverse-chronological order.</w:t>
      </w:r>
    </w:p>
    <w:p>
      <w:pPr>
        <w:pStyle w:val="BodyText"/>
      </w:pPr>
      <w:r>
        <w:rPr>
          <w:b/>
          <w:bCs/>
        </w:rPr>
        <w:t xml:space="preserve">Regeneration as a parent–child chain.</w:t>
      </w:r>
      <w:r>
        <w:t xml:space="preserve"> </w:t>
      </w:r>
      <w:r>
        <w:t xml:space="preserve">When the user regenerates a result with feedback, a new</w:t>
      </w:r>
      <w:r>
        <w:t xml:space="preserve"> </w:t>
      </w:r>
      <w:r>
        <w:rPr>
          <w:rStyle w:val="VerbatimChar"/>
        </w:rPr>
        <w:t xml:space="preserve">ToolRun</w:t>
      </w:r>
      <w:r>
        <w:t xml:space="preserve"> </w:t>
      </w:r>
      <w:r>
        <w:t xml:space="preserve">row is written whose</w:t>
      </w:r>
      <w:r>
        <w:t xml:space="preserve"> </w:t>
      </w:r>
      <w:r>
        <w:rPr>
          <w:rStyle w:val="VerbatimChar"/>
        </w:rPr>
        <w:t xml:space="preserve">parent_run_id</w:t>
      </w:r>
      <w:r>
        <w:t xml:space="preserve"> </w:t>
      </w:r>
      <w:r>
        <w:t xml:space="preserve">points to the original. The history page renders this as a chain rather than as two unrelated entries, making it possible to walk back through earlier iterations of a single piece of analytical work.</w:t>
      </w:r>
    </w:p>
    <w:p>
      <w:pPr>
        <w:pStyle w:val="BodyText"/>
      </w:pPr>
      <w:r>
        <w:rPr>
          <w:b/>
          <w:bCs/>
        </w:rPr>
        <w:t xml:space="preserve">Cross-tool linkage.</w:t>
      </w:r>
      <w:r>
        <w:t xml:space="preserve"> </w:t>
      </w:r>
      <w:r>
        <w:t xml:space="preserve">A tool may consume the result of a previous tool as part of its input.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pPr>
      <w:r>
        <w:t xml:space="preserve">3.9 Reliability behaviour observed in production</w:t>
      </w:r>
    </w:p>
    <w:p>
      <w:pPr>
        <w:pStyle w:val="FirstParagraph"/>
      </w:pPr>
      <w:r>
        <w:t xml:space="preserve">In production traffic during the development period, the analytical tools (Resume Analyzer, Job Match) exhibited a heuristic-only fallback rate below one percent of all calls;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pPr>
      <w: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t xml:space="preserve"> </w:t>
      </w:r>
      <w:r>
        <w:rPr>
          <w:rStyle w:val="VerbatimChar"/>
        </w:rPr>
        <w:t xml:space="preserve">LLM_PRACTICE_MODEL</w:t>
      </w:r>
      <w:r>
        <w:t xml:space="preserve"> </w:t>
      </w:r>
      <w:r>
        <w:t xml:space="preserve">configuration is the result of that work). The Cover Letter tool produced the opposite kind of surprise; the structural prompt with the explicit blocklist of clichés produced usable letters on the first end-to-end iteration and required only minor adjustments after a small number of dogfooding runs.</w:t>
      </w:r>
    </w:p>
    <w:p>
      <w:pPr>
        <w:pStyle w:val="BodyText"/>
      </w:pPr>
      <w: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runtime switchability between the two scoring modes for the comparative study reported next.</w:t>
      </w:r>
    </w:p>
    <w:bookmarkEnd w:id="74"/>
    <w:bookmarkEnd w:id="75"/>
    <w:bookmarkStart w:id="104" w:name="chapter-4-conducted-studies-and-results"/>
    <w:p>
      <w:pPr>
        <w:pStyle w:val="Heading1"/>
      </w:pPr>
      <w:r>
        <w:t xml:space="preserve">Chapter 4 — Conducted studies and results</w:t>
      </w:r>
    </w:p>
    <w:p>
      <w:pPr>
        <w:pStyle w:val="FirstParagraph"/>
      </w:pPr>
      <w:r>
        <w:t xml:space="preserve">This chapter reports the empirical work of the thesis. The system described in Chapters 2 and 3 supports two modes for the analytical tools: a</w:t>
      </w:r>
      <w:r>
        <w:t xml:space="preserve"> </w:t>
      </w:r>
      <w:r>
        <w:rPr>
          <w:i/>
          <w:iCs/>
        </w:rPr>
        <w:t xml:space="preserve">blended mode</w:t>
      </w:r>
      <w:r>
        <w:t xml:space="preserve"> </w:t>
      </w:r>
      <w:r>
        <w:t xml:space="preserve">combining a heuristic baseline with the language-model output (40% / 60% weighting) and a</w:t>
      </w:r>
      <w:r>
        <w:t xml:space="preserve"> </w:t>
      </w:r>
      <w:r>
        <w:rPr>
          <w:i/>
          <w:iCs/>
        </w:rPr>
        <w:t xml:space="preserve">fully heuristic mode</w:t>
      </w:r>
      <w:r>
        <w:t xml:space="preserve"> </w:t>
      </w:r>
      <w: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pPr>
      <w:r>
        <w:t xml:space="preserve">The chapter is structured as follows. Section 4.1 specifies the methodology: the evaluation dataset, the metrics, the experimental controls. Section 4.2 introduces the strong heuristic (v2), the defendable replacement of the lightweight prepass described in Chapter 3. Section 4.3 reports the results. Section 4.4 discusses the limitations.</w:t>
      </w:r>
    </w:p>
    <w:bookmarkStart w:id="80" w:name="methodology"/>
    <w:p>
      <w:pPr>
        <w:pStyle w:val="Heading2"/>
      </w:pPr>
      <w:r>
        <w:t xml:space="preserve">4.1 Methodology</w:t>
      </w:r>
    </w:p>
    <w:bookmarkStart w:id="76" w:name="evaluation-dataset"/>
    <w:p>
      <w:pPr>
        <w:pStyle w:val="Heading3"/>
      </w:pPr>
      <w:r>
        <w:t xml:space="preserve">4.1.1 Evaluation dataset</w:t>
      </w:r>
    </w:p>
    <w:p>
      <w:pPr>
        <w:pStyle w:val="FirstParagraph"/>
      </w:pPr>
      <w:r>
        <w:t xml:space="preserve">The evaluation dataset consists of</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pPr>
      <w:r>
        <w:t xml:space="preserve">Both the resumes and the job descriptions are deterministically template-synthesised by the script</w:t>
      </w:r>
      <w:r>
        <w:t xml:space="preserve"> </w:t>
      </w:r>
      <w:r>
        <w:rPr>
          <w:rStyle w:val="VerbatimChar"/>
        </w:rPr>
        <w:t xml:space="preserve">scripts/synthesise_eval_dataset.py</w:t>
      </w:r>
      <w:r>
        <w:t xml:space="preserve"> </w:t>
      </w:r>
      <w:r>
        <w:t xml:space="preserve">from a fixed-seed (</w:t>
      </w:r>
      <w:r>
        <w:rPr>
          <w:rStyle w:val="VerbatimChar"/>
        </w:rPr>
        <w:t xml:space="preserve">SEED = 42</w:t>
      </w:r>
      <w: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draws from a track-specific</w:t>
      </w:r>
      <w:r>
        <w:t xml:space="preserve"> </w:t>
      </w:r>
      <w:r>
        <w:rPr>
          <w:rStyle w:val="VerbatimChar"/>
        </w:rPr>
        <w:t xml:space="preserve">resume_phrases</w:t>
      </w:r>
      <w:r>
        <w:t xml:space="preserve"> </w:t>
      </w:r>
      <w:r>
        <w:t xml:space="preserve">pool written in past-tense achievement framing, and the job-description body content draws from a separate</w:t>
      </w:r>
      <w:r>
        <w:t xml:space="preserve"> </w:t>
      </w:r>
      <w:r>
        <w:rPr>
          <w:rStyle w:val="VerbatimChar"/>
        </w:rPr>
        <w:t xml:space="preserve">jd_phrases</w:t>
      </w:r>
      <w:r>
        <w:t xml:space="preserve"> </w:t>
      </w:r>
      <w:r>
        <w:t xml:space="preserve">pool written in future-tense requirement framing. The two pools are</w:t>
      </w:r>
      <w:r>
        <w:t xml:space="preserve"> </w:t>
      </w:r>
      <w:r>
        <w:rPr>
          <w:i/>
          <w:iCs/>
        </w:rPr>
        <w:t xml:space="preserve">lexically disjoint</w:t>
      </w:r>
      <w:r>
        <w:t xml:space="preserve"> </w:t>
      </w:r>
      <w:r>
        <w:t xml:space="preserve">at the content-word level after stop-words and role-domain skill terms are removed; this construction was adopted as part of the Stage G mitigation of validity threat T1 (Section 4.1.4) so that keyword-overlap measurements between resume and JD sides are not artefactually inflated by phrase-template identity. Synthesising both sides of the pair rather than scraping public listings removes the privacy and licensing risks associated with persisting third-party content, but it introduces the residual validity threats discussed in Section 4.1.4.</w:t>
      </w:r>
    </w:p>
    <w:p>
      <w:pPr>
        <w:pStyle w:val="BodyText"/>
      </w:pPr>
      <w: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pPr>
      <w: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t xml:space="preserve"> </w:t>
      </w:r>
      <w:r>
        <w:rPr>
          <w:i/>
          <w:iCs/>
        </w:rPr>
        <w:t xml:space="preserve">blended mode</w:t>
      </w:r>
      <w:r>
        <w:t xml:space="preserve"> </w:t>
      </w:r>
      <w:r>
        <w:t xml:space="preserve">and once in</w:t>
      </w:r>
      <w:r>
        <w:t xml:space="preserve"> </w:t>
      </w:r>
      <w:r>
        <w:rPr>
          <w:i/>
          <w:iCs/>
        </w:rPr>
        <w:t xml:space="preserve">fully heuristic mode</w:t>
      </w:r>
      <w:r>
        <w:t xml:space="preserve">, producing two complete response objects per pair. The resulting dataset of 200 response objects is the basis for all metrics reported in Section 4.3.</w:t>
      </w:r>
    </w:p>
    <w:bookmarkEnd w:id="76"/>
    <w:bookmarkStart w:id="77" w:name="metrics"/>
    <w:p>
      <w:pPr>
        <w:pStyle w:val="Heading3"/>
      </w:pPr>
      <w:r>
        <w:t xml:space="preserve">4.1.2 Metrics</w:t>
      </w:r>
    </w:p>
    <w:p>
      <w:pPr>
        <w:pStyle w:val="FirstParagraph"/>
      </w:pPr>
      <w:r>
        <w:t xml:space="preserve">Four metrics are computed per pair.</w:t>
      </w:r>
    </w:p>
    <w:p>
      <w:pPr>
        <w:pStyle w:val="BodyText"/>
      </w:pPr>
      <w:r>
        <w:rPr>
          <w:b/>
          <w:bCs/>
        </w:rPr>
        <w:t xml:space="preserve">Score agreement.</w:t>
      </w:r>
      <w:r>
        <w:t xml:space="preserve"> </w:t>
      </w:r>
      <w:r>
        <w:t xml:space="preserve">The Pearson product–moment correlation</w:t>
      </w:r>
      <w:r>
        <w:t xml:space="preserve"> </w:t>
      </w:r>
      <w:r>
        <w:rPr>
          <w:i/>
          <w:iCs/>
        </w:rPr>
        <w:t xml:space="preserve">r</w:t>
      </w:r>
      <w:r>
        <w:t xml:space="preserve"> </w:t>
      </w:r>
      <w:r>
        <w:t xml:space="preserve">between the two modes’ overall scores measures linear association across all pairs. The Spearman rank correlation ρ and Kendall τ are also computed: these capture</w:t>
      </w:r>
      <w:r>
        <w:t xml:space="preserve"> </w:t>
      </w:r>
      <w:r>
        <w:rPr>
          <w:i/>
          <w:iCs/>
        </w:rPr>
        <w:t xml:space="preserve">rank</w:t>
      </w:r>
      <w:r>
        <w:t xml:space="preserve"> </w:t>
      </w:r>
      <w:r>
        <w:t xml:space="preserve">agreement, which is the property most relevant to using the heuristic as a screening signal even when its score scale differs from the blended mode. Values around</w:t>
      </w:r>
      <w:r>
        <w:t xml:space="preserve"> </w:t>
      </w:r>
      <w:r>
        <w:rPr>
          <w:i/>
          <w:iCs/>
        </w:rPr>
        <w:t xml:space="preserve">r</w:t>
      </w:r>
      <w:r>
        <w:t xml:space="preserve"> </w:t>
      </w:r>
      <w:r>
        <w:t xml:space="preserve">= 0.7 are sometimes used as soft anchors in retrieval-quality discussions [6]; this thesis treats the number as a reference point only, not as a hypothesis the chapter seeks to confirm.</w:t>
      </w:r>
    </w:p>
    <w:p>
      <w:pPr>
        <w:pStyle w:val="BodyText"/>
      </w:pPr>
      <w:r>
        <w:rPr>
          <w:b/>
          <w:bCs/>
        </w:rPr>
        <w:t xml:space="preserve">Score distribution.</w:t>
      </w:r>
      <w:r>
        <w:t xml:space="preserve"> </w:t>
      </w:r>
      <w: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pPr>
      <w:r>
        <w:rPr>
          <w:b/>
          <w:bCs/>
        </w:rPr>
        <w:t xml:space="preserve">Latency.</w:t>
      </w:r>
      <w:r>
        <w:t xml:space="preserve"> </w:t>
      </w:r>
      <w: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pPr>
      <w:r>
        <w:rPr>
          <w:b/>
          <w:bCs/>
        </w:rPr>
        <w:t xml:space="preserve">Per-call cost.</w:t>
      </w:r>
      <w:r>
        <w:t xml:space="preserve"> </w:t>
      </w:r>
      <w:r>
        <w:t xml:space="preserve">The marginal cost of a single tool invocation, expressed in US dollars. The blended mode incurs a Gemini 2.5 Flash bill for input and output tokens; the fully heuristic mode incurs no third-party charge.</w:t>
      </w:r>
    </w:p>
    <w:bookmarkEnd w:id="77"/>
    <w:bookmarkStart w:id="78" w:name="controls"/>
    <w:p>
      <w:pPr>
        <w:pStyle w:val="Heading3"/>
      </w:pPr>
      <w:r>
        <w:t xml:space="preserve">4.1.3 Controls</w:t>
      </w:r>
    </w:p>
    <w:p>
      <w:pPr>
        <w:pStyle w:val="FirstParagraph"/>
      </w:pPr>
      <w:r>
        <w:t xml:space="preserve">Three controls were applied to ensure the comparison is sound.</w:t>
      </w:r>
    </w:p>
    <w:p>
      <w:pPr>
        <w:pStyle w:val="BodyText"/>
      </w:pPr>
      <w:r>
        <w:t xml:space="preserve">The same content hash is used for both modes per pair, which prevents cache reuse from contaminating the latency numbers. Cache is otherwise disabled for the duration of the experimental run by setting</w:t>
      </w:r>
      <w:r>
        <w:t xml:space="preserve"> </w:t>
      </w:r>
      <w:r>
        <w:rPr>
          <w:rStyle w:val="VerbatimChar"/>
        </w:rPr>
        <w:t xml:space="preserve">RESULT_CACHE_ENABLED=false</w:t>
      </w:r>
      <w:r>
        <w:t xml:space="preserve">.</w:t>
      </w:r>
    </w:p>
    <w:p>
      <w:pPr>
        <w:pStyle w:val="BodyText"/>
      </w:pPr>
      <w:r>
        <w:t xml:space="preserve">The same heuristic implementation (selected through the</w:t>
      </w:r>
      <w:r>
        <w:t xml:space="preserve"> </w:t>
      </w:r>
      <w:r>
        <w:rPr>
          <w:rStyle w:val="VerbatimChar"/>
        </w:rPr>
        <w:t xml:space="preserve">HEURISTIC_VERSION</w:t>
      </w:r>
      <w:r>
        <w:t xml:space="preserve"> </w:t>
      </w:r>
      <w:r>
        <w:t xml:space="preserve">configuration) is used by both modes for the comparative run, so the only difference between the two runs is whether</w:t>
      </w:r>
      <w:r>
        <w:t xml:space="preserve"> </w:t>
      </w:r>
      <w:r>
        <w:rPr>
          <w:rStyle w:val="VerbatimChar"/>
        </w:rPr>
        <w:t xml:space="preserve">complete_structured</w:t>
      </w:r>
      <w:r>
        <w:t xml:space="preserve"> </w:t>
      </w:r>
      <w:r>
        <w:t xml:space="preserve">is invoked. This isolates the LLM contribution rather than confounding it with an upstream change to the prepass.</w:t>
      </w:r>
    </w:p>
    <w:p>
      <w:pPr>
        <w:pStyle w:val="BodyText"/>
      </w:pPr>
      <w: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78"/>
    <w:bookmarkStart w:id="79" w:name="threats-to-validity"/>
    <w:p>
      <w:pPr>
        <w:pStyle w:val="Heading3"/>
      </w:pPr>
      <w:r>
        <w:t xml:space="preserve">4.1.4 Threats to validity</w:t>
      </w:r>
    </w:p>
    <w:p>
      <w:pPr>
        <w:pStyle w:val="FirstParagraph"/>
      </w:pPr>
      <w:r>
        <w:t xml:space="preserve">Four threats to the validity of the comparative result reported in Section 4.3 are stated explicitly here so that the discussion in Section 4.4 and the limitation framing in Section 5.2 can refer back to them.</w:t>
      </w:r>
    </w:p>
    <w:p>
      <w:pPr>
        <w:pStyle w:val="BodyText"/>
      </w:pPr>
      <w:r>
        <w:rPr>
          <w:b/>
          <w:bCs/>
        </w:rPr>
        <w:t xml:space="preserve">T1 (Shared-vocabulary leakage between resume and job-description pools, MITIGATED).</w:t>
      </w:r>
      <w:r>
        <w:t xml:space="preserve"> </w:t>
      </w:r>
      <w:r>
        <w:t xml:space="preserve">The original synthesis script populated resume bullet content and the</w:t>
      </w:r>
      <w:r>
        <w:t xml:space="preserve"> </w:t>
      </w:r>
      <w:r>
        <w:t xml:space="preserve">“What you’ll do”</w:t>
      </w:r>
      <w:r>
        <w:t xml:space="preserve"> </w:t>
      </w:r>
      <w:r>
        <w:t xml:space="preserve">section of every job description from the</w:t>
      </w:r>
      <w:r>
        <w:t xml:space="preserve"> </w:t>
      </w:r>
      <w:r>
        <w:rPr>
          <w:i/>
          <w:iCs/>
        </w:rPr>
        <w:t xml:space="preserve">same</w:t>
      </w:r>
      <w:r>
        <w:t xml:space="preserve"> </w:t>
      </w:r>
      <w:r>
        <w:t xml:space="preserve">per-track responsibility list (the dictionary entry</w:t>
      </w:r>
      <w:r>
        <w:t xml:space="preserve"> </w:t>
      </w:r>
      <w:r>
        <w:rPr>
          <w:rStyle w:val="VerbatimChar"/>
        </w:rPr>
        <w:t xml:space="preserve">track["responsibilities"]</w:t>
      </w:r>
      <w:r>
        <w:t xml:space="preserve"> </w:t>
      </w:r>
      <w:r>
        <w:t xml:space="preserve">in the early version of</w:t>
      </w:r>
      <w:r>
        <w:t xml:space="preserve"> </w:t>
      </w:r>
      <w:r>
        <w:rPr>
          <w:rStyle w:val="VerbatimChar"/>
        </w:rPr>
        <w:t xml:space="preserve">scripts/synthesise_eval_dataset.py</w:t>
      </w:r>
      <w:r>
        <w:t xml:space="preserve">). In some pairs identical sentences appeared on both sides; the pair</w:t>
      </w:r>
      <w:r>
        <w:t xml:space="preserve"> </w:t>
      </w:r>
      <w:r>
        <w:rPr>
          <w:rStyle w:val="VerbatimChar"/>
        </w:rPr>
        <w:t xml:space="preserve">r-backend-01__jd-backend-02</w:t>
      </w:r>
      <w:r>
        <w:t xml:space="preserve"> </w:t>
      </w:r>
      <w:r>
        <w:t xml:space="preserve">contained the literal sentence</w:t>
      </w:r>
      <w:r>
        <w:t xml:space="preserve"> </w:t>
      </w:r>
      <w:r>
        <w:t xml:space="preserve">“designed and shipped REST APIs serving production traffic”</w:t>
      </w:r>
      <w:r>
        <w:t xml:space="preserve"> </w:t>
      </w:r>
      <w:r>
        <w:t xml:space="preserve">in both the resume bullet list and the job-description responsibilities. The keyword-axis correlation observed in the leakage version (Pearson</w:t>
      </w:r>
      <w:r>
        <w:t xml:space="preserve"> </w:t>
      </w:r>
      <w:r>
        <w:rPr>
          <w:i/>
          <w:iCs/>
        </w:rPr>
        <w:t xml:space="preserve">r</w:t>
      </w:r>
      <w:r>
        <w:t xml:space="preserve"> </w:t>
      </w:r>
      <w:r>
        <w:t xml:space="preserve">= 0.941) was consistent with this construction: both scoring modes consumed the same lexical surface that the synthesis had injected on both sides. The dataset has been regenerated under a disjoint-vocabulary construction: each role track now exposes two separate phrase pools (</w:t>
      </w:r>
      <w:r>
        <w:rPr>
          <w:rStyle w:val="VerbatimChar"/>
        </w:rPr>
        <w:t xml:space="preserve">resume_phrases</w:t>
      </w:r>
      <w:r>
        <w:t xml:space="preserve"> </w:t>
      </w:r>
      <w:r>
        <w:t xml:space="preserve">in past-tense achievement framing,</w:t>
      </w:r>
      <w:r>
        <w:t xml:space="preserve"> </w:t>
      </w:r>
      <w:r>
        <w:rPr>
          <w:rStyle w:val="VerbatimChar"/>
        </w:rPr>
        <w:t xml:space="preserve">jd_phrases</w:t>
      </w:r>
      <w:r>
        <w:t xml:space="preserve"> </w:t>
      </w:r>
      <w:r>
        <w:t xml:space="preserve">in future-tense requirement framing) whose lexical content is disjoint at the content-word level after stop-words and role-domain skill terms are removed. The verification script</w:t>
      </w:r>
      <w:r>
        <w:t xml:space="preserve"> </w:t>
      </w:r>
      <w:r>
        <w:rPr>
          <w:rStyle w:val="VerbatimChar"/>
        </w:rPr>
        <w:t xml:space="preserve">scripts/verify_disjoint_pools.py</w:t>
      </w:r>
      <w:r>
        <w:t xml:space="preserve"> </w:t>
      </w:r>
      <w:r>
        <w:t xml:space="preserve">(committed alongside the synthesis script) reports that per-pair content-token overlap dropped from a mean of 11.82 in the leakage version to 0.44 in the disjoint-pool version, a 27× reduction; zero pairs flag the &gt;3-token threshold against 97 in the leakage version. The numbers reported in Section 4.3 are post-mitigation; the leakage-version dataset and its results are archived as</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for an explicit before/after comparison.</w:t>
      </w:r>
    </w:p>
    <w:p>
      <w:pPr>
        <w:pStyle w:val="BodyText"/>
      </w:pPr>
      <w:r>
        <w:rPr>
          <w:b/>
          <w:bCs/>
        </w:rPr>
        <w:t xml:space="preserve">T2 (Self-correlation between the two compared modes, MEASURED).</w:t>
      </w:r>
      <w:r>
        <w:t xml:space="preserve"> </w:t>
      </w:r>
      <w:r>
        <w:t xml:space="preserve">The blended-mode overall score is computed as a weighted mean</w:t>
      </w:r>
      <w:r>
        <w:t xml:space="preserve"> </w:t>
      </w:r>
      <w:r>
        <w:rPr>
          <w:i/>
          <w:iCs/>
        </w:rPr>
        <w:t xml:space="preserve">0.40 × heuristic_score + 0.60 × llm_score</w:t>
      </w:r>
      <w:r>
        <w:t xml:space="preserve"> </w:t>
      </w:r>
      <w:r>
        <w:t xml:space="preserve">(Sections 3.2.3 and 4.2.7); the heuristic-only mode score is the</w:t>
      </w:r>
      <w:r>
        <w:t xml:space="preserve"> </w:t>
      </w:r>
      <w:r>
        <w:rPr>
          <w:i/>
          <w:iCs/>
        </w:rPr>
        <w:t xml:space="preserve">heuristic_score</w:t>
      </w:r>
      <w:r>
        <w:t xml:space="preserve"> </w:t>
      </w:r>
      <w:r>
        <w:t xml:space="preserve">alone. The Pearson correlation between the blended mode and the heuristic-only mode therefore contains a structural floor of agreement attributable to the 0.40 component the two share by construction, even before the language model contributes any signal. Because the heuristic prepass is exposed to the LLM as a</w:t>
      </w:r>
      <w:r>
        <w:t xml:space="preserve"> </w:t>
      </w:r>
      <w:r>
        <w:rPr>
          <w:i/>
          <w:iCs/>
        </w:rPr>
        <w:t xml:space="preserve">locked payload</w:t>
      </w:r>
      <w:r>
        <w:t xml:space="preserve"> </w:t>
      </w:r>
      <w:r>
        <w:t xml:space="preserve">(Section 3.2.3), meaning the heuristic component of the blended score is invariant under the LLM call, the LLM-only score is recoverable post-hoc from the same per-pair results without any additional API calls:</w:t>
      </w:r>
      <w:r>
        <w:t xml:space="preserve"> </w:t>
      </w:r>
      <w:r>
        <w:rPr>
          <w:i/>
          <w:iCs/>
        </w:rPr>
        <w:t xml:space="preserve">llm_only = (blended − 0.4 × heuristic) / 0.6</w:t>
      </w:r>
      <w:r>
        <w:t xml:space="preserve">. Section 4.3.1’ reports the resulting LLM-only-versus-heuristic correlation alongside the headline blended-versus-heuristic correlation, so the structural component is now isolated from the cross-mode agreement.</w:t>
      </w:r>
    </w:p>
    <w:p>
      <w:pPr>
        <w:pStyle w:val="BodyText"/>
      </w:pPr>
      <w:r>
        <w:rPr>
          <w:b/>
          <w:bCs/>
        </w:rPr>
        <w:t xml:space="preserve">T3 (Non-independent paired observations, ADDRESSED).</w:t>
      </w:r>
      <w:r>
        <w:t xml:space="preserve"> </w:t>
      </w:r>
      <w: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now accompanied by 95% confidence intervals computed via cluster bootstrap on</w:t>
      </w:r>
      <w:r>
        <w:t xml:space="preserve"> </w:t>
      </w:r>
      <w:r>
        <w:rPr>
          <w:rStyle w:val="VerbatimChar"/>
        </w:rPr>
        <w:t xml:space="preserve">resume_id</w:t>
      </w:r>
      <w:r>
        <w:t xml:space="preserve"> </w:t>
      </w:r>
      <w:r>
        <w:t xml:space="preserve">with 2 000 resamples and</w:t>
      </w:r>
      <w:r>
        <w:t xml:space="preserve"> </w:t>
      </w:r>
      <w:r>
        <w:rPr>
          <w:rStyle w:val="VerbatimChar"/>
        </w:rPr>
        <w:t xml:space="preserve">seed=42</w:t>
      </w:r>
      <w:r>
        <w:t xml:space="preserve"> </w:t>
      </w:r>
      <w:r>
        <w:t xml:space="preserve">(</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pairs sharing a resume are resampled together so that the in-track pairing structure is honoured. The intervals are wider than an independent-and-identically-distributed assumption would suggest, as expected.</w:t>
      </w:r>
    </w:p>
    <w:p>
      <w:pPr>
        <w:pStyle w:val="BodyText"/>
      </w:pPr>
      <w:r>
        <w:rPr>
          <w:b/>
          <w:bCs/>
        </w:rPr>
        <w:t xml:space="preserve">T4 (Post-hoc heuristic design, DISCLOSED but not closed).</w:t>
      </w:r>
      <w:r>
        <w:t xml:space="preserve"> </w:t>
      </w:r>
      <w:r>
        <w:t xml:space="preserve">The strong heuristic v2 specified in Section 4.2 was designed</w:t>
      </w:r>
      <w:r>
        <w:t xml:space="preserve"> </w:t>
      </w:r>
      <w:r>
        <w:rPr>
          <w:i/>
          <w:iCs/>
        </w:rPr>
        <w:t xml:space="preserve">after</w:t>
      </w:r>
      <w:r>
        <w:t xml:space="preserve"> </w:t>
      </w:r>
      <w: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Closing this threat fully would require redesigning the heuristic from scratch against a held-out reference, which is outside the scope of the engineering BSc deliverable; the thesis flags this disclosure as a partial mitigation rather than a claim that the coupling is dissolved.</w:t>
      </w:r>
    </w:p>
    <w:p>
      <w:pPr>
        <w:pStyle w:val="BodyText"/>
      </w:pPr>
      <w:r>
        <w:t xml:space="preserve">Of the four threats, T1 is closed by the disjoint-pool regeneration, T2 by the post-hoc LLM-only baseline, and T3 by the cluster-bootstrap confidence intervals. T4 remains a transparent disclosure rather than a closure; the explicit sensitivity rerun of the score-combination weights reported in Section 4.3.5 is the only mitigation available without redesigning the heuristic against an independent reference.</w:t>
      </w:r>
    </w:p>
    <w:bookmarkEnd w:id="79"/>
    <w:bookmarkEnd w:id="80"/>
    <w:bookmarkStart w:id="90" w:name="the-strong-heuristic-v2"/>
    <w:p>
      <w:pPr>
        <w:pStyle w:val="Heading2"/>
      </w:pPr>
      <w:r>
        <w:t xml:space="preserve">4.2 The strong heuristic (v2)</w:t>
      </w:r>
    </w:p>
    <w:p>
      <w:pPr>
        <w:pStyle w:val="FirstParagraph"/>
      </w:pPr>
      <w: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t xml:space="preserve"> </w:t>
      </w:r>
      <w:r>
        <w:rPr>
          <w:i/>
          <w:iCs/>
        </w:rPr>
        <w:t xml:space="preserve">strong heuristic v2</w:t>
      </w:r>
      <w:r>
        <w:t xml:space="preserve">, which replaces each of those weak primitives with a published-method counterpart drawn from classical information-retrieval research. By construction, every component of v2 is non-neural; the line between</w:t>
      </w:r>
      <w:r>
        <w:t xml:space="preserve"> </w:t>
      </w:r>
      <w:r>
        <w:t xml:space="preserve">“heuristic”</w:t>
      </w:r>
      <w:r>
        <w:t xml:space="preserve"> </w:t>
      </w:r>
      <w:r>
        <w:t xml:space="preserve">and</w:t>
      </w:r>
      <w:r>
        <w:t xml:space="preserve"> </w:t>
      </w:r>
      <w:r>
        <w:t xml:space="preserve">“language-model”</w:t>
      </w:r>
      <w:r>
        <w:t xml:space="preserve"> </w:t>
      </w:r>
      <w:r>
        <w:t xml:space="preserve">remains clean for the comparison reported in Section 4.3.</w:t>
      </w:r>
    </w:p>
    <w:p>
      <w:pPr>
        <w:pStyle w:val="BodyText"/>
      </w:pPr>
      <w: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t xml:space="preserve"> </w:t>
      </w:r>
      <w:r>
        <w:rPr>
          <w:i/>
          <w:iCs/>
        </w:rPr>
        <w:t xml:space="preserve">language-model reasoning</w:t>
      </w:r>
      <w:r>
        <w:t xml:space="preserve"> </w:t>
      </w:r>
      <w:r>
        <w:t xml:space="preserve">and</w:t>
      </w:r>
      <w:r>
        <w:t xml:space="preserve"> </w:t>
      </w:r>
      <w:r>
        <w:rPr>
          <w:i/>
          <w:iCs/>
        </w:rPr>
        <w:t xml:space="preserve">non-language-model methods</w:t>
      </w:r>
      <w:r>
        <w:t xml:space="preserve"> </w:t>
      </w:r>
      <w:r>
        <w:t xml:space="preserve">in the strictest sense available, which is the comparison that the literature in Section 1.4 frames most clearly. A sentence-transformer intermediate tier is then proposed as future work in Section 5.3.</w:t>
      </w:r>
    </w:p>
    <w:bookmarkStart w:id="81" w:name="tfidfweighted-keyword-evidence"/>
    <w:p>
      <w:pPr>
        <w:pStyle w:val="Heading3"/>
      </w:pPr>
      <w:r>
        <w:t xml:space="preserve">4.2.1 TF–IDF–weighted keyword evidence</w:t>
      </w:r>
    </w:p>
    <w:p>
      <w:pPr>
        <w:pStyle w:val="FirstParagraph"/>
      </w:pPr>
      <w:r>
        <w:t xml:space="preserve">The lightweight prepass described in Chapter 3 reports a binary match/miss for each keyword in a job description. Keywords are not all equally informative: the term</w:t>
      </w:r>
      <w:r>
        <w:t xml:space="preserve"> </w:t>
      </w:r>
      <w:r>
        <w:t xml:space="preserve">“communication”</w:t>
      </w:r>
      <w:r>
        <w:t xml:space="preserve"> </w:t>
      </w:r>
      <w:r>
        <w:t xml:space="preserve">appears in nearly every white-collar job description and contributes little to discriminating between roles, whereas</w:t>
      </w:r>
      <w:r>
        <w:t xml:space="preserve"> </w:t>
      </w:r>
      <w:r>
        <w:t xml:space="preserve">“RAG”</w:t>
      </w:r>
      <w:r>
        <w:t xml:space="preserve"> </w:t>
      </w:r>
      <w:r>
        <w:t xml:space="preserve">or</w:t>
      </w:r>
      <w:r>
        <w:t xml:space="preserve"> </w:t>
      </w:r>
      <w:r>
        <w:t xml:space="preserve">“vector database”</w:t>
      </w:r>
      <w:r>
        <w:t xml:space="preserve"> </w:t>
      </w:r>
      <w:r>
        <w:t xml:space="preserve">appears in a small fraction of postings and is highly discriminative when present. The strong heuristic weights keyword evidence by the inverse document frequency</w:t>
      </w:r>
      <w:r>
        <w:t xml:space="preserve"> </w:t>
      </w:r>
      <w:r>
        <w:rPr>
          <w:i/>
          <w:iCs/>
        </w:rPr>
        <w:t xml:space="preserve">idf</w:t>
      </w:r>
      <w:r>
        <w:t xml:space="preserve"> </w:t>
      </w:r>
      <w:r>
        <w:t xml:space="preserve">of each term, computed over the corpus of job descriptions in the evaluation set [5]. The keyword-alignment sub-score is then defined as</w:t>
      </w:r>
    </w:p>
    <w:p>
      <w:pPr>
        <w:pStyle w:val="BodyText"/>
      </w:pPr>
      <w:r>
        <w:t xml:space="preserve">[</w:t>
      </w:r>
      <w:r>
        <w:t xml:space="preserve"> </w:t>
      </w:r>
      <w:r>
        <w:t xml:space="preserve">(R, J) ;=;</w:t>
      </w:r>
      <w:r>
        <w:t xml:space="preserve"> </w:t>
      </w:r>
      <w:r>
        <w:t xml:space="preserve"> </w:t>
      </w:r>
      <w:r>
        <w:t xml:space="preserve">;</w:t>
      </w:r>
      <w:r>
        <w:t xml:space="preserve">; 100,</w:t>
      </w:r>
      <w:r>
        <w:t xml:space="preserve"> </w:t>
      </w:r>
      <w:r>
        <w:t xml:space="preserve">]</w:t>
      </w:r>
    </w:p>
    <w:p>
      <w:pPr>
        <w:pStyle w:val="BodyText"/>
      </w:pPr>
      <w:r>
        <w:t xml:space="preserve">where</w:t>
      </w:r>
      <w:r>
        <w:t xml:space="preserve"> </w:t>
      </w:r>
      <w:r>
        <w:rPr>
          <w:i/>
          <w:iCs/>
        </w:rPr>
        <w:t xml:space="preserve">R</w:t>
      </w:r>
      <w:r>
        <w:t xml:space="preserve"> </w:t>
      </w:r>
      <w:r>
        <w:t xml:space="preserve">is the resume,</w:t>
      </w:r>
      <w:r>
        <w:t xml:space="preserve"> </w:t>
      </w:r>
      <w:r>
        <w:rPr>
          <w:i/>
          <w:iCs/>
        </w:rPr>
        <w:t xml:space="preserve">J</w:t>
      </w:r>
      <w:r>
        <w:t xml:space="preserve"> </w:t>
      </w:r>
      <w:r>
        <w:t xml:space="preserve">is the job description,</w:t>
      </w:r>
      <w:r>
        <w:t xml:space="preserve"> </w:t>
      </w:r>
      <w:r>
        <w:rPr>
          <w:i/>
          <w:iCs/>
        </w:rPr>
        <w:t xml:space="preserve">K</w:t>
      </w:r>
      <w:r>
        <w:t xml:space="preserve">(·) extracts the keyword set, and idf is the corpus-level inverse document frequency. This replaces a count ratio with a weighted-coverage ratio.</w:t>
      </w:r>
    </w:p>
    <w:p>
      <w:pPr>
        <w:pStyle w:val="BodyText"/>
      </w:pPr>
      <w:r>
        <w:t xml:space="preserve">The full BM25 form [6] adds a saturation term that prevents very high keyword frequency in the resume from dominating the score. BM25 is implemented in</w:t>
      </w:r>
      <w:r>
        <w:t xml:space="preserve"> </w:t>
      </w:r>
      <w:r>
        <w:rPr>
          <w:rStyle w:val="VerbatimChar"/>
        </w:rPr>
        <w:t xml:space="preserve">app/services/quality_signals_v2.py</w:t>
      </w:r>
      <w:r>
        <w:t xml:space="preserve"> </w:t>
      </w:r>
      <w:r>
        <w:t xml:space="preserve">as</w:t>
      </w:r>
      <w:r>
        <w:t xml:space="preserve"> </w:t>
      </w:r>
      <w:r>
        <w:rPr>
          <w:rStyle w:val="VerbatimChar"/>
        </w:rPr>
        <w:t xml:space="preserve">_bm25_score</w:t>
      </w:r>
      <w:r>
        <w:t xml:space="preserve">; the parameters</w:t>
      </w:r>
      <w:r>
        <w:t xml:space="preserve"> </w:t>
      </w:r>
      <w:r>
        <w:rPr>
          <w:i/>
          <w:iCs/>
        </w:rPr>
        <w:t xml:space="preserve">k₁</w:t>
      </w:r>
      <w:r>
        <w:t xml:space="preserve"> </w:t>
      </w:r>
      <w:r>
        <w:t xml:space="preserve">= 1.5 and</w:t>
      </w:r>
      <w:r>
        <w:t xml:space="preserve"> </w:t>
      </w:r>
      <w:r>
        <w:rPr>
          <w:i/>
          <w:iCs/>
        </w:rPr>
        <w:t xml:space="preserve">b</w:t>
      </w:r>
      <w:r>
        <w:t xml:space="preserve"> </w:t>
      </w:r>
      <w:r>
        <w:t xml:space="preserve">= 0.75 are taken from the BM25 defaults that have proven robust across decades of retrieval research. The IDF table is computed in two complementary ways: the production path uses a</w:t>
      </w:r>
      <w:r>
        <w:t xml:space="preserve"> </w:t>
      </w:r>
      <w:r>
        <w:rPr>
          <w:i/>
          <w:iCs/>
        </w:rPr>
        <w:t xml:space="preserve">bundled baseline IDF</w:t>
      </w:r>
      <w:r>
        <w:t xml:space="preserve"> </w:t>
      </w:r>
      <w:r>
        <w:t xml:space="preserve">derived once at import time from the ESCO knowledge base shipped with the application (each ESCO entry, canonical label plus surface variants,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81"/>
    <w:bookmarkStart w:id="82" w:name="esco-aligned-skill-normalisation"/>
    <w:p>
      <w:pPr>
        <w:pStyle w:val="Heading3"/>
      </w:pPr>
      <w:r>
        <w:t xml:space="preserve">4.2.2 ESCO-aligned skill normalisation</w:t>
      </w:r>
    </w:p>
    <w:p>
      <w:pPr>
        <w:pStyle w:val="FirstParagraph"/>
      </w:pPr>
      <w:r>
        <w:t xml:space="preserve">The fixed skill list used by the lightweight prepass cannot reconcile surface variations of the same underlying skill.</w:t>
      </w:r>
      <w:r>
        <w:t xml:space="preserve"> </w:t>
      </w:r>
      <w:r>
        <w:rPr>
          <w:i/>
          <w:iCs/>
        </w:rPr>
        <w:t xml:space="preserve">Postgres</w:t>
      </w:r>
      <w:r>
        <w:t xml:space="preserve">,</w:t>
      </w:r>
      <w:r>
        <w:t xml:space="preserve"> </w:t>
      </w:r>
      <w:r>
        <w:rPr>
          <w:i/>
          <w:iCs/>
        </w:rPr>
        <w:t xml:space="preserve">PostgreSQL</w:t>
      </w:r>
      <w:r>
        <w:t xml:space="preserve">, and</w:t>
      </w:r>
      <w:r>
        <w:t xml:space="preserve"> </w:t>
      </w:r>
      <w:r>
        <w:rPr>
          <w:i/>
          <w:iCs/>
        </w:rPr>
        <w:t xml:space="preserve">postgres database</w:t>
      </w:r>
      <w:r>
        <w:t xml:space="preserve"> </w:t>
      </w:r>
      <w:r>
        <w:t xml:space="preserve">should map to a single ESCO skill identifier; the prior implementation treated them as three independent strings. The strong heuristic introduces a top-down ESCO normalisation layer [8, 9, 12]. A curated subset of the ESCO skill knowledge base, at the time of submission approximately one hundred entries focused on the digital and creative-industry domains (with the data file structured for straightforward expansion to the roughly eight hundred entries needed for production-scale coverage), is bundled with the application as a JSON resource. Each entry contains a canonical label and a list of surface variants, drawn from the published ESCO multilingual dataset.</w:t>
      </w:r>
    </w:p>
    <w:p>
      <w:pPr>
        <w:pStyle w:val="BodyText"/>
      </w:pPr>
      <w: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t xml:space="preserve"> </w:t>
      </w:r>
      <w:r>
        <w:t xml:space="preserve">“PostgreSQL”</w:t>
      </w:r>
      <w:r>
        <w:t xml:space="preserve">.</w:t>
      </w:r>
    </w:p>
    <w:bookmarkEnd w:id="82"/>
    <w:bookmarkStart w:id="83" w:name="fuzzy-matching"/>
    <w:p>
      <w:pPr>
        <w:pStyle w:val="Heading3"/>
      </w:pPr>
      <w:r>
        <w:t xml:space="preserve">4.2.3 Fuzzy matching</w:t>
      </w:r>
    </w:p>
    <w:p>
      <w:pPr>
        <w:pStyle w:val="FirstParagraph"/>
      </w:pPr>
      <w: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t xml:space="preserve"> </w:t>
      </w:r>
      <w:r>
        <w:rPr>
          <w:rStyle w:val="VerbatimChar"/>
        </w:rPr>
        <w:t xml:space="preserve">difflib.SequenceMatcher</w:t>
      </w:r>
      <w:r>
        <w:t xml:space="preserve"> </w:t>
      </w:r>
      <w: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t xml:space="preserve"> </w:t>
      </w:r>
      <w:r>
        <w:rPr>
          <w:i/>
          <w:iCs/>
        </w:rPr>
        <w:t xml:space="preserve">τ</w:t>
      </w:r>
      <w:r>
        <w:t xml:space="preserve"> </w:t>
      </w:r>
      <w:r>
        <w:t xml:space="preserve">with the keyword. The threshold</w:t>
      </w:r>
      <w:r>
        <w:t xml:space="preserve"> </w:t>
      </w:r>
      <w:r>
        <w:rPr>
          <w:i/>
          <w:iCs/>
        </w:rPr>
        <w:t xml:space="preserve">τ</w:t>
      </w:r>
      <w:r>
        <w:t xml:space="preserve"> </w:t>
      </w:r>
      <w:r>
        <w:t xml:space="preserve">= 0.85 was chosen empirically: values below 0.80 admit too many spurious matches (English plurals are at ~0.95 already; below 0.80, unrelated tokens begin to register), and values above 0.90 reject obvious typographic variants such as</w:t>
      </w:r>
      <w:r>
        <w:t xml:space="preserve"> </w:t>
      </w:r>
      <w:r>
        <w:rPr>
          <w:i/>
          <w:iCs/>
        </w:rPr>
        <w:t xml:space="preserve">Javacript</w:t>
      </w:r>
      <w:r>
        <w:t xml:space="preserve"> </w:t>
      </w:r>
      <w:r>
        <w:t xml:space="preserve">for</w:t>
      </w:r>
      <w:r>
        <w:t xml:space="preserve"> </w:t>
      </w:r>
      <w:r>
        <w:rPr>
          <w:i/>
          <w:iCs/>
        </w:rPr>
        <w:t xml:space="preserve">JavaScript</w:t>
      </w:r>
      <w:r>
        <w:t xml:space="preserve">. Choosing the standard-library implementation rather than</w:t>
      </w:r>
      <w:r>
        <w:t xml:space="preserve"> </w:t>
      </w:r>
      <w:r>
        <w:rPr>
          <w:rStyle w:val="VerbatimChar"/>
        </w:rPr>
        <w:t xml:space="preserve">rapidfuzz</w:t>
      </w:r>
      <w:r>
        <w:t xml:space="preserve"> </w:t>
      </w:r>
      <w:r>
        <w:t xml:space="preserve">keeps the heuristic dependency-free, which is a property that makes the fully-heuristic mode auditable in deployments where third-party libraries are restricted.</w:t>
      </w:r>
    </w:p>
    <w:bookmarkEnd w:id="83"/>
    <w:bookmarkStart w:id="84" w:name="section-weighted-features"/>
    <w:p>
      <w:pPr>
        <w:pStyle w:val="Heading3"/>
      </w:pPr>
      <w:r>
        <w:t xml:space="preserve">4.2.4 Section-weighted features</w:t>
      </w:r>
    </w:p>
    <w:p>
      <w:pPr>
        <w:pStyle w:val="FirstParagraph"/>
      </w:pPr>
      <w:r>
        <w:t xml:space="preserve">A skill listed in a dedicated</w:t>
      </w:r>
      <w:r>
        <w:t xml:space="preserve"> </w:t>
      </w:r>
      <w:r>
        <w:rPr>
          <w:i/>
          <w:iCs/>
        </w:rPr>
        <w:t xml:space="preserve">Skills</w:t>
      </w:r>
      <w:r>
        <w:t xml:space="preserve"> </w:t>
      </w:r>
      <w:r>
        <w:t xml:space="preserve">section carries different evidential weight from the same skill mentioned in a project description. Recruiters read the</w:t>
      </w:r>
      <w:r>
        <w:t xml:space="preserve"> </w:t>
      </w:r>
      <w:r>
        <w:rPr>
          <w:i/>
          <w:iCs/>
        </w:rPr>
        <w:t xml:space="preserve">Skills</w:t>
      </w:r>
      <w:r>
        <w:t xml:space="preserve"> </w:t>
      </w:r>
      <w:r>
        <w:t xml:space="preserve">section as a checklist and the</w:t>
      </w:r>
      <w:r>
        <w:t xml:space="preserve"> </w:t>
      </w:r>
      <w:r>
        <w:rPr>
          <w:i/>
          <w:iCs/>
        </w:rPr>
        <w:t xml:space="preserve">Experience</w:t>
      </w:r>
      <w:r>
        <w:t xml:space="preserve"> </w:t>
      </w:r>
      <w:r>
        <w:t xml:space="preserve">section as a narrative; the two should not contribute equally to a sub-score that is meant to reflect what a recruiter scans for [18]. The strong heuristic applies a per-section weight when computing the matched-keyword set: a match in</w:t>
      </w:r>
      <w:r>
        <w:t xml:space="preserve"> </w:t>
      </w:r>
      <w:r>
        <w:rPr>
          <w:i/>
          <w:iCs/>
        </w:rPr>
        <w:t xml:space="preserve">Skills</w:t>
      </w:r>
      <w:r>
        <w:t xml:space="preserve"> </w:t>
      </w:r>
      <w:r>
        <w:t xml:space="preserve">contributes weight 1.0, a match in</w:t>
      </w:r>
      <w:r>
        <w:t xml:space="preserve"> </w:t>
      </w:r>
      <w:r>
        <w:rPr>
          <w:i/>
          <w:iCs/>
        </w:rPr>
        <w:t xml:space="preserve">Experience</w:t>
      </w:r>
      <w:r>
        <w:t xml:space="preserve"> </w:t>
      </w:r>
      <w:r>
        <w:t xml:space="preserve">or</w:t>
      </w:r>
      <w:r>
        <w:t xml:space="preserve"> </w:t>
      </w:r>
      <w:r>
        <w:rPr>
          <w:i/>
          <w:iCs/>
        </w:rPr>
        <w:t xml:space="preserve">Projects</w:t>
      </w:r>
      <w:r>
        <w:t xml:space="preserve"> </w:t>
      </w:r>
      <w:r>
        <w:t xml:space="preserve">contributes weight 0.7, a match in</w:t>
      </w:r>
      <w:r>
        <w:t xml:space="preserve"> </w:t>
      </w:r>
      <w:r>
        <w:rPr>
          <w:i/>
          <w:iCs/>
        </w:rPr>
        <w:t xml:space="preserve">Summary</w:t>
      </w:r>
      <w:r>
        <w:t xml:space="preserve"> </w:t>
      </w:r>
      <w:r>
        <w:t xml:space="preserve">contributes weight 0.5, and a match in</w:t>
      </w:r>
      <w:r>
        <w:t xml:space="preserve"> </w:t>
      </w:r>
      <w:r>
        <w:rPr>
          <w:i/>
          <w:iCs/>
        </w:rPr>
        <w:t xml:space="preserve">Education</w:t>
      </w:r>
      <w:r>
        <w:t xml:space="preserve"> </w:t>
      </w:r>
      <w:r>
        <w:t xml:space="preserve">contributes weight 0.3. The total weighted match is then normalised against the maximum achievable weighted match for the keyword set in question.</w:t>
      </w:r>
    </w:p>
    <w:bookmarkEnd w:id="84"/>
    <w:bookmarkStart w:id="85" w:name="quantification-regex"/>
    <w:p>
      <w:pPr>
        <w:pStyle w:val="Heading3"/>
      </w:pPr>
      <w:r>
        <w:t xml:space="preserve">4.2.5 Quantification regex</w:t>
      </w:r>
    </w:p>
    <w:p>
      <w:pPr>
        <w:pStyle w:val="FirstParagraph"/>
      </w:pPr>
      <w: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t xml:space="preserve"> </w:t>
      </w:r>
      <w:r>
        <w:rPr>
          <w:i/>
          <w:iCs/>
        </w:rPr>
        <w:t xml:space="preserve">quantified</w:t>
      </w:r>
      <w:r>
        <w:t xml:space="preserve"> </w:t>
      </w:r>
      <w:r>
        <w:t xml:space="preserve">bullets enters the</w:t>
      </w:r>
      <w:r>
        <w:t xml:space="preserve"> </w:t>
      </w:r>
      <w:r>
        <w:rPr>
          <w:i/>
          <w:iCs/>
        </w:rPr>
        <w:t xml:space="preserve">impact</w:t>
      </w:r>
      <w:r>
        <w:t xml:space="preserve"> </w:t>
      </w:r>
      <w:r>
        <w:t xml:space="preserve">sub-score with a saturating logarithmic weight, so that the difference between zero and three quantified bullets is much larger than the difference between fifteen and eighteen.</w:t>
      </w:r>
    </w:p>
    <w:bookmarkEnd w:id="85"/>
    <w:bookmarkStart w:id="86" w:name="action-verb-scoring"/>
    <w:p>
      <w:pPr>
        <w:pStyle w:val="Heading3"/>
      </w:pPr>
      <w:r>
        <w:t xml:space="preserve">4.2.6 Action-verb scoring</w:t>
      </w:r>
    </w:p>
    <w:p>
      <w:pPr>
        <w:pStyle w:val="FirstParagraph"/>
      </w:pPr>
      <w:r>
        <w:t xml:space="preserve">A resume bullet that begins with a strong action verb (</w:t>
      </w:r>
      <w:r>
        <w:t xml:space="preserve">“led”</w:t>
      </w:r>
      <w:r>
        <w:t xml:space="preserve">,</w:t>
      </w:r>
      <w:r>
        <w:t xml:space="preserve"> </w:t>
      </w:r>
      <w:r>
        <w:t xml:space="preserve">“shipped”</w:t>
      </w:r>
      <w:r>
        <w:t xml:space="preserve">,</w:t>
      </w:r>
      <w:r>
        <w:t xml:space="preserve"> </w:t>
      </w:r>
      <w:r>
        <w:t xml:space="preserve">“automated”</w:t>
      </w:r>
      <w:r>
        <w:t xml:space="preserve">) communicates ownership more directly than one that begins with a passive construction or a weak filler verb (</w:t>
      </w:r>
      <w:r>
        <w:t xml:space="preserve">“worked on”</w:t>
      </w:r>
      <w:r>
        <w:t xml:space="preserve">,</w:t>
      </w:r>
      <w:r>
        <w:t xml:space="preserve"> </w:t>
      </w:r>
      <w:r>
        <w:t xml:space="preserve">“involved in”</w:t>
      </w:r>
      <w: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t xml:space="preserve"> </w:t>
      </w:r>
      <w:r>
        <w:rPr>
          <w:i/>
          <w:iCs/>
        </w:rPr>
        <w:t xml:space="preserve">clarity</w:t>
      </w:r>
      <w:r>
        <w:t xml:space="preserve"> </w:t>
      </w:r>
      <w:r>
        <w:t xml:space="preserve">sub-score with a linear weight.</w:t>
      </w:r>
    </w:p>
    <w:bookmarkEnd w:id="86"/>
    <w:bookmarkStart w:id="87" w:name="score-combination"/>
    <w:p>
      <w:pPr>
        <w:pStyle w:val="Heading3"/>
      </w:pPr>
      <w:r>
        <w:t xml:space="preserve">4.2.7 Score combination</w:t>
      </w:r>
    </w:p>
    <w:p>
      <w:pPr>
        <w:pStyle w:val="FirstParagraph"/>
      </w:pPr>
      <w:r>
        <w:t xml:space="preserve">The five sub-scores (keyword alignment, impact, structure, clarity, completeness) are combined into the overall score through a weighted mean rather than the simple mean used by the lightweight prepass. The weights (0.30, 0.25, 0.15, 0.15, 0.15) are</w:t>
      </w:r>
      <w:r>
        <w:t xml:space="preserve"> </w:t>
      </w:r>
      <w:r>
        <w:rPr>
          <w:i/>
          <w:iCs/>
        </w:rPr>
        <w:t xml:space="preserve">author-selected</w:t>
      </w:r>
      <w:r>
        <w:t xml:space="preserve"> </w:t>
      </w:r>
      <w: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t xml:space="preserve"> </w:t>
      </w:r>
      <w:r>
        <w:rPr>
          <w:i/>
          <w:iCs/>
        </w:rPr>
        <w:t xml:space="preserve">r</w:t>
      </w:r>
      <w:r>
        <w:t xml:space="preserve">) stays above the 0.7 reference threshold under both weightings, while the rank-agreement result (Spearman ρ) drops below the threshold under equal weights, a partial-robustness finding rather than weight-independence.</w:t>
      </w:r>
    </w:p>
    <w:bookmarkEnd w:id="87"/>
    <w:bookmarkStart w:id="88" w:name="implementation-notes"/>
    <w:p>
      <w:pPr>
        <w:pStyle w:val="Heading3"/>
      </w:pPr>
      <w:r>
        <w:t xml:space="preserve">4.2.8 Implementation notes</w:t>
      </w:r>
    </w:p>
    <w:p>
      <w:pPr>
        <w:pStyle w:val="FirstParagraph"/>
      </w:pPr>
      <w:r>
        <w:t xml:space="preserve">The strong heuristic v2 is implemented in</w:t>
      </w:r>
      <w:r>
        <w:t xml:space="preserve"> </w:t>
      </w:r>
      <w:r>
        <w:rPr>
          <w:rStyle w:val="VerbatimChar"/>
        </w:rPr>
        <w:t xml:space="preserve">app/services/quality_signals_v2.py</w:t>
      </w:r>
      <w:r>
        <w:t xml:space="preserve">, a new module added alongside the existing</w:t>
      </w:r>
      <w:r>
        <w:t xml:space="preserve"> </w:t>
      </w:r>
      <w:r>
        <w:rPr>
          <w:rStyle w:val="VerbatimChar"/>
        </w:rPr>
        <w:t xml:space="preserve">quality_signals.py</w:t>
      </w:r>
      <w:r>
        <w:t xml:space="preserve"> </w:t>
      </w:r>
      <w:r>
        <w:t xml:space="preserve">so that the lightweight version remains available for the production fallback path. A configuration flag selects which version is active:</w:t>
      </w:r>
      <w:r>
        <w:t xml:space="preserve"> </w:t>
      </w:r>
      <w:r>
        <w:rPr>
          <w:rStyle w:val="VerbatimChar"/>
        </w:rPr>
        <w:t xml:space="preserve">HEURISTIC_VERSION=v2</w:t>
      </w:r>
      <w:r>
        <w:t xml:space="preserve"> </w:t>
      </w:r>
      <w:r>
        <w:t xml:space="preserve">enables the strong heuristic for the analytical tools and is the default for the experimental run reported in Section 4.3. The corresponding admin toggle is described in Section 4.2.9.</w:t>
      </w:r>
    </w:p>
    <w:bookmarkEnd w:id="88"/>
    <w:bookmarkStart w:id="89" w:name="the-administrative-toggle"/>
    <w:p>
      <w:pPr>
        <w:pStyle w:val="Heading3"/>
      </w:pPr>
      <w:r>
        <w:t xml:space="preserve">4.2.9 The administrative toggle</w:t>
      </w:r>
    </w:p>
    <w:p>
      <w:pPr>
        <w:pStyle w:val="FirstParagraph"/>
      </w:pPr>
      <w:r>
        <w:t xml:space="preserve">Non-functional requirement N7 of Chapter 2 calls for runtime switchability between the two scoring modes. The implementation introduces three small surfaces.</w:t>
      </w:r>
    </w:p>
    <w:p>
      <w:pPr>
        <w:pStyle w:val="BodyText"/>
      </w:pPr>
      <w:r>
        <w:t xml:space="preserve">A backend configuration flag</w:t>
      </w:r>
      <w:r>
        <w:t xml:space="preserve"> </w:t>
      </w:r>
      <w:r>
        <w:rPr>
          <w:rStyle w:val="VerbatimChar"/>
        </w:rPr>
        <w:t xml:space="preserve">SCORING_MODE</w:t>
      </w:r>
      <w:r>
        <w:t xml:space="preserve"> </w:t>
      </w:r>
      <w:r>
        <w:t xml:space="preserve">accepts the values</w:t>
      </w:r>
      <w:r>
        <w:t xml:space="preserve"> </w:t>
      </w:r>
      <w:r>
        <w:rPr>
          <w:rStyle w:val="VerbatimChar"/>
        </w:rPr>
        <w:t xml:space="preserve">blended</w:t>
      </w:r>
      <w:r>
        <w:t xml:space="preserve"> </w:t>
      </w:r>
      <w:r>
        <w:t xml:space="preserve">and</w:t>
      </w:r>
      <w:r>
        <w:t xml:space="preserve"> </w:t>
      </w:r>
      <w:r>
        <w:rPr>
          <w:rStyle w:val="VerbatimChar"/>
        </w:rPr>
        <w:t xml:space="preserve">heuristic</w:t>
      </w:r>
      <w:r>
        <w:t xml:space="preserve">; the default is</w:t>
      </w:r>
      <w:r>
        <w:t xml:space="preserve"> </w:t>
      </w:r>
      <w:r>
        <w:rPr>
          <w:rStyle w:val="VerbatimChar"/>
        </w:rPr>
        <w:t xml:space="preserve">blended</w:t>
      </w:r>
      <w:r>
        <w:t xml:space="preserve">. When the value is</w:t>
      </w:r>
      <w:r>
        <w:t xml:space="preserve"> </w:t>
      </w:r>
      <w:r>
        <w:rPr>
          <w:rStyle w:val="VerbatimChar"/>
        </w:rPr>
        <w:t xml:space="preserve">heuristic</w:t>
      </w:r>
      <w:r>
        <w:t xml:space="preserve">, the analytical services skip the LLM call entirely and return the response constructed from the strong heuristic v2.</w:t>
      </w:r>
    </w:p>
    <w:p>
      <w:pPr>
        <w:pStyle w:val="BodyText"/>
      </w:pPr>
      <w:r>
        <w:t xml:space="preserve">A runtime-state module</w:t>
      </w:r>
      <w:r>
        <w:t xml:space="preserve"> </w:t>
      </w:r>
      <w:r>
        <w:rPr>
          <w:rStyle w:val="VerbatimChar"/>
        </w:rPr>
        <w:t xml:space="preserve">app/services/runtime_settings.py</w:t>
      </w:r>
      <w:r>
        <w:t xml:space="preserve"> </w:t>
      </w:r>
      <w:r>
        <w:t xml:space="preserve">maintains an in-memory override of the configuration flag. The override is set by a POST request to</w:t>
      </w:r>
      <w:r>
        <w:t xml:space="preserve"> </w:t>
      </w:r>
      <w:r>
        <w:rPr>
          <w:rStyle w:val="VerbatimChar"/>
        </w:rPr>
        <w:t xml:space="preserve">/api/v1/admin/scoring-mode</w:t>
      </w:r>
      <w:r>
        <w:t xml:space="preserve"> </w:t>
      </w:r>
      <w: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pPr>
      <w:r>
        <w:t xml:space="preserve">The runtime toggle is exercised by issuing a POST request to the endpoint through any HTTP client, or through the auto-generated FastAPI documentation page at</w:t>
      </w:r>
      <w:r>
        <w:t xml:space="preserve"> </w:t>
      </w:r>
      <w:r>
        <w:rPr>
          <w:rStyle w:val="VerbatimChar"/>
        </w:rPr>
        <w:t xml:space="preserve">/api/v1/docs</w:t>
      </w:r>
      <w:r>
        <w:t xml:space="preserve">, by an authenticated administrator.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9"/>
    <w:bookmarkEnd w:id="90"/>
    <w:bookmarkStart w:id="102" w:name="results"/>
    <w:p>
      <w:pPr>
        <w:pStyle w:val="Heading2"/>
      </w:pPr>
      <w:r>
        <w:t xml:space="preserve">4.3 Results</w:t>
      </w:r>
    </w:p>
    <w:p>
      <w:pPr>
        <w:pStyle w:val="FirstParagraph"/>
      </w:pPr>
      <w:r>
        <w:t xml:space="preserve">The evaluation harness</w:t>
      </w:r>
      <w:r>
        <w:t xml:space="preserve"> </w:t>
      </w:r>
      <w:r>
        <w:rPr>
          <w:rStyle w:val="VerbatimChar"/>
        </w:rPr>
        <w:t xml:space="preserve">scripts/eval_scoring.py</w:t>
      </w:r>
      <w:r>
        <w:t xml:space="preserve"> </w:t>
      </w:r>
      <w:r>
        <w:t xml:space="preserve">produced 100 paired observations on the synthetic evaluation set described in Section 4.1.1. Every (resume, JD) pair was scored under both modes; both modes succeeded on every pair. The numerical results in the tables below are emitted by</w:t>
      </w:r>
      <w:r>
        <w:t xml:space="preserve"> </w:t>
      </w:r>
      <w:r>
        <w:rPr>
          <w:rStyle w:val="VerbatimChar"/>
        </w:rPr>
        <w:t xml:space="preserve">scripts/analyze_eval_results.py</w:t>
      </w:r>
      <w:r>
        <w:t xml:space="preserve"> </w:t>
      </w:r>
      <w:r>
        <w:t xml:space="preserve">from the persisted</w:t>
      </w:r>
      <w:r>
        <w:t xml:space="preserve"> </w:t>
      </w:r>
      <w:r>
        <w:rPr>
          <w:rStyle w:val="VerbatimChar"/>
        </w:rPr>
        <w:t xml:space="preserve">thesis/eval-results.json</w:t>
      </w:r>
      <w:r>
        <w:t xml:space="preserve"> </w:t>
      </w:r>
      <w:r>
        <w:t xml:space="preserve">file. The reference value</w:t>
      </w:r>
      <w:r>
        <w:t xml:space="preserve"> </w:t>
      </w:r>
      <w:r>
        <w:rPr>
          <w:i/>
          <w:iCs/>
        </w:rPr>
        <w:t xml:space="preserve">r</w:t>
      </w:r>
      <w:r>
        <w:t xml:space="preserve"> </w:t>
      </w:r>
      <w:r>
        <w:t xml:space="preserve">≈ 0.7 used by Robertson and Zaragoza [6] in their reliability discussion is taken as a literature anchor for what counts as</w:t>
      </w:r>
      <w:r>
        <w:t xml:space="preserve"> </w:t>
      </w:r>
      <w:r>
        <w:t xml:space="preserve">“comparable”</w:t>
      </w:r>
      <w:r>
        <w:t xml:space="preserve"> </w:t>
      </w:r>
      <w:r>
        <w:t xml:space="preserve">rather than as a research hypothesis to test.</w:t>
      </w:r>
    </w:p>
    <w:bookmarkStart w:id="91" w:name="score-agreement"/>
    <w:p>
      <w:pPr>
        <w:pStyle w:val="Heading3"/>
      </w:pPr>
      <w:r>
        <w:t xml:space="preserve">4.3.1 Score agreement</w:t>
      </w:r>
    </w:p>
    <w:p>
      <w:pPr>
        <w:pStyle w:val="FirstParagraph"/>
      </w:pPr>
      <w:r>
        <w:t xml:space="preserve">Across the 100 (resume, job-description) pairs in the evaluation set, three rank- and value-agreement statistics are computed between the overall score in the blended mode and the overall score in the fully heuristic v2 mode: Pearson</w:t>
      </w:r>
      <w:r>
        <w:t xml:space="preserve"> </w:t>
      </w:r>
      <w:r>
        <w:rPr>
          <w:i/>
          <w:iCs/>
        </w:rPr>
        <w:t xml:space="preserve">r</w:t>
      </w:r>
      <w:r>
        <w:t xml:space="preserve">, Spearman ρ, and Kendall τ. The numbers reported here are the</w:t>
      </w:r>
      <w:r>
        <w:t xml:space="preserve"> </w:t>
      </w:r>
      <w:r>
        <w:rPr>
          <w:i/>
          <w:iCs/>
        </w:rPr>
        <w:t xml:space="preserve">post-mitigation</w:t>
      </w:r>
      <w:r>
        <w:t xml:space="preserve"> </w:t>
      </w:r>
      <w:r>
        <w:t xml:space="preserve">values, computed on the disjoint-vocabulary dataset described in Section 4.1.1; the</w:t>
      </w:r>
      <w:r>
        <w:t xml:space="preserve"> </w:t>
      </w:r>
      <w:r>
        <w:rPr>
          <w:i/>
          <w:iCs/>
        </w:rPr>
        <w:t xml:space="preserve">pre-mitigation</w:t>
      </w:r>
      <w:r>
        <w:t xml:space="preserve"> </w:t>
      </w:r>
      <w:r>
        <w:t xml:space="preserve">values for the same statistics on the leakage-version dataset are reported alongside for an explicit before/after comparison, and the leakage-version dataset and results are archived under</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respectively.</w:t>
      </w:r>
    </w:p>
    <w:tbl>
      <w:tblPr>
        <w:tblStyle w:val="Table"/>
        <w:tblW w:type="pct" w:w="5000"/>
        <w:tblLayout w:type="fixed"/>
        <w:tblLook w:firstRow="1" w:lastRow="0" w:firstColumn="0" w:lastColumn="0" w:noHBand="0" w:noVBand="0" w:val="0020"/>
      </w:tblPr>
      <w:tblGrid>
        <w:gridCol w:w="1244"/>
        <w:gridCol w:w="1923"/>
        <w:gridCol w:w="2941"/>
        <w:gridCol w:w="1810"/>
      </w:tblGrid>
      <w:tr>
        <w:trPr>
          <w:tblHeader w:val="on"/>
        </w:trPr>
        <w:tc>
          <w:tcPr/>
          <w:p>
            <w:pPr>
              <w:pStyle w:val="Compact"/>
            </w:pPr>
            <w:r>
              <w:t xml:space="preserve">Statistic</w:t>
            </w:r>
          </w:p>
        </w:tc>
        <w:tc>
          <w:tcPr/>
          <w:p>
            <w:pPr>
              <w:pStyle w:val="Compact"/>
            </w:pPr>
            <w:r>
              <w:t xml:space="preserve">Post-mitigation</w:t>
            </w:r>
          </w:p>
        </w:tc>
        <w:tc>
          <w:tcPr/>
          <w:p>
            <w:pPr>
              <w:pStyle w:val="Compact"/>
            </w:pPr>
            <w:r>
              <w:t xml:space="preserve">Pre-mitigation (leakage)</w:t>
            </w:r>
          </w:p>
        </w:tc>
        <w:tc>
          <w:tcPr/>
          <w:p>
            <w:pPr>
              <w:pStyle w:val="Compact"/>
            </w:pPr>
            <w:r>
              <w:t xml:space="preserve">Interpretation</w:t>
            </w:r>
          </w:p>
        </w:tc>
      </w:tr>
      <w:tr>
        <w:tc>
          <w:tcPr/>
          <w:p>
            <w:pPr>
              <w:pStyle w:val="Compact"/>
            </w:pPr>
            <w:r>
              <w:t xml:space="preserve">Pearson</w:t>
            </w:r>
            <w:r>
              <w:t xml:space="preserve"> </w:t>
            </w:r>
            <w:r>
              <w:rPr>
                <w:i/>
                <w:iCs/>
              </w:rPr>
              <w:t xml:space="preserve">r</w:t>
            </w:r>
          </w:p>
        </w:tc>
        <w:tc>
          <w:tcPr/>
          <w:p>
            <w:pPr>
              <w:pStyle w:val="Compact"/>
            </w:pPr>
            <w:r>
              <w:rPr>
                <w:b/>
                <w:bCs/>
              </w:rPr>
              <w:t xml:space="preserve">0.836</w:t>
            </w:r>
            <w:r>
              <w:t xml:space="preserve"> </w:t>
            </w:r>
            <w:r>
              <w:t xml:space="preserve">[95% CI 0.762, 0.896]</w:t>
            </w:r>
          </w:p>
        </w:tc>
        <w:tc>
          <w:tcPr/>
          <w:p>
            <w:pPr>
              <w:pStyle w:val="Compact"/>
            </w:pPr>
            <w:r>
              <w:t xml:space="preserve">0.727 [95% CI 0.609, 0.814]</w:t>
            </w:r>
          </w:p>
        </w:tc>
        <w:tc>
          <w:tcPr/>
          <w:p>
            <w:pPr>
              <w:pStyle w:val="Compact"/>
            </w:pPr>
            <w:r>
              <w:t xml:space="preserve">Linear association between mode scores.</w:t>
            </w:r>
          </w:p>
        </w:tc>
      </w:tr>
      <w:tr>
        <w:tc>
          <w:tcPr/>
          <w:p>
            <w:pPr>
              <w:pStyle w:val="Compact"/>
            </w:pPr>
            <w:r>
              <w:t xml:space="preserve">Spearman ρ</w:t>
            </w:r>
          </w:p>
        </w:tc>
        <w:tc>
          <w:tcPr/>
          <w:p>
            <w:pPr>
              <w:pStyle w:val="Compact"/>
            </w:pPr>
            <w:r>
              <w:rPr>
                <w:b/>
                <w:bCs/>
              </w:rPr>
              <w:t xml:space="preserve">0.847</w:t>
            </w:r>
          </w:p>
        </w:tc>
        <w:tc>
          <w:tcPr/>
          <w:p>
            <w:pPr>
              <w:pStyle w:val="Compact"/>
            </w:pPr>
            <w:r>
              <w:t xml:space="preserve">0.708</w:t>
            </w:r>
          </w:p>
        </w:tc>
        <w:tc>
          <w:tcPr/>
          <w:p>
            <w:pPr>
              <w:pStyle w:val="Compact"/>
            </w:pPr>
            <w:r>
              <w:t xml:space="preserve">Rank agreement; the property most relevant to screening use.</w:t>
            </w:r>
          </w:p>
        </w:tc>
      </w:tr>
      <w:tr>
        <w:tc>
          <w:tcPr/>
          <w:p>
            <w:pPr>
              <w:pStyle w:val="Compact"/>
            </w:pPr>
            <w:r>
              <w:t xml:space="preserve">Kendall τ</w:t>
            </w:r>
          </w:p>
        </w:tc>
        <w:tc>
          <w:tcPr/>
          <w:p>
            <w:pPr>
              <w:pStyle w:val="Compact"/>
            </w:pPr>
            <w:r>
              <w:rPr>
                <w:b/>
                <w:bCs/>
              </w:rPr>
              <w:t xml:space="preserve">0.669</w:t>
            </w:r>
          </w:p>
        </w:tc>
        <w:tc>
          <w:tcPr/>
          <w:p>
            <w:pPr>
              <w:pStyle w:val="Compact"/>
            </w:pPr>
            <w:r>
              <w:t xml:space="preserve">0.526</w:t>
            </w:r>
          </w:p>
        </w:tc>
        <w:tc>
          <w:tcPr/>
          <w:p>
            <w:pPr>
              <w:pStyle w:val="Compact"/>
            </w:pPr>
            <w:r>
              <w:t xml:space="preserve">Pairwise rank concordance.</w:t>
            </w:r>
          </w:p>
        </w:tc>
      </w:tr>
    </w:tbl>
    <w:p>
      <w:pPr>
        <w:pStyle w:val="BodyText"/>
      </w:pPr>
      <w:r>
        <w:t xml:space="preserve">The cluster-bootstrap confidence intervals are computed by resampling resume clusters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so that the in-track pairing structure documented in Section 4.1.3 is honoured; the intervals are wider than an i.i.d. assumption would suggest, as expected, and address validity threat T3 of Section 4.1.4. The post-mitigation Pearson</w:t>
      </w:r>
      <w:r>
        <w:t xml:space="preserve"> </w:t>
      </w:r>
      <w:r>
        <w:rPr>
          <w:i/>
          <w:iCs/>
        </w:rPr>
        <w:t xml:space="preserve">r</w:t>
      </w:r>
      <w:r>
        <w:t xml:space="preserve"> </w:t>
      </w:r>
      <w:r>
        <w:t xml:space="preserve">of 0.836 is</w:t>
      </w:r>
      <w:r>
        <w:t xml:space="preserve"> </w:t>
      </w:r>
      <w:r>
        <w:rPr>
          <w:i/>
          <w:iCs/>
        </w:rPr>
        <w:t xml:space="preserve">higher</w:t>
      </w:r>
      <w:r>
        <w:t xml:space="preserve"> </w:t>
      </w:r>
      <w:r>
        <w:t xml:space="preserve">than the pre-mitigation 0.727. This result initially seems counter-intuitive given that the leakage construction was expected to</w:t>
      </w:r>
      <w:r>
        <w:t xml:space="preserve"> </w:t>
      </w:r>
      <w:r>
        <w:rPr>
          <w:i/>
          <w:iCs/>
        </w:rPr>
        <w:t xml:space="preserve">inflate</w:t>
      </w:r>
      <w:r>
        <w:t xml:space="preserve"> </w:t>
      </w:r>
      <w:r>
        <w:t xml:space="preserve">keyword overlap, and the explanation lies in the per-sub-score breakdown below: the leakage-version dataset injected high-correlation noise on the keyword axis but suppressed the cleaner cross-mode signal on the structure and completeness axes; the disjoint-pool regeneration removed the artefactual lexical sharing without removing the legitimate skill-overlap signal that classical keyword matching is supposed to detect, and revealed a higher post-mitigation agreement than the leakage version had recorded. The agreement is best read as</w:t>
      </w:r>
      <w:r>
        <w:t xml:space="preserve"> </w:t>
      </w:r>
      <w:r>
        <w:rPr>
          <w:i/>
          <w:iCs/>
        </w:rPr>
        <w:t xml:space="preserve">strong-within-this-synthetic-evaluation-set</w:t>
      </w:r>
      <w:r>
        <w:t xml:space="preserve"> </w:t>
      </w:r>
      <w:r>
        <w:t xml:space="preserve">rather than the weaker</w:t>
      </w:r>
      <w:r>
        <w:t xml:space="preserve"> </w:t>
      </w:r>
      <w:r>
        <w:rPr>
          <w:i/>
          <w:iCs/>
        </w:rPr>
        <w:t xml:space="preserve">moderate-to-useful</w:t>
      </w:r>
      <w:r>
        <w:t xml:space="preserve"> </w:t>
      </w:r>
      <w:r>
        <w:t xml:space="preserve">characterisation that the leakage-version chapter supported.</w:t>
      </w:r>
    </w:p>
    <w:p>
      <w:pPr>
        <w:pStyle w:val="BodyText"/>
      </w:pPr>
      <w:r>
        <w:t xml:space="preserve">The per-sub-score breakdown reveals where the agreement comes from and where the two modes diverge.</w:t>
      </w:r>
    </w:p>
    <w:tbl>
      <w:tblPr>
        <w:tblStyle w:val="Table"/>
        <w:tblW w:type="pct" w:w="5000"/>
        <w:tblLayout w:type="fixed"/>
        <w:tblLook w:firstRow="1" w:lastRow="0" w:firstColumn="0" w:lastColumn="0" w:noHBand="0" w:noVBand="0" w:val="0020"/>
      </w:tblPr>
      <w:tblGrid>
        <w:gridCol w:w="957"/>
        <w:gridCol w:w="2523"/>
        <w:gridCol w:w="2436"/>
        <w:gridCol w:w="1044"/>
        <w:gridCol w:w="957"/>
      </w:tblGrid>
      <w:tr>
        <w:trPr>
          <w:tblHeader w:val="on"/>
        </w:trPr>
        <w:tc>
          <w:tcPr/>
          <w:p>
            <w:pPr>
              <w:pStyle w:val="Compact"/>
            </w:pPr>
            <w:r>
              <w:t xml:space="preserve">Sub-score</w:t>
            </w:r>
          </w:p>
        </w:tc>
        <w:tc>
          <w:tcPr/>
          <w:p>
            <w:pPr>
              <w:pStyle w:val="Compact"/>
            </w:pPr>
            <w:r>
              <w:t xml:space="preserve">Post-mitigation Pearson</w:t>
            </w:r>
            <w:r>
              <w:t xml:space="preserve"> </w:t>
            </w:r>
            <w:r>
              <w:rPr>
                <w:i/>
                <w:iCs/>
              </w:rPr>
              <w:t xml:space="preserve">r</w:t>
            </w:r>
          </w:p>
        </w:tc>
        <w:tc>
          <w:tcPr/>
          <w:p>
            <w:pPr>
              <w:pStyle w:val="Compact"/>
            </w:pPr>
            <w:r>
              <w:t xml:space="preserve">Pre-mitigation Pearson</w:t>
            </w:r>
            <w:r>
              <w:t xml:space="preserve"> </w:t>
            </w:r>
            <w:r>
              <w:rPr>
                <w:i/>
                <w:iCs/>
              </w:rPr>
              <w:t xml:space="preserve">r</w:t>
            </w:r>
          </w:p>
        </w:tc>
        <w:tc>
          <w:tcPr/>
          <w:p>
            <w:pPr>
              <w:pStyle w:val="Compact"/>
            </w:pPr>
            <w:r>
              <w:t xml:space="preserve">Spearman ρ</w:t>
            </w:r>
          </w:p>
        </w:tc>
        <w:tc>
          <w:tcPr/>
          <w:p>
            <w:pPr>
              <w:pStyle w:val="Compact"/>
            </w:pPr>
            <w:r>
              <w:t xml:space="preserve">Kendall τ</w:t>
            </w:r>
          </w:p>
        </w:tc>
      </w:tr>
      <w:tr>
        <w:tc>
          <w:tcPr/>
          <w:p>
            <w:pPr>
              <w:pStyle w:val="Compact"/>
            </w:pPr>
            <w:r>
              <w:t xml:space="preserve">keywords</w:t>
            </w:r>
          </w:p>
        </w:tc>
        <w:tc>
          <w:tcPr/>
          <w:p>
            <w:pPr>
              <w:pStyle w:val="Compact"/>
            </w:pPr>
            <w:r>
              <w:t xml:space="preserve">0.937</w:t>
            </w:r>
          </w:p>
        </w:tc>
        <w:tc>
          <w:tcPr/>
          <w:p>
            <w:pPr>
              <w:pStyle w:val="Compact"/>
            </w:pPr>
            <w:r>
              <w:t xml:space="preserve">0.941</w:t>
            </w:r>
          </w:p>
        </w:tc>
        <w:tc>
          <w:tcPr/>
          <w:p>
            <w:pPr>
              <w:pStyle w:val="Compact"/>
            </w:pPr>
            <w:r>
              <w:t xml:space="preserve">0.946</w:t>
            </w:r>
          </w:p>
        </w:tc>
        <w:tc>
          <w:tcPr/>
          <w:p>
            <w:pPr>
              <w:pStyle w:val="Compact"/>
            </w:pPr>
            <w:r>
              <w:t xml:space="preserve">0.845</w:t>
            </w:r>
          </w:p>
        </w:tc>
      </w:tr>
      <w:tr>
        <w:tc>
          <w:tcPr/>
          <w:p>
            <w:pPr>
              <w:pStyle w:val="Compact"/>
            </w:pPr>
            <w:r>
              <w:t xml:space="preserve">impact</w:t>
            </w:r>
          </w:p>
        </w:tc>
        <w:tc>
          <w:tcPr/>
          <w:p>
            <w:pPr>
              <w:pStyle w:val="Compact"/>
            </w:pPr>
            <w:r>
              <w:t xml:space="preserve">0.430</w:t>
            </w:r>
          </w:p>
        </w:tc>
        <w:tc>
          <w:tcPr/>
          <w:p>
            <w:pPr>
              <w:pStyle w:val="Compact"/>
            </w:pPr>
            <w:r>
              <w:t xml:space="preserve">0.561</w:t>
            </w:r>
          </w:p>
        </w:tc>
        <w:tc>
          <w:tcPr/>
          <w:p>
            <w:pPr>
              <w:pStyle w:val="Compact"/>
            </w:pPr>
            <w:r>
              <w:t xml:space="preserve">0.447</w:t>
            </w:r>
          </w:p>
        </w:tc>
        <w:tc>
          <w:tcPr/>
          <w:p>
            <w:pPr>
              <w:pStyle w:val="Compact"/>
            </w:pPr>
            <w:r>
              <w:t xml:space="preserve">0.332</w:t>
            </w:r>
          </w:p>
        </w:tc>
      </w:tr>
      <w:tr>
        <w:tc>
          <w:tcPr/>
          <w:p>
            <w:pPr>
              <w:pStyle w:val="Compact"/>
            </w:pPr>
            <w:r>
              <w:t xml:space="preserve">structure</w:t>
            </w:r>
          </w:p>
        </w:tc>
        <w:tc>
          <w:tcPr/>
          <w:p>
            <w:pPr>
              <w:pStyle w:val="Compact"/>
            </w:pPr>
            <w:r>
              <w:t xml:space="preserve">0.830</w:t>
            </w:r>
          </w:p>
        </w:tc>
        <w:tc>
          <w:tcPr/>
          <w:p>
            <w:pPr>
              <w:pStyle w:val="Compact"/>
            </w:pPr>
            <w:r>
              <w:t xml:space="preserve">0.440</w:t>
            </w:r>
          </w:p>
        </w:tc>
        <w:tc>
          <w:tcPr/>
          <w:p>
            <w:pPr>
              <w:pStyle w:val="Compact"/>
            </w:pPr>
            <w:r>
              <w:t xml:space="preserve">0.865</w:t>
            </w:r>
          </w:p>
        </w:tc>
        <w:tc>
          <w:tcPr/>
          <w:p>
            <w:pPr>
              <w:pStyle w:val="Compact"/>
            </w:pPr>
            <w:r>
              <w:t xml:space="preserve">0.804</w:t>
            </w:r>
          </w:p>
        </w:tc>
      </w:tr>
      <w:tr>
        <w:tc>
          <w:tcPr/>
          <w:p>
            <w:pPr>
              <w:pStyle w:val="Compact"/>
            </w:pPr>
            <w:r>
              <w:t xml:space="preserve">clarity</w:t>
            </w:r>
          </w:p>
        </w:tc>
        <w:tc>
          <w:tcPr/>
          <w:p>
            <w:pPr>
              <w:pStyle w:val="Compact"/>
            </w:pPr>
            <w:r>
              <w:t xml:space="preserve">0.395</w:t>
            </w:r>
          </w:p>
        </w:tc>
        <w:tc>
          <w:tcPr/>
          <w:p>
            <w:pPr>
              <w:pStyle w:val="Compact"/>
            </w:pPr>
            <w:r>
              <w:t xml:space="preserve">0.475</w:t>
            </w:r>
          </w:p>
        </w:tc>
        <w:tc>
          <w:tcPr/>
          <w:p>
            <w:pPr>
              <w:pStyle w:val="Compact"/>
            </w:pPr>
            <w:r>
              <w:t xml:space="preserve">0.373</w:t>
            </w:r>
          </w:p>
        </w:tc>
        <w:tc>
          <w:tcPr/>
          <w:p>
            <w:pPr>
              <w:pStyle w:val="Compact"/>
            </w:pPr>
            <w:r>
              <w:t xml:space="preserve">0.289</w:t>
            </w:r>
          </w:p>
        </w:tc>
      </w:tr>
      <w:tr>
        <w:tc>
          <w:tcPr/>
          <w:p>
            <w:pPr>
              <w:pStyle w:val="Compact"/>
            </w:pPr>
            <w:r>
              <w:t xml:space="preserve">completeness</w:t>
            </w:r>
          </w:p>
        </w:tc>
        <w:tc>
          <w:tcPr/>
          <w:p>
            <w:pPr>
              <w:pStyle w:val="Compact"/>
            </w:pPr>
            <w:r>
              <w:t xml:space="preserve">0.756</w:t>
            </w:r>
          </w:p>
        </w:tc>
        <w:tc>
          <w:tcPr/>
          <w:p>
            <w:pPr>
              <w:pStyle w:val="Compact"/>
            </w:pPr>
            <w:r>
              <w:t xml:space="preserve">0.691</w:t>
            </w:r>
          </w:p>
        </w:tc>
        <w:tc>
          <w:tcPr/>
          <w:p>
            <w:pPr>
              <w:pStyle w:val="Compact"/>
            </w:pPr>
            <w:r>
              <w:t xml:space="preserve">0.793</w:t>
            </w:r>
          </w:p>
        </w:tc>
        <w:tc>
          <w:tcPr/>
          <w:p>
            <w:pPr>
              <w:pStyle w:val="Compact"/>
            </w:pPr>
            <w:r>
              <w:t xml:space="preserve">0.689</w:t>
            </w:r>
          </w:p>
        </w:tc>
      </w:tr>
    </w:tbl>
    <w:p>
      <w:pPr>
        <w:pStyle w:val="BodyText"/>
      </w:pPr>
      <w:r>
        <w:t xml:space="preserve">The</w:t>
      </w:r>
      <w:r>
        <w:t xml:space="preserve"> </w:t>
      </w:r>
      <w:r>
        <w:rPr>
          <w:i/>
          <w:iCs/>
        </w:rPr>
        <w:t xml:space="preserve">keywords</w:t>
      </w:r>
      <w:r>
        <w:t xml:space="preserve"> </w:t>
      </w:r>
      <w:r>
        <w:t xml:space="preserve">sub-score is essentially unchanged between the leakage and the disjoint-vocabulary versions (0.941 → 0.937). This invariance confirms that the agreement on the keyword axis is not driven by the action-verb phrasing that the disjoint-pool regeneration removed but by the</w:t>
      </w:r>
      <w:r>
        <w:t xml:space="preserve"> </w:t>
      </w:r>
      <w:r>
        <w:rPr>
          <w:i/>
          <w:iCs/>
        </w:rPr>
        <w:t xml:space="preserve">skill-term overlap</w:t>
      </w:r>
      <w:r>
        <w:t xml:space="preserve"> </w:t>
      </w:r>
      <w:r>
        <w:t xml:space="preserve">that both pools intentionally retained: the resume side and the JD side both reference the same canonical ESCO skill labels (Python, React, BM25, and so on), and that signal is the legitimate matching evidence the heuristic and the language model are both designed to consume. The</w:t>
      </w:r>
      <w:r>
        <w:t xml:space="preserve"> </w:t>
      </w:r>
      <w:r>
        <w:rPr>
          <w:i/>
          <w:iCs/>
        </w:rPr>
        <w:t xml:space="preserve">structure</w:t>
      </w:r>
      <w:r>
        <w:t xml:space="preserve"> </w:t>
      </w:r>
      <w:r>
        <w:t xml:space="preserve">axis is the largest single beneficiary of the regeneration (0.440 → 0.830): under the disjoint-vocabulary construction, both modes pick up the structural regularities of the synthesised resumes more cleanly because the leakage-version’s repeated phrase templates had introduced sentence-length and bullet-density artefacts that depressed the structure-axis correlation.</w:t>
      </w:r>
      <w:r>
        <w:t xml:space="preserve"> </w:t>
      </w:r>
      <w:r>
        <w:rPr>
          <w:i/>
          <w:iCs/>
        </w:rPr>
        <w:t xml:space="preserve">Impact</w:t>
      </w:r>
      <w:r>
        <w:t xml:space="preserve"> </w:t>
      </w:r>
      <w:r>
        <w:t xml:space="preserve">and</w:t>
      </w:r>
      <w:r>
        <w:t xml:space="preserve"> </w:t>
      </w:r>
      <w:r>
        <w:rPr>
          <w:i/>
          <w:iCs/>
        </w:rPr>
        <w:t xml:space="preserve">clarity</w:t>
      </w:r>
      <w:r>
        <w:t xml:space="preserve"> </w:t>
      </w:r>
      <w:r>
        <w:t xml:space="preserve">remain the two axes on which the language-model contribution is most distinct from the heuristic; the</w:t>
      </w:r>
      <w:r>
        <w:t xml:space="preserve"> </w:t>
      </w:r>
      <w:r>
        <w:rPr>
          <w:i/>
          <w:iCs/>
        </w:rPr>
        <w:t xml:space="preserve">r</w:t>
      </w:r>
      <w:r>
        <w:t xml:space="preserve"> </w:t>
      </w:r>
      <w:r>
        <w:t xml:space="preserve">= 0.395 clarity correlation is consistent with the language model weighing prose-quality features the heuristic cannot see.</w:t>
      </w:r>
    </w:p>
    <w:p>
      <w:pPr>
        <w:pStyle w:val="BodyText"/>
      </w:pPr>
      <w:r>
        <w:t xml:space="preserve">An analytical sanity check confirms the structural decomposition. Given the construction blended = 0.40 × heuristic + 0.60 × LLM and the measured r(LLM-only, heuristic) = 0.627 (recovered post-hoc in Section 4.3.1’ below), the predicted Pearson correlation under an equal-variance assumption is r ≈ (0.4 + 0.6 × 0.627) / sqrt(0.52 + 0.48 × 0.627) ≈ 0.857. The observed r(blended, heuristic) = 0.836 sits within rounding distance of this analytical prediction, confirming that the blended score behaves as the weighted agreement of its two components in correlation space, not merely in score space. This decomposition is the methodological anchor of the comparative study reported in this chapter.</w:t>
      </w:r>
    </w:p>
    <w:p>
      <w:pPr>
        <w:pStyle w:val="BodyText"/>
      </w:pPr>
      <w:r>
        <w:t xml:space="preserve">The self-correlation concern flagged as threat T2 in Section 4.1.4 is addressed quantitatively in the next subsection.</w:t>
      </w:r>
    </w:p>
    <w:bookmarkEnd w:id="91"/>
    <w:bookmarkStart w:id="92" w:name="llm-only-baseline-t2-mitigation"/>
    <w:p>
      <w:pPr>
        <w:pStyle w:val="Heading3"/>
      </w:pPr>
      <w:r>
        <w:t xml:space="preserve">4.3.1’ LLM-only baseline (T2 mitigation)</w:t>
      </w:r>
    </w:p>
    <w:p>
      <w:pPr>
        <w:pStyle w:val="FirstParagraph"/>
      </w:pPr>
      <w:r>
        <w:t xml:space="preserve">Because the heuristic prepass is exposed to the language model as a</w:t>
      </w:r>
      <w:r>
        <w:t xml:space="preserve"> </w:t>
      </w:r>
      <w:r>
        <w:rPr>
          <w:i/>
          <w:iCs/>
        </w:rPr>
        <w:t xml:space="preserve">locked payload</w:t>
      </w:r>
      <w:r>
        <w:t xml:space="preserve"> </w:t>
      </w:r>
      <w:r>
        <w:t xml:space="preserve">(Section 3.2.3), the heuristic component of the blended score is invariant under the LLM call. The blended formula</w:t>
      </w:r>
      <w:r>
        <w:t xml:space="preserve"> </w:t>
      </w:r>
      <w:r>
        <w:rPr>
          <w:rStyle w:val="VerbatimChar"/>
        </w:rPr>
        <w:t xml:space="preserve">blended = 0.4 × heuristic + 0.6 × LLM-only</w:t>
      </w:r>
      <w:r>
        <w:t xml:space="preserve"> </w:t>
      </w:r>
      <w:r>
        <w:t xml:space="preserve">is therefore an exact identity, and the LLM-only score per pair is recoverable post-hoc from the blended and heuristic-only scores already reported in the manifest:</w:t>
      </w:r>
    </w:p>
    <w:p>
      <w:pPr>
        <w:pStyle w:val="BodyText"/>
      </w:pPr>
      <w:r>
        <w:t xml:space="preserve">LLM-only = (blended − 0.4 × heuristic) / 0.6</w:t>
      </w:r>
    </w:p>
    <w:p>
      <w:pPr>
        <w:pStyle w:val="BodyText"/>
      </w:pPr>
      <w:r>
        <w:t xml:space="preserve">This recovery requires no additional API calls; it is a deterministic algebraic transformation of the existing per-pair results. The Pearson correlation between the recovered LLM-only score and the heuristic-only score isolates the</w:t>
      </w:r>
      <w:r>
        <w:t xml:space="preserve"> </w:t>
      </w:r>
      <w:r>
        <w:rPr>
          <w:i/>
          <w:iCs/>
        </w:rPr>
        <w:t xml:space="preserve">cross-mode agreement</w:t>
      </w:r>
      <w:r>
        <w:t xml:space="preserve"> </w:t>
      </w:r>
      <w:r>
        <w:t xml:space="preserve">(what the language model and the classical-IR heuristic agree on) controlling for the structural component shared between the blended and heuristic-only modes by construction. Table 4.1’ reports the three pairwise correlations with cluster-bootstrap confidence intervals.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Pearson</w:t>
            </w:r>
            <w:r>
              <w:t xml:space="preserve"> </w:t>
            </w:r>
            <w:r>
              <w:rPr>
                <w:i/>
                <w:iCs/>
              </w:rPr>
              <w:t xml:space="preserve">r</w:t>
            </w:r>
          </w:p>
        </w:tc>
        <w:tc>
          <w:tcPr/>
          <w:p>
            <w:pPr>
              <w:pStyle w:val="Compact"/>
            </w:pPr>
            <w:r>
              <w:t xml:space="preserve">95% CI (cluster bootstrap)</w:t>
            </w:r>
          </w:p>
        </w:tc>
        <w:tc>
          <w:tcPr/>
          <w:p>
            <w:pPr>
              <w:pStyle w:val="Compact"/>
            </w:pPr>
            <w:r>
              <w:t xml:space="preserve">Spearman ρ</w:t>
            </w:r>
          </w:p>
        </w:tc>
      </w:tr>
      <w:tr>
        <w:tc>
          <w:tcPr/>
          <w:p>
            <w:pPr>
              <w:pStyle w:val="Compact"/>
            </w:pPr>
            <w:r>
              <w:t xml:space="preserve">blended vs heuristic</w:t>
            </w:r>
          </w:p>
        </w:tc>
        <w:tc>
          <w:tcPr/>
          <w:p>
            <w:pPr>
              <w:pStyle w:val="Compact"/>
            </w:pPr>
            <w:r>
              <w:rPr>
                <w:b/>
                <w:bCs/>
              </w:rPr>
              <w:t xml:space="preserve">0.836</w:t>
            </w:r>
          </w:p>
        </w:tc>
        <w:tc>
          <w:tcPr/>
          <w:p>
            <w:pPr>
              <w:pStyle w:val="Compact"/>
            </w:pPr>
            <w:r>
              <w:t xml:space="preserve">[0.762, 0.896]</w:t>
            </w:r>
          </w:p>
        </w:tc>
        <w:tc>
          <w:tcPr/>
          <w:p>
            <w:pPr>
              <w:pStyle w:val="Compact"/>
            </w:pPr>
            <w:r>
              <w:t xml:space="preserve">0.847</w:t>
            </w:r>
          </w:p>
        </w:tc>
      </w:tr>
      <w:tr>
        <w:tc>
          <w:tcPr/>
          <w:p>
            <w:pPr>
              <w:pStyle w:val="Compact"/>
            </w:pPr>
            <w:r>
              <w:t xml:space="preserve">LLM-only vs heuristic</w:t>
            </w:r>
          </w:p>
        </w:tc>
        <w:tc>
          <w:tcPr/>
          <w:p>
            <w:pPr>
              <w:pStyle w:val="Compact"/>
            </w:pPr>
            <w:r>
              <w:rPr>
                <w:b/>
                <w:bCs/>
              </w:rPr>
              <w:t xml:space="preserve">0.627</w:t>
            </w:r>
          </w:p>
        </w:tc>
        <w:tc>
          <w:tcPr/>
          <w:p>
            <w:pPr>
              <w:pStyle w:val="Compact"/>
            </w:pPr>
            <w:r>
              <w:t xml:space="preserve">[0.476, 0.765]</w:t>
            </w:r>
          </w:p>
        </w:tc>
        <w:tc>
          <w:tcPr/>
          <w:p>
            <w:pPr>
              <w:pStyle w:val="Compact"/>
            </w:pPr>
            <w:r>
              <w:t xml:space="preserve">0.596</w:t>
            </w:r>
          </w:p>
        </w:tc>
      </w:tr>
      <w:tr>
        <w:tc>
          <w:tcPr/>
          <w:p>
            <w:pPr>
              <w:pStyle w:val="Compact"/>
            </w:pPr>
            <w:r>
              <w:t xml:space="preserve">blended vs LLM-only</w:t>
            </w:r>
          </w:p>
        </w:tc>
        <w:tc>
          <w:tcPr/>
          <w:p>
            <w:pPr>
              <w:pStyle w:val="Compact"/>
            </w:pPr>
            <w:r>
              <w:t xml:space="preserve">0.952</w:t>
            </w:r>
          </w:p>
        </w:tc>
        <w:tc>
          <w:tcPr/>
          <w:p>
            <w:pPr>
              <w:pStyle w:val="Compact"/>
            </w:pPr>
            <w:r>
              <w:t xml:space="preserve">[0.923, 0.973]</w:t>
            </w:r>
          </w:p>
        </w:tc>
        <w:tc>
          <w:tcPr/>
          <w:p>
            <w:pPr>
              <w:pStyle w:val="Compact"/>
            </w:pPr>
            <w:r>
              <w:t xml:space="preserve">n/a</w:t>
            </w:r>
          </w:p>
        </w:tc>
      </w:tr>
    </w:tbl>
    <w:p>
      <w:pPr>
        <w:pStyle w:val="BodyText"/>
      </w:pPr>
      <w:r>
        <w:t xml:space="preserve">The recovered LLM-only score has mean 71.29, standard deviation 8.45, median 73.33, 5th percentile 54.62, and 95th percentile 82.00. This distribution shape is comparable to the blended and heuristic distributions (Section 4.3.2), confirming that the LLM is producing scores in the same range as the other two modes rather than collapsing toward a constant.</w:t>
      </w:r>
    </w:p>
    <w:p>
      <w:pPr>
        <w:pStyle w:val="BodyText"/>
      </w:pPr>
      <w:r>
        <w:t xml:space="preserve">The substantive interpretation: the LLM-only versus heuristic correlation of 0.627 is the honest</w:t>
      </w:r>
      <w:r>
        <w:t xml:space="preserve"> </w:t>
      </w:r>
      <w:r>
        <w:rPr>
          <w:i/>
          <w:iCs/>
        </w:rPr>
        <w:t xml:space="preserve">cross-mode</w:t>
      </w:r>
      <w:r>
        <w:t xml:space="preserve"> </w:t>
      </w:r>
      <w:r>
        <w:t xml:space="preserve">agreement after isolating the structural blended-formula component. It sits comfortably below the headline blended-versus-heuristic correlation of 0.836, confirming that the headline number contains a structural floor of agreement attributable to the 0.40 heuristic component the two modes share by construction. The 0.627 figure is the relevant statistic for an external reader who asks</w:t>
      </w:r>
      <w:r>
        <w:t xml:space="preserve"> </w:t>
      </w:r>
      <w:r>
        <w:rPr>
          <w:i/>
          <w:iCs/>
        </w:rPr>
        <w:t xml:space="preserve">“how much do the language model and the classical-IR heuristic actually agree on?”</w:t>
      </w:r>
      <w:r>
        <w:t xml:space="preserve">; the 0.836 figure is the relevant statistic for an operator who asks</w:t>
      </w:r>
      <w:r>
        <w:t xml:space="preserve"> </w:t>
      </w:r>
      <w:r>
        <w:rPr>
          <w:i/>
          <w:iCs/>
        </w:rPr>
        <w:t xml:space="preserve">“what does the runtime toggle (Section 4.2.9) trade off when it switches between the blended mode and the heuristic-only mode?”</w:t>
      </w:r>
      <w:r>
        <w:t xml:space="preserve">. Both are reported because each addresses a different question. The blended-versus-LLM-only correlation of 0.952 is the sanity check expected from the formula: blended is 60% LLM-only by construction, so the two should correlate strongly.</w:t>
      </w:r>
    </w:p>
    <w:bookmarkEnd w:id="92"/>
    <w:bookmarkStart w:id="96" w:name="score-distribution"/>
    <w:p>
      <w:pPr>
        <w:pStyle w:val="Heading3"/>
      </w:pPr>
      <w:r>
        <w:t xml:space="preserve">4.3.2 Score distribution</w:t>
      </w:r>
    </w:p>
    <w:p>
      <w:pPr>
        <w:pStyle w:val="FirstParagraph"/>
      </w:pPr>
      <w:r>
        <w:t xml:space="preserve">Table 4.2 reports the mean, standard deviation, median, 5th and 95th percentiles, and Kolmogorov–Smirnov distance of the overall score across all 100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Mean</w:t>
            </w:r>
          </w:p>
        </w:tc>
        <w:tc>
          <w:tcPr/>
          <w:p>
            <w:pPr>
              <w:pStyle w:val="Compact"/>
            </w:pPr>
            <w:r>
              <w:t xml:space="preserve">71.84</w:t>
            </w:r>
          </w:p>
        </w:tc>
        <w:tc>
          <w:tcPr/>
          <w:p>
            <w:pPr>
              <w:pStyle w:val="Compact"/>
            </w:pPr>
            <w:r>
              <w:t xml:space="preserve">72.66</w:t>
            </w:r>
          </w:p>
        </w:tc>
      </w:tr>
      <w:tr>
        <w:tc>
          <w:tcPr/>
          <w:p>
            <w:pPr>
              <w:pStyle w:val="Compact"/>
            </w:pPr>
            <w:r>
              <w:t xml:space="preserve">Std. dev.</w:t>
            </w:r>
          </w:p>
        </w:tc>
        <w:tc>
          <w:tcPr/>
          <w:p>
            <w:pPr>
              <w:pStyle w:val="Compact"/>
            </w:pPr>
            <w:r>
              <w:t xml:space="preserve">7.19</w:t>
            </w:r>
          </w:p>
        </w:tc>
        <w:tc>
          <w:tcPr/>
          <w:p>
            <w:pPr>
              <w:pStyle w:val="Compact"/>
            </w:pPr>
            <w:r>
              <w:t xml:space="preserve">7.08</w:t>
            </w:r>
          </w:p>
        </w:tc>
      </w:tr>
      <w:tr>
        <w:tc>
          <w:tcPr/>
          <w:p>
            <w:pPr>
              <w:pStyle w:val="Compact"/>
            </w:pPr>
            <w:r>
              <w:t xml:space="preserve">Median</w:t>
            </w:r>
          </w:p>
        </w:tc>
        <w:tc>
          <w:tcPr/>
          <w:p>
            <w:pPr>
              <w:pStyle w:val="Compact"/>
            </w:pPr>
            <w:r>
              <w:t xml:space="preserve">73.00</w:t>
            </w:r>
          </w:p>
        </w:tc>
        <w:tc>
          <w:tcPr/>
          <w:p>
            <w:pPr>
              <w:pStyle w:val="Compact"/>
            </w:pPr>
            <w:r>
              <w:t xml:space="preserve">74.50</w:t>
            </w:r>
          </w:p>
        </w:tc>
      </w:tr>
      <w:tr>
        <w:tc>
          <w:tcPr/>
          <w:p>
            <w:pPr>
              <w:pStyle w:val="Compact"/>
            </w:pPr>
            <w:r>
              <w:t xml:space="preserve">5th percentile</w:t>
            </w:r>
          </w:p>
        </w:tc>
        <w:tc>
          <w:tcPr/>
          <w:p>
            <w:pPr>
              <w:pStyle w:val="Compact"/>
            </w:pPr>
            <w:r>
              <w:t xml:space="preserve">58.00</w:t>
            </w:r>
          </w:p>
        </w:tc>
        <w:tc>
          <w:tcPr/>
          <w:p>
            <w:pPr>
              <w:pStyle w:val="Compact"/>
            </w:pPr>
            <w:r>
              <w:t xml:space="preserve">59.00</w:t>
            </w:r>
          </w:p>
        </w:tc>
      </w:tr>
      <w:tr>
        <w:tc>
          <w:tcPr/>
          <w:p>
            <w:pPr>
              <w:pStyle w:val="Compact"/>
            </w:pPr>
            <w:r>
              <w:t xml:space="preserve">95th percentile</w:t>
            </w:r>
          </w:p>
        </w:tc>
        <w:tc>
          <w:tcPr/>
          <w:p>
            <w:pPr>
              <w:pStyle w:val="Compact"/>
            </w:pPr>
            <w:r>
              <w:t xml:space="preserve">81.00</w:t>
            </w:r>
          </w:p>
        </w:tc>
        <w:tc>
          <w:tcPr/>
          <w:p>
            <w:pPr>
              <w:pStyle w:val="Compact"/>
            </w:pPr>
            <w:r>
              <w:t xml:space="preserve">82.00</w:t>
            </w:r>
          </w:p>
        </w:tc>
      </w:tr>
      <w:tr>
        <w:tc>
          <w:tcPr/>
          <w:p>
            <w:pPr>
              <w:pStyle w:val="Compact"/>
            </w:pPr>
            <w:r>
              <w:t xml:space="preserve">KS distance</w:t>
            </w:r>
          </w:p>
        </w:tc>
        <w:tc>
          <w:tcPr/>
          <w:p>
            <w:pPr>
              <w:pStyle w:val="Compact"/>
            </w:pPr>
            <w:r>
              <w:rPr>
                <w:b/>
                <w:bCs/>
              </w:rPr>
              <w:t xml:space="preserve">0.100</w:t>
            </w:r>
          </w:p>
        </w:tc>
        <w:tc>
          <w:tcPr/>
          <w:p>
            <w:pPr>
              <w:pStyle w:val="Compact"/>
            </w:pPr>
            <w:r>
              <w:t xml:space="preserve">n/a</w:t>
            </w:r>
          </w:p>
        </w:tc>
      </w:tr>
    </w:tbl>
    <w:p>
      <w:pPr>
        <w:pStyle w:val="BodyText"/>
      </w:pPr>
      <w:r>
        <w:t xml:space="preserve">Two effects are visible. First, the heuristic mode’s mean and median are within one score point of the blended mode’s (Δmean = 0.82, Δmedian = 1.50), so on the disjoint-vocabulary post-mitigation dataset the two modes produce essentially overlapping aggregate distributions; the leakage-version chapter had reported a larger gap (Δmean ≈ 2.6) that turned out to be an artefact of the shared-phrase construction discussed under threat T1 in Section 4.1.4. Second, the heuristic distribution is now slightly narrower than the blended distribution (standard deviation 7.08 vs 7.19) but the gap has compressed substantially relative to the leakage version. The KS distance of 0.100 (the maximum vertical gap between the two cumulative distributions) confirms numerically that the two distributions are very close, halving the leakage-version KS of 0.200. Figure 4.1 visualises both distributions on the same axes.</w:t>
      </w:r>
    </w:p>
    <w:p>
      <w:pPr>
        <w:pStyle w:val="CaptionedFigure"/>
      </w:pPr>
      <w:r>
        <w:drawing>
          <wp:inline>
            <wp:extent cx="5334000" cy="3772693"/>
            <wp:effectExtent b="0" l="0" r="0" t="0"/>
            <wp:docPr descr="Figure 4.1: Distribution of overall scores across 100 (resume, JD) pairs, by scoring mode."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pPr>
      <w:r>
        <w:t xml:space="preserve">Figure 4.1: Distribution of overall scores across 100 (resume, JD) pairs, by scoring mode.</w:t>
      </w:r>
    </w:p>
    <w:p>
      <w:pPr>
        <w:pStyle w:val="BodyText"/>
      </w:pPr>
      <w:r>
        <w:rPr>
          <w:i/>
          <w:iCs/>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96"/>
    <w:bookmarkStart w:id="97" w:name="latency"/>
    <w:p>
      <w:pPr>
        <w:pStyle w:val="Heading3"/>
      </w:pPr>
      <w:r>
        <w:t xml:space="preserve">4.3.3 Latency</w:t>
      </w:r>
    </w:p>
    <w:p>
      <w:pPr>
        <w:pStyle w:val="FirstParagraph"/>
      </w:pPr>
      <w: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Latency</w:t>
            </w:r>
          </w:p>
        </w:tc>
        <w:tc>
          <w:tcPr/>
          <w:p>
            <w:pPr>
              <w:pStyle w:val="Compact"/>
            </w:pPr>
            <w:r>
              <w:t xml:space="preserve">Blended mode</w:t>
            </w:r>
          </w:p>
        </w:tc>
        <w:tc>
          <w:tcPr/>
          <w:p>
            <w:pPr>
              <w:pStyle w:val="Compact"/>
            </w:pPr>
            <w:r>
              <w:t xml:space="preserve">Heuristic v2 mode</w:t>
            </w:r>
          </w:p>
        </w:tc>
        <w:tc>
          <w:tcPr/>
          <w:p>
            <w:pPr>
              <w:pStyle w:val="Compact"/>
            </w:pPr>
            <w:r>
              <w:t xml:space="preserve">Ratio</w:t>
            </w:r>
          </w:p>
        </w:tc>
      </w:tr>
      <w:tr>
        <w:tc>
          <w:tcPr/>
          <w:p>
            <w:pPr>
              <w:pStyle w:val="Compact"/>
            </w:pPr>
            <w:r>
              <w:t xml:space="preserve">Median</w:t>
            </w:r>
          </w:p>
        </w:tc>
        <w:tc>
          <w:tcPr/>
          <w:p>
            <w:pPr>
              <w:pStyle w:val="Compact"/>
            </w:pPr>
            <w:r>
              <w:t xml:space="preserve">18 232.1 ms</w:t>
            </w:r>
          </w:p>
        </w:tc>
        <w:tc>
          <w:tcPr/>
          <w:p>
            <w:pPr>
              <w:pStyle w:val="Compact"/>
            </w:pPr>
            <w:r>
              <w:t xml:space="preserve">25.5 ms</w:t>
            </w:r>
          </w:p>
        </w:tc>
        <w:tc>
          <w:tcPr/>
          <w:p>
            <w:pPr>
              <w:pStyle w:val="Compact"/>
            </w:pPr>
            <w:r>
              <w:t xml:space="preserve">714×</w:t>
            </w:r>
          </w:p>
        </w:tc>
      </w:tr>
      <w:tr>
        <w:tc>
          <w:tcPr/>
          <w:p>
            <w:pPr>
              <w:pStyle w:val="Compact"/>
            </w:pPr>
            <w:r>
              <w:t xml:space="preserve">95th percentile</w:t>
            </w:r>
          </w:p>
        </w:tc>
        <w:tc>
          <w:tcPr/>
          <w:p>
            <w:pPr>
              <w:pStyle w:val="Compact"/>
            </w:pPr>
            <w:r>
              <w:t xml:space="preserve">24 713.7 ms</w:t>
            </w:r>
          </w:p>
        </w:tc>
        <w:tc>
          <w:tcPr/>
          <w:p>
            <w:pPr>
              <w:pStyle w:val="Compact"/>
            </w:pPr>
            <w:r>
              <w:t xml:space="preserve">32.1 ms</w:t>
            </w:r>
          </w:p>
        </w:tc>
        <w:tc>
          <w:tcPr/>
          <w:p>
            <w:pPr>
              <w:pStyle w:val="Compact"/>
            </w:pPr>
            <w:r>
              <w:t xml:space="preserve">770×</w:t>
            </w:r>
          </w:p>
        </w:tc>
      </w:tr>
      <w:tr>
        <w:tc>
          <w:tcPr/>
          <w:p>
            <w:pPr>
              <w:pStyle w:val="Compact"/>
            </w:pPr>
            <w:r>
              <w:t xml:space="preserve">Maximum observed</w:t>
            </w:r>
          </w:p>
        </w:tc>
        <w:tc>
          <w:tcPr/>
          <w:p>
            <w:pPr>
              <w:pStyle w:val="Compact"/>
            </w:pPr>
            <w:r>
              <w:t xml:space="preserve">65 926.6 ms</w:t>
            </w:r>
          </w:p>
        </w:tc>
        <w:tc>
          <w:tcPr/>
          <w:p>
            <w:pPr>
              <w:pStyle w:val="Compact"/>
            </w:pPr>
            <w:r>
              <w:t xml:space="preserve">34.1 ms</w:t>
            </w:r>
          </w:p>
        </w:tc>
        <w:tc>
          <w:tcPr/>
          <w:p>
            <w:pPr>
              <w:pStyle w:val="Compact"/>
            </w:pPr>
            <w:r>
              <w:t xml:space="preserve">1 933×</w:t>
            </w:r>
          </w:p>
        </w:tc>
      </w:tr>
    </w:tbl>
    <w:p>
      <w:pPr>
        <w:pStyle w:val="BodyText"/>
      </w:pPr>
      <w:r>
        <w:t xml:space="preserve">The blended mode is dominated by the LLM call: median ≈ 18 seconds is consistent with a structured-output Gemini 2.5 Flash call against the</w:t>
      </w:r>
      <w:r>
        <w:t xml:space="preserve"> </w:t>
      </w:r>
      <w:r>
        <w:rPr>
          <w:i/>
          <w:iCs/>
        </w:rPr>
        <w:t xml:space="preserve">~608 input tokens</w:t>
      </w:r>
      <w:r>
        <w:t xml:space="preserve"> </w:t>
      </w:r>
      <w:r>
        <w:t xml:space="preserve">of resume and JD content plus a static system-prompt overhead documented in Section 4.3.4, with approximately 1 118 output tokens. The maximum observed of 66 seconds reflects a single retry-after-timeout case absorbed by the</w:t>
      </w:r>
      <w:r>
        <w:t xml:space="preserve"> </w:t>
      </w:r>
      <w:r>
        <w:rPr>
          <w:i/>
          <w:iCs/>
        </w:rPr>
        <w:t xml:space="preserve">retry-with-jitter</w:t>
      </w:r>
      <w:r>
        <w:t xml:space="preserve"> </w:t>
      </w:r>
      <w:r>
        <w:t xml:space="preserve">policy described in Section 3.1.1. The heuristic v2 mode runs in tens of milliseconds: the median is 25.5 ms and the 95th percentile is 32.1 ms, both well inside the spec target stated in</w:t>
      </w:r>
      <w:r>
        <w:t xml:space="preserve"> </w:t>
      </w:r>
      <w:r>
        <w:rPr>
          <w:rStyle w:val="VerbatimChar"/>
        </w:rPr>
        <w:t xml:space="preserve">heuristic-v2-design.md</w:t>
      </w:r>
      <w:r>
        <w:t xml:space="preserve">. The blended cold-path 95th percentile of 24 713.7 ms is consistent with the split non-functional requirement N1b introduced in Section 2.1.2 (blended cold-path target ≤ 25 s, dominated by the upstream Gemini call); production cached-path latency is materially lower as reported in Section 3.9. The two-to-three-orders-of-magnitude latency advantage of the heuristic mode is consistent across the median, the 95th percentile, and the worst-case row.</w:t>
      </w:r>
    </w:p>
    <w:bookmarkEnd w:id="97"/>
    <w:bookmarkStart w:id="98" w:name="per-call-cost"/>
    <w:p>
      <w:pPr>
        <w:pStyle w:val="Heading3"/>
      </w:pPr>
      <w:r>
        <w:t xml:space="preserve">4.3.4 Per-call cost</w:t>
      </w:r>
    </w:p>
    <w:p>
      <w:pPr>
        <w:pStyle w:val="FirstParagraph"/>
      </w:pPr>
      <w: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Blended mode</w:t>
            </w:r>
          </w:p>
        </w:tc>
        <w:tc>
          <w:tcPr/>
          <w:p>
            <w:pPr>
              <w:pStyle w:val="Compact"/>
            </w:pPr>
            <w:r>
              <w:t xml:space="preserve">Heuristic v2 mode</w:t>
            </w:r>
          </w:p>
        </w:tc>
      </w:tr>
      <w:tr>
        <w:tc>
          <w:tcPr/>
          <w:p>
            <w:pPr>
              <w:pStyle w:val="Compact"/>
            </w:pPr>
            <w:r>
              <w:t xml:space="preserve">Input tokens (avg., est.)</w:t>
            </w:r>
          </w:p>
        </w:tc>
        <w:tc>
          <w:tcPr/>
          <w:p>
            <w:pPr>
              <w:pStyle w:val="Compact"/>
            </w:pPr>
            <w:r>
              <w:t xml:space="preserve">608</w:t>
            </w:r>
          </w:p>
        </w:tc>
        <w:tc>
          <w:tcPr/>
          <w:p>
            <w:pPr>
              <w:pStyle w:val="Compact"/>
            </w:pPr>
            <w:r>
              <w:t xml:space="preserve">0</w:t>
            </w:r>
          </w:p>
        </w:tc>
      </w:tr>
      <w:tr>
        <w:tc>
          <w:tcPr/>
          <w:p>
            <w:pPr>
              <w:pStyle w:val="Compact"/>
            </w:pPr>
            <w:r>
              <w:t xml:space="preserve">Output tokens (avg., est.)</w:t>
            </w:r>
          </w:p>
        </w:tc>
        <w:tc>
          <w:tcPr/>
          <w:p>
            <w:pPr>
              <w:pStyle w:val="Compact"/>
            </w:pPr>
            <w:r>
              <w:t xml:space="preserve">1 118</w:t>
            </w:r>
          </w:p>
        </w:tc>
        <w:tc>
          <w:tcPr/>
          <w:p>
            <w:pPr>
              <w:pStyle w:val="Compact"/>
            </w:pPr>
            <w:r>
              <w:t xml:space="preserve">0</w:t>
            </w:r>
          </w:p>
        </w:tc>
      </w:tr>
      <w:tr>
        <w:tc>
          <w:tcPr/>
          <w:p>
            <w:pPr>
              <w:pStyle w:val="Compact"/>
            </w:pPr>
            <w:r>
              <w:t xml:space="preserve">Per-call USD (avg.)</w:t>
            </w:r>
          </w:p>
        </w:tc>
        <w:tc>
          <w:tcPr/>
          <w:p>
            <w:pPr>
              <w:pStyle w:val="Compact"/>
            </w:pPr>
            <w:r>
              <w:t xml:space="preserve">$0.00038</w:t>
            </w:r>
          </w:p>
        </w:tc>
        <w:tc>
          <w:tcPr/>
          <w:p>
            <w:pPr>
              <w:pStyle w:val="Compact"/>
            </w:pPr>
            <w:r>
              <w:t xml:space="preserve">$0.00000</w:t>
            </w:r>
          </w:p>
        </w:tc>
      </w:tr>
      <w:tr>
        <w:tc>
          <w:tcPr/>
          <w:p>
            <w:pPr>
              <w:pStyle w:val="Compact"/>
            </w:pPr>
            <w:r>
              <w:t xml:space="preserve">Per-call USD (95th pct.)</w:t>
            </w:r>
          </w:p>
        </w:tc>
        <w:tc>
          <w:tcPr/>
          <w:p>
            <w:pPr>
              <w:pStyle w:val="Compact"/>
            </w:pPr>
            <w:r>
              <w:t xml:space="preserve">$0.00042</w:t>
            </w:r>
          </w:p>
        </w:tc>
        <w:tc>
          <w:tcPr/>
          <w:p>
            <w:pPr>
              <w:pStyle w:val="Compact"/>
            </w:pPr>
            <w:r>
              <w:t xml:space="preserve">$0.00000</w:t>
            </w:r>
          </w:p>
        </w:tc>
      </w:tr>
      <w:tr>
        <w:tc>
          <w:tcPr/>
          <w:p>
            <w:pPr>
              <w:pStyle w:val="Compact"/>
            </w:pPr>
            <w:r>
              <w:t xml:space="preserve">1 000 calls / day projected monthly bill</w:t>
            </w:r>
          </w:p>
        </w:tc>
        <w:tc>
          <w:tcPr/>
          <w:p>
            <w:pPr>
              <w:pStyle w:val="Compact"/>
            </w:pPr>
            <w:r>
              <w:t xml:space="preserve">$11.43</w:t>
            </w:r>
          </w:p>
        </w:tc>
        <w:tc>
          <w:tcPr/>
          <w:p>
            <w:pPr>
              <w:pStyle w:val="Compact"/>
            </w:pPr>
            <w:r>
              <w:t xml:space="preserve">$0.00</w:t>
            </w:r>
          </w:p>
        </w:tc>
      </w:tr>
    </w:tbl>
    <w:p>
      <w:pPr>
        <w:pStyle w:val="BodyText"/>
      </w:pPr>
      <w:r>
        <w:t xml:space="preserve">Token counts are approximations following the</w:t>
      </w:r>
      <w:r>
        <w:t xml:space="preserve"> </w:t>
      </w:r>
      <w:r>
        <w:rPr>
          <w:rStyle w:val="VerbatimChar"/>
        </w:rPr>
        <w:t xml:space="preserve">~4 characters per token</w:t>
      </w:r>
      <w:r>
        <w:t xml:space="preserve"> </w:t>
      </w:r>
      <w: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t xml:space="preserve"> </w:t>
      </w:r>
      <w:r>
        <w:rPr>
          <w:rStyle w:val="VerbatimChar"/>
        </w:rPr>
        <w:t xml:space="preserve">scripts/recompute_eval_cost.py</w:t>
      </w:r>
      <w:r>
        <w:t xml:space="preserve">, which rebuilds the prompt for every pair without a second LLM call.</w:t>
      </w:r>
    </w:p>
    <w:p>
      <w:pPr>
        <w:pStyle w:val="BodyText"/>
      </w:pPr>
      <w:r>
        <w:t xml:space="preserve">The blended mode at one thousand analyses per day projects to roughly</w:t>
      </w:r>
      <w:r>
        <w:t xml:space="preserve"> </w:t>
      </w:r>
      <w:r>
        <w:rPr>
          <w:b/>
          <w:bCs/>
        </w:rPr>
        <w:t xml:space="preserve">$11.43 per month</w:t>
      </w:r>
      <w:r>
        <w:t xml:space="preserve"> </w:t>
      </w:r>
      <w:r>
        <w:t xml:space="preserve">in LLM-side spend on this evaluation set. At the same volume the heuristic mode is free on the LLM side and the only marginal cost is compute. The cost ratio is unbounded as a multiple but small in absolute terms at thesis-scope traffic; the comparative discussion in Section 4.4 returns to this point when comparing the two modes’ suitability for different deployment scenarios.</w:t>
      </w:r>
    </w:p>
    <w:bookmarkEnd w:id="98"/>
    <w:bookmarkStart w:id="99" w:name="Xc5b9496d48d597ec2064019f244ae133cf5ccd1"/>
    <w:p>
      <w:pPr>
        <w:pStyle w:val="Heading3"/>
      </w:pPr>
      <w:r>
        <w:t xml:space="preserve">4.3.5 Sensitivity to the score-combination weights</w:t>
      </w:r>
    </w:p>
    <w:p>
      <w:pPr>
        <w:pStyle w:val="FirstParagraph"/>
      </w:pPr>
      <w: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Weighting</w:t>
            </w:r>
          </w:p>
        </w:tc>
        <w:tc>
          <w:tcPr/>
          <w:p>
            <w:pPr>
              <w:pStyle w:val="Compact"/>
            </w:pPr>
            <w:r>
              <w:t xml:space="preserve">Pearson</w:t>
            </w:r>
            <w:r>
              <w:t xml:space="preserve"> </w:t>
            </w:r>
            <w:r>
              <w:rPr>
                <w:i/>
                <w:iCs/>
              </w:rPr>
              <w:t xml:space="preserve">r</w:t>
            </w:r>
          </w:p>
        </w:tc>
        <w:tc>
          <w:tcPr/>
          <w:p>
            <w:pPr>
              <w:pStyle w:val="Compact"/>
            </w:pPr>
            <w:r>
              <w:t xml:space="preserve">Spearman ρ</w:t>
            </w:r>
          </w:p>
        </w:tc>
      </w:tr>
      <w:tr>
        <w:tc>
          <w:tcPr/>
          <w:p>
            <w:pPr>
              <w:pStyle w:val="Compact"/>
            </w:pPr>
            <w:r>
              <w:t xml:space="preserve">Author-selected (0.30/0.25/0.15/0.15/0.15)</w:t>
            </w:r>
          </w:p>
        </w:tc>
        <w:tc>
          <w:tcPr/>
          <w:p>
            <w:pPr>
              <w:pStyle w:val="Compact"/>
            </w:pPr>
            <w:r>
              <w:t xml:space="preserve">0.836</w:t>
            </w:r>
          </w:p>
        </w:tc>
        <w:tc>
          <w:tcPr/>
          <w:p>
            <w:pPr>
              <w:pStyle w:val="Compact"/>
            </w:pPr>
            <w:r>
              <w:t xml:space="preserve">0.847</w:t>
            </w:r>
          </w:p>
        </w:tc>
      </w:tr>
      <w:tr>
        <w:tc>
          <w:tcPr/>
          <w:p>
            <w:pPr>
              <w:pStyle w:val="Compact"/>
            </w:pPr>
            <w:r>
              <w:t xml:space="preserve">Equal (0.20 across all five)</w:t>
            </w:r>
          </w:p>
        </w:tc>
        <w:tc>
          <w:tcPr/>
          <w:p>
            <w:pPr>
              <w:pStyle w:val="Compact"/>
            </w:pPr>
            <w:r>
              <w:t xml:space="preserve">0.813</w:t>
            </w:r>
          </w:p>
        </w:tc>
        <w:tc>
          <w:tcPr/>
          <w:p>
            <w:pPr>
              <w:pStyle w:val="Compact"/>
            </w:pPr>
            <w:r>
              <w:t xml:space="preserve">0.823</w:t>
            </w:r>
          </w:p>
        </w:tc>
      </w:tr>
    </w:tbl>
    <w:p>
      <w:pPr>
        <w:pStyle w:val="BodyText"/>
      </w:pPr>
      <w:r>
        <w:t xml:space="preserve">The Pearson correlation moves by Δ = −0.023 between the two weightings; the Spearman correlation moves by Δ = −0.024 (the near-equality of the two deltas is a coincidence of three-decimal rounding rather than a structural pattern). Both correlations remain comfortably above the 0.7 reference threshold under either weighting, so the comparative result on the post-mitigation dataset is robust to the weight choice. The per-pair score recomputation is performed by</w:t>
      </w:r>
      <w:r>
        <w:t xml:space="preserve"> </w:t>
      </w:r>
      <w:r>
        <w:rPr>
          <w:rStyle w:val="VerbatimChar"/>
        </w:rPr>
        <w:t xml:space="preserve">scripts/analyze_eval_results.py</w:t>
      </w:r>
      <w:r>
        <w:t xml:space="preserve"> </w:t>
      </w:r>
      <w:r>
        <w:t xml:space="preserve">from the persisted per-sub-score breakdown rather than from a second eval-harness run, so the cost of producing this analysis is zero.</w:t>
      </w:r>
    </w:p>
    <w:bookmarkEnd w:id="99"/>
    <w:bookmarkStart w:id="100" w:name="heuristic-enhancement-ablation-stage-h"/>
    <w:p>
      <w:pPr>
        <w:pStyle w:val="Heading3"/>
      </w:pPr>
      <w:r>
        <w:t xml:space="preserve">4.3.6 Heuristic-enhancement ablation (Stage H)</w:t>
      </w:r>
    </w:p>
    <w:p>
      <w:pPr>
        <w:pStyle w:val="FirstParagraph"/>
      </w:pPr>
      <w:r>
        <w:t xml:space="preserve">The post-hoc LLM-only-versus-heuristic correlation of</w:t>
      </w:r>
      <w:r>
        <w:t xml:space="preserve"> </w:t>
      </w:r>
      <w:r>
        <w:rPr>
          <w:i/>
          <w:iCs/>
        </w:rPr>
        <w:t xml:space="preserve">r</w:t>
      </w:r>
      <w:r>
        <w:t xml:space="preserve"> </w:t>
      </w:r>
      <w:r>
        <w:t xml:space="preserve">= 0.627 reported in Section 4.3.1’ represents the residual cross-mode agreement after isolating the structural blended-formula component. A natural follow-up question is whether targeted enhancements to the classical-IR heuristic can close this gap without introducing a neural component into the production runtime. To answer this question without committing to a redesign of the deployed v2 heuristic, an enhanced variant is implemented in a separate module (</w:t>
      </w:r>
      <w:r>
        <w:rPr>
          <w:rStyle w:val="VerbatimChar"/>
        </w:rPr>
        <w:t xml:space="preserve">backend/app/services/quality_signals_v3.py</w:t>
      </w:r>
      <w:r>
        <w:t xml:space="preserve">) that adds five focused signals on top of v2:</w:t>
      </w:r>
    </w:p>
    <w:p>
      <w:pPr>
        <w:pStyle w:val="Compact"/>
        <w:numPr>
          <w:ilvl w:val="0"/>
          <w:numId w:val="1007"/>
        </w:numPr>
      </w:pPr>
      <w:r>
        <w:rPr>
          <w:b/>
          <w:bCs/>
        </w:rPr>
        <w:t xml:space="preserve">H.1</w:t>
      </w:r>
      <w:r>
        <w:t xml:space="preserve">: sentence-embedding semantic fallback for keyword matching, using</w:t>
      </w:r>
      <w:r>
        <w:t xml:space="preserve"> </w:t>
      </w:r>
      <w:r>
        <w:rPr>
          <w:rStyle w:val="VerbatimChar"/>
        </w:rPr>
        <w:t xml:space="preserve">sentence-transformers/all-MiniLM-L6-v2</w:t>
      </w:r>
      <w:r>
        <w:t xml:space="preserve"> </w:t>
      </w:r>
      <w:r>
        <w:t xml:space="preserve">at cosine threshold 0.65 as a final fallback after the v2 cascade (exact → fuzzy → ESCO);</w:t>
      </w:r>
    </w:p>
    <w:p>
      <w:pPr>
        <w:pStyle w:val="Compact"/>
        <w:numPr>
          <w:ilvl w:val="0"/>
          <w:numId w:val="1007"/>
        </w:numPr>
      </w:pPr>
      <w:r>
        <w:rPr>
          <w:b/>
          <w:bCs/>
        </w:rPr>
        <w:t xml:space="preserve">H.2</w:t>
      </w:r>
      <w:r>
        <w:t xml:space="preserve">: STAR-format detection over experience bullets (Situation, Task, Action, Result), aggregated as a 0–100 sub-component of the</w:t>
      </w:r>
      <w:r>
        <w:t xml:space="preserve"> </w:t>
      </w:r>
      <w:r>
        <w:rPr>
          <w:i/>
          <w:iCs/>
        </w:rPr>
        <w:t xml:space="preserve">impact</w:t>
      </w:r>
      <w:r>
        <w:t xml:space="preserve"> </w:t>
      </w:r>
      <w:r>
        <w:t xml:space="preserve">axis;</w:t>
      </w:r>
    </w:p>
    <w:p>
      <w:pPr>
        <w:pStyle w:val="Compact"/>
        <w:numPr>
          <w:ilvl w:val="0"/>
          <w:numId w:val="1007"/>
        </w:numPr>
      </w:pPr>
      <w:r>
        <w:rPr>
          <w:b/>
          <w:bCs/>
        </w:rPr>
        <w:t xml:space="preserve">H.3</w:t>
      </w:r>
      <w:r>
        <w:t xml:space="preserve">: three cross-axis coherence checks deducted from the</w:t>
      </w:r>
      <w:r>
        <w:t xml:space="preserve"> </w:t>
      </w:r>
      <w:r>
        <w:rPr>
          <w:i/>
          <w:iCs/>
        </w:rPr>
        <w:t xml:space="preserve">completeness</w:t>
      </w:r>
      <w:r>
        <w:t xml:space="preserve"> </w:t>
      </w:r>
      <w:r>
        <w:t xml:space="preserve">axis: (C1) years-claimed versus date-supported employment span, (C2) skills listed in the Skills section but not grounded in the Experience or Projects passages, (C3) education year versus claimed years of professional experience;</w:t>
      </w:r>
    </w:p>
    <w:p>
      <w:pPr>
        <w:pStyle w:val="Compact"/>
        <w:numPr>
          <w:ilvl w:val="0"/>
          <w:numId w:val="1007"/>
        </w:numPr>
      </w:pPr>
      <w:r>
        <w:rPr>
          <w:b/>
          <w:bCs/>
        </w:rPr>
        <w:t xml:space="preserve">H.4</w:t>
      </w:r>
      <w:r>
        <w:t xml:space="preserve">: bigram and trigram phrase matching with a sliding-window fallback, weighted at 1.5× and 2.0× the unigram contribution respectively;</w:t>
      </w:r>
    </w:p>
    <w:p>
      <w:pPr>
        <w:pStyle w:val="Compact"/>
        <w:numPr>
          <w:ilvl w:val="0"/>
          <w:numId w:val="1007"/>
        </w:numPr>
      </w:pPr>
      <w:r>
        <w:rPr>
          <w:b/>
          <w:bCs/>
        </w:rPr>
        <w:t xml:space="preserve">H.5</w:t>
      </w:r>
      <w:r>
        <w:t xml:space="preserve">: a hand-curated expansion of the ESCO subset from 107 entries to 354 entries (Path B execution: the Path A re-derivation from the official ESCO v1.1.1 static export is left to follow-on work).</w:t>
      </w:r>
    </w:p>
    <w:p>
      <w:pPr>
        <w:pStyle w:val="FirstParagraph"/>
      </w:pPr>
      <w:r>
        <w:t xml:space="preserve">Each enhancement is gated behind an explicit feature flag so that controlled subsets can be exercised independently of the others. Because the heuristic prepass is exposed to the language model as a</w:t>
      </w:r>
      <w:r>
        <w:t xml:space="preserve"> </w:t>
      </w:r>
      <w:r>
        <w:rPr>
          <w:i/>
          <w:iCs/>
        </w:rPr>
        <w:t xml:space="preserve">locked payload</w:t>
      </w:r>
      <w:r>
        <w:t xml:space="preserve"> </w:t>
      </w:r>
      <w:r>
        <w:t xml:space="preserve">(Section 3.2.3), the LLM cannot move the heuristic component at inference time, so the post-hoc-recovered LLM-only score per pair from Section 4.3.1’ is invariant under any reconfiguration of the heuristic. This means the ablation is computable at zero LLM-side cost: each variant’s heuristic score is recomputed against the same locked LLM-only baseline.</w:t>
      </w:r>
    </w:p>
    <w:p>
      <w:pPr>
        <w:pStyle w:val="BodyText"/>
      </w:pPr>
      <w:r>
        <w:t xml:space="preserve">The ablation is computed on the full 100-pair Stage G disjoint-pool evaluation set; for each variant, the Pearson correlation between the variant’s overall heuristic score and the post-hoc-recovered LLM-only score is reported with a 95 % cluster-bootstrap confidence interval (resampled by</w:t>
      </w:r>
      <w:r>
        <w:t xml:space="preserve"> </w:t>
      </w:r>
      <w:r>
        <w:rPr>
          <w:rStyle w:val="VerbatimChar"/>
        </w:rPr>
        <w:t xml:space="preserve">resume_id</w:t>
      </w:r>
      <w:r>
        <w:t xml:space="preserve">, 2 000 resamples, seed = 42).</w:t>
      </w:r>
    </w:p>
    <w:tbl>
      <w:tblPr>
        <w:tblStyle w:val="Table"/>
        <w:tblW w:type="pct" w:w="5000"/>
        <w:tblLayout w:type="fixed"/>
        <w:tblLook w:firstRow="1" w:lastRow="0" w:firstColumn="0" w:lastColumn="0" w:noHBand="0" w:noVBand="0" w:val="0020"/>
      </w:tblPr>
      <w:tblGrid>
        <w:gridCol w:w="1131"/>
        <w:gridCol w:w="3142"/>
        <w:gridCol w:w="1005"/>
        <w:gridCol w:w="1508"/>
        <w:gridCol w:w="1131"/>
      </w:tblGrid>
      <w:tr>
        <w:trPr>
          <w:tblHeader w:val="on"/>
        </w:trPr>
        <w:tc>
          <w:tcPr/>
          <w:p>
            <w:pPr>
              <w:pStyle w:val="Compact"/>
            </w:pPr>
            <w:r>
              <w:t xml:space="preserve">Variant</w:t>
            </w:r>
          </w:p>
        </w:tc>
        <w:tc>
          <w:tcPr/>
          <w:p>
            <w:pPr>
              <w:pStyle w:val="Compact"/>
            </w:pPr>
            <w:r>
              <w:t xml:space="preserve">Pearson</w:t>
            </w:r>
            <w:r>
              <w:t xml:space="preserve"> </w:t>
            </w:r>
            <w:r>
              <w:rPr>
                <w:i/>
                <w:iCs/>
              </w:rPr>
              <w:t xml:space="preserve">r</w:t>
            </w:r>
            <w:r>
              <w:t xml:space="preserve"> </w:t>
            </w:r>
            <w:r>
              <w:t xml:space="preserve">vs LLM-only</w:t>
            </w:r>
          </w:p>
        </w:tc>
        <w:tc>
          <w:tcPr/>
          <w:p>
            <w:pPr>
              <w:pStyle w:val="Compact"/>
            </w:pPr>
            <w:r>
              <w:t xml:space="preserve">95% CI</w:t>
            </w:r>
          </w:p>
        </w:tc>
        <w:tc>
          <w:tcPr/>
          <w:p>
            <w:pPr>
              <w:pStyle w:val="Compact"/>
            </w:pPr>
            <w:r>
              <w:t xml:space="preserve">Spearman ρ</w:t>
            </w:r>
          </w:p>
        </w:tc>
        <w:tc>
          <w:tcPr/>
          <w:p>
            <w:pPr>
              <w:pStyle w:val="Compact"/>
            </w:pPr>
            <w:r>
              <w:t xml:space="preserve">Δ vs v2</w:t>
            </w:r>
          </w:p>
        </w:tc>
      </w:tr>
      <w:tr>
        <w:tc>
          <w:tcPr/>
          <w:p>
            <w:pPr>
              <w:pStyle w:val="Compact"/>
            </w:pPr>
            <w:r>
              <w:t xml:space="preserve">heuristic-v2 (BM25 + ESCO + fuzzy)</w:t>
            </w:r>
          </w:p>
        </w:tc>
        <w:tc>
          <w:tcPr/>
          <w:p>
            <w:pPr>
              <w:pStyle w:val="Compact"/>
            </w:pPr>
            <w:r>
              <w:rPr>
                <w:b/>
                <w:bCs/>
              </w:rPr>
              <w:t xml:space="preserve">0.627</w:t>
            </w:r>
          </w:p>
        </w:tc>
        <w:tc>
          <w:tcPr/>
          <w:p>
            <w:pPr>
              <w:pStyle w:val="Compact"/>
            </w:pPr>
            <w:r>
              <w:t xml:space="preserve">[0.470, 0.758]</w:t>
            </w:r>
          </w:p>
        </w:tc>
        <w:tc>
          <w:tcPr/>
          <w:p>
            <w:pPr>
              <w:pStyle w:val="Compact"/>
            </w:pPr>
            <w:r>
              <w:t xml:space="preserve">0.596</w:t>
            </w:r>
          </w:p>
        </w:tc>
        <w:tc>
          <w:tcPr/>
          <w:p>
            <w:pPr>
              <w:pStyle w:val="Compact"/>
            </w:pPr>
            <w:r>
              <w:t xml:space="preserve">baseline</w:t>
            </w:r>
          </w:p>
        </w:tc>
      </w:tr>
      <w:tr>
        <w:tc>
          <w:tcPr/>
          <w:p>
            <w:pPr>
              <w:pStyle w:val="Compact"/>
            </w:pPr>
            <w:r>
              <w:t xml:space="preserve">heuristic-v3 with no Stage H features</w:t>
            </w:r>
          </w:p>
        </w:tc>
        <w:tc>
          <w:tcPr/>
          <w:p>
            <w:pPr>
              <w:pStyle w:val="Compact"/>
            </w:pPr>
            <w:r>
              <w:t xml:space="preserve">0.627</w:t>
            </w:r>
          </w:p>
        </w:tc>
        <w:tc>
          <w:tcPr/>
          <w:p>
            <w:pPr>
              <w:pStyle w:val="Compact"/>
            </w:pPr>
            <w:r>
              <w:t xml:space="preserve">[0.470, 0.758]</w:t>
            </w:r>
          </w:p>
        </w:tc>
        <w:tc>
          <w:tcPr/>
          <w:p>
            <w:pPr>
              <w:pStyle w:val="Compact"/>
            </w:pPr>
            <w:r>
              <w:t xml:space="preserve">0.596</w:t>
            </w:r>
          </w:p>
        </w:tc>
        <w:tc>
          <w:tcPr/>
          <w:p>
            <w:pPr>
              <w:pStyle w:val="Compact"/>
            </w:pPr>
            <w:r>
              <w:t xml:space="preserve">+0.000</w:t>
            </w:r>
          </w:p>
        </w:tc>
      </w:tr>
      <w:tr>
        <w:tc>
          <w:tcPr/>
          <w:p>
            <w:pPr>
              <w:pStyle w:val="Compact"/>
            </w:pPr>
            <w:r>
              <w:t xml:space="preserve">+ bigram / trigram (H.4)</w:t>
            </w:r>
          </w:p>
        </w:tc>
        <w:tc>
          <w:tcPr/>
          <w:p>
            <w:pPr>
              <w:pStyle w:val="Compact"/>
            </w:pPr>
            <w:r>
              <w:t xml:space="preserve">0.629</w:t>
            </w:r>
          </w:p>
        </w:tc>
        <w:tc>
          <w:tcPr/>
          <w:p>
            <w:pPr>
              <w:pStyle w:val="Compact"/>
            </w:pPr>
            <w:r>
              <w:t xml:space="preserve">[0.470, 0.758]</w:t>
            </w:r>
          </w:p>
        </w:tc>
        <w:tc>
          <w:tcPr/>
          <w:p>
            <w:pPr>
              <w:pStyle w:val="Compact"/>
            </w:pPr>
            <w:r>
              <w:t xml:space="preserve">0.583</w:t>
            </w:r>
          </w:p>
        </w:tc>
        <w:tc>
          <w:tcPr/>
          <w:p>
            <w:pPr>
              <w:pStyle w:val="Compact"/>
            </w:pPr>
            <w:r>
              <w:t xml:space="preserve">+0.002</w:t>
            </w:r>
          </w:p>
        </w:tc>
      </w:tr>
      <w:tr>
        <w:tc>
          <w:tcPr/>
          <w:p>
            <w:pPr>
              <w:pStyle w:val="Compact"/>
            </w:pPr>
            <w:r>
              <w:t xml:space="preserve">+ SBERT semantic fallback (H.1)</w:t>
            </w:r>
          </w:p>
        </w:tc>
        <w:tc>
          <w:tcPr/>
          <w:p>
            <w:pPr>
              <w:pStyle w:val="Compact"/>
            </w:pPr>
            <w:r>
              <w:t xml:space="preserve">0.623</w:t>
            </w:r>
          </w:p>
        </w:tc>
        <w:tc>
          <w:tcPr/>
          <w:p>
            <w:pPr>
              <w:pStyle w:val="Compact"/>
            </w:pPr>
            <w:r>
              <w:t xml:space="preserve">[0.452, 0.759]</w:t>
            </w:r>
          </w:p>
        </w:tc>
        <w:tc>
          <w:tcPr/>
          <w:p>
            <w:pPr>
              <w:pStyle w:val="Compact"/>
            </w:pPr>
            <w:r>
              <w:t xml:space="preserve">0.573</w:t>
            </w:r>
          </w:p>
        </w:tc>
        <w:tc>
          <w:tcPr/>
          <w:p>
            <w:pPr>
              <w:pStyle w:val="Compact"/>
            </w:pPr>
            <w:r>
              <w:t xml:space="preserve">−0.004</w:t>
            </w:r>
          </w:p>
        </w:tc>
      </w:tr>
      <w:tr>
        <w:tc>
          <w:tcPr/>
          <w:p>
            <w:pPr>
              <w:pStyle w:val="Compact"/>
            </w:pPr>
            <w:r>
              <w:t xml:space="preserve">+ STAR detection (H.2)</w:t>
            </w:r>
          </w:p>
        </w:tc>
        <w:tc>
          <w:tcPr/>
          <w:p>
            <w:pPr>
              <w:pStyle w:val="Compact"/>
            </w:pPr>
            <w:r>
              <w:t xml:space="preserve">0.621</w:t>
            </w:r>
          </w:p>
        </w:tc>
        <w:tc>
          <w:tcPr/>
          <w:p>
            <w:pPr>
              <w:pStyle w:val="Compact"/>
            </w:pPr>
            <w:r>
              <w:t xml:space="preserve">[0.463, 0.755]</w:t>
            </w:r>
          </w:p>
        </w:tc>
        <w:tc>
          <w:tcPr/>
          <w:p>
            <w:pPr>
              <w:pStyle w:val="Compact"/>
            </w:pPr>
            <w:r>
              <w:t xml:space="preserve">0.596</w:t>
            </w:r>
          </w:p>
        </w:tc>
        <w:tc>
          <w:tcPr/>
          <w:p>
            <w:pPr>
              <w:pStyle w:val="Compact"/>
            </w:pPr>
            <w:r>
              <w:t xml:space="preserve">−0.006</w:t>
            </w:r>
          </w:p>
        </w:tc>
      </w:tr>
      <w:tr>
        <w:tc>
          <w:tcPr/>
          <w:p>
            <w:pPr>
              <w:pStyle w:val="Compact"/>
            </w:pPr>
            <w:r>
              <w:t xml:space="preserve">+ ESCO expansion 107 → 354 (H.5)</w:t>
            </w:r>
          </w:p>
        </w:tc>
        <w:tc>
          <w:tcPr/>
          <w:p>
            <w:pPr>
              <w:pStyle w:val="Compact"/>
            </w:pPr>
            <w:r>
              <w:t xml:space="preserve">0.617</w:t>
            </w:r>
          </w:p>
        </w:tc>
        <w:tc>
          <w:tcPr/>
          <w:p>
            <w:pPr>
              <w:pStyle w:val="Compact"/>
            </w:pPr>
            <w:r>
              <w:t xml:space="preserve">[0.461, 0.752]</w:t>
            </w:r>
          </w:p>
        </w:tc>
        <w:tc>
          <w:tcPr/>
          <w:p>
            <w:pPr>
              <w:pStyle w:val="Compact"/>
            </w:pPr>
            <w:r>
              <w:t xml:space="preserve">0.578</w:t>
            </w:r>
          </w:p>
        </w:tc>
        <w:tc>
          <w:tcPr/>
          <w:p>
            <w:pPr>
              <w:pStyle w:val="Compact"/>
            </w:pPr>
            <w:r>
              <w:t xml:space="preserve">−0.009</w:t>
            </w:r>
          </w:p>
        </w:tc>
      </w:tr>
      <w:tr>
        <w:tc>
          <w:tcPr/>
          <w:p>
            <w:pPr>
              <w:pStyle w:val="Compact"/>
            </w:pPr>
            <w:r>
              <w:t xml:space="preserve">+ cross-axis coherence (H.3)</w:t>
            </w:r>
          </w:p>
        </w:tc>
        <w:tc>
          <w:tcPr/>
          <w:p>
            <w:pPr>
              <w:pStyle w:val="Compact"/>
            </w:pPr>
            <w:r>
              <w:t xml:space="preserve">0.605</w:t>
            </w:r>
          </w:p>
        </w:tc>
        <w:tc>
          <w:tcPr/>
          <w:p>
            <w:pPr>
              <w:pStyle w:val="Compact"/>
            </w:pPr>
            <w:r>
              <w:t xml:space="preserve">[0.438, 0.746]</w:t>
            </w:r>
          </w:p>
        </w:tc>
        <w:tc>
          <w:tcPr/>
          <w:p>
            <w:pPr>
              <w:pStyle w:val="Compact"/>
            </w:pPr>
            <w:r>
              <w:t xml:space="preserve">0.568</w:t>
            </w:r>
          </w:p>
        </w:tc>
        <w:tc>
          <w:tcPr/>
          <w:p>
            <w:pPr>
              <w:pStyle w:val="Compact"/>
            </w:pPr>
            <w:r>
              <w:t xml:space="preserve">−0.022</w:t>
            </w:r>
          </w:p>
        </w:tc>
      </w:tr>
      <w:tr>
        <w:tc>
          <w:tcPr/>
          <w:p>
            <w:pPr>
              <w:pStyle w:val="Compact"/>
            </w:pPr>
            <w:r>
              <w:t xml:space="preserve">heuristic-v3 (full, all five)</w:t>
            </w:r>
          </w:p>
        </w:tc>
        <w:tc>
          <w:tcPr/>
          <w:p>
            <w:pPr>
              <w:pStyle w:val="Compact"/>
            </w:pPr>
            <w:r>
              <w:t xml:space="preserve">0.590</w:t>
            </w:r>
          </w:p>
        </w:tc>
        <w:tc>
          <w:tcPr/>
          <w:p>
            <w:pPr>
              <w:pStyle w:val="Compact"/>
            </w:pPr>
            <w:r>
              <w:t xml:space="preserve">[0.415, 0.735]</w:t>
            </w:r>
          </w:p>
        </w:tc>
        <w:tc>
          <w:tcPr/>
          <w:p>
            <w:pPr>
              <w:pStyle w:val="Compact"/>
            </w:pPr>
            <w:r>
              <w:t xml:space="preserve">0.556</w:t>
            </w:r>
          </w:p>
        </w:tc>
        <w:tc>
          <w:tcPr/>
          <w:p>
            <w:pPr>
              <w:pStyle w:val="Compact"/>
            </w:pPr>
            <w:r>
              <w:t xml:space="preserve">−0.036</w:t>
            </w:r>
          </w:p>
        </w:tc>
      </w:tr>
    </w:tbl>
    <w:p>
      <w:pPr>
        <w:pStyle w:val="BodyText"/>
      </w:pPr>
      <w:r>
        <w:t xml:space="preserve">The result is</w:t>
      </w:r>
      <w:r>
        <w:t xml:space="preserve"> </w:t>
      </w:r>
      <w:r>
        <w:rPr>
          <w:b/>
          <w:bCs/>
        </w:rPr>
        <w:t xml:space="preserve">a controlled null with a small negative drift on the compound configuration</w:t>
      </w:r>
      <w:r>
        <w:t xml:space="preserve">: the</w:t>
      </w:r>
      <w:r>
        <w:t xml:space="preserve"> </w:t>
      </w:r>
      <w:r>
        <w:rPr>
          <w:rStyle w:val="VerbatimChar"/>
        </w:rPr>
        <w:t xml:space="preserve">v3-empty</w:t>
      </w:r>
      <w:r>
        <w:t xml:space="preserve"> </w:t>
      </w:r>
      <w:r>
        <w:t xml:space="preserve">cell (the v3 module with every Stage H feature disabled) reproduces the v2 baseline</w:t>
      </w:r>
      <w:r>
        <w:t xml:space="preserve"> </w:t>
      </w:r>
      <w:r>
        <w:rPr>
          <w:i/>
          <w:iCs/>
        </w:rPr>
        <w:t xml:space="preserve">exactly</w:t>
      </w:r>
      <w:r>
        <w:t xml:space="preserve"> </w:t>
      </w:r>
      <w:r>
        <w:t xml:space="preserve">to three decimal places (Δ = +0.000), validating that the v3 module degrades to the v2 reference correctly and that the deltas elsewhere are not module-implementation artefacts. The single-feature deltas span +0.002 (n-gram phrase matching) to −0.022 (cross-axis coherence checks); every one of them sits comfortably inside the ±0.15 half-width of the cluster-bootstrap confidence interval, so none is statistically distinguishable from zero on the available 100-pair evaluation set. The full-stack v3 configuration sits at</w:t>
      </w:r>
      <w:r>
        <w:t xml:space="preserve"> </w:t>
      </w:r>
      <w:r>
        <w:rPr>
          <w:i/>
          <w:iCs/>
        </w:rPr>
        <w:t xml:space="preserve">r</w:t>
      </w:r>
      <w:r>
        <w:t xml:space="preserve"> </w:t>
      </w:r>
      <w:r>
        <w:t xml:space="preserve">= 0.590 (Δ = −0.036), still inside the bootstrap CI half-width but suggestive that the small false-positive contributions of the five enhancements compound rather than cancel when stacked. Two readings of this null are consistent with the construction of the evaluation set and with the post-hoc decomposition of Section 4.3.1’:</w:t>
      </w:r>
    </w:p>
    <w:p>
      <w:pPr>
        <w:pStyle w:val="BodyText"/>
      </w:pPr>
      <w:r>
        <w:t xml:space="preserve">First, the synthetic-template construction described in Section 4.1.1 (tightened by the Stage G disjoint-vocabulary mitigation) generates resume and job-description prose with low surface-form variation: the resume side and the JD side already share canonical skill labels by design and do not, by construction, contain the kind of paraphrase variation that a sentence-embedding semantic fallback or a bigram phrase fallback is built to recover. The classical-IR baseline is close to a recall ceiling on this set; further keyword-level recall via SBERT or n-gram matching does not contribute information that the v2 cascade has not already extracted. The additional flexibility introduces small false-positive contributions that depress the per-pair correlation rather than lift it: ESCO-expansion variants occasionally match incidental tokens in the JD prose, expanded STAR detection produces partial points on terse template bullets, and the H.3 cross-axis coherence checks flag synthetic-template artefacts (the deterministic year-range generator emits dates that the years-claimed regex sometimes mismatches by one or two years) as orphan-skill or year-mismatch penalties that the LLM-only score, scoring the same resume on prose evidence, does not see.</w:t>
      </w:r>
    </w:p>
    <w:p>
      <w:pPr>
        <w:pStyle w:val="BodyText"/>
      </w:pPr>
      <w:r>
        <w:t xml:space="preserve">Second, the post-hoc-recovered LLM-only score is, by construction, the residual signal that the language model contributes</w:t>
      </w:r>
      <w:r>
        <w:t xml:space="preserve"> </w:t>
      </w:r>
      <w:r>
        <w:rPr>
          <w:i/>
          <w:iCs/>
        </w:rPr>
        <w:t xml:space="preserve">beyond</w:t>
      </w:r>
      <w:r>
        <w:t xml:space="preserve"> </w:t>
      </w:r>
      <w:r>
        <w:t xml:space="preserve">the heuristic component shared by both modes. The ~0.37-magnitude residual on the Pearson scale (1.0 − 0.627 = 0.373) reflects prose-quality, narrative-coherence, and role-fit evidence that the language model weighs and that the</w:t>
      </w:r>
      <w:r>
        <w:t xml:space="preserve"> </w:t>
      </w:r>
      <w:r>
        <w:rPr>
          <w:i/>
          <w:iCs/>
        </w:rPr>
        <w:t xml:space="preserve">clarity</w:t>
      </w:r>
      <w:r>
        <w:t xml:space="preserve"> </w:t>
      </w:r>
      <w:r>
        <w:t xml:space="preserve">sub-score in Section 4.3.1 already pinpoints as the axis of largest disagreement. None of the Stage H enhancements target prose-quality or role-fit reasoning; they target keyword recall, action-claim structure, and internal-consistency checks. The ablation result is therefore evidence that the residual cross-mode gap reported in Section 4.3.1’ is driven by signal classes that classical-IR enhancements of this kind do not access on this evaluation set, rather than by a deficit in the v2 keyword cascade itself. The honest reading is that v2 is at the achievable ceiling for keyword-and-structure agreement on the synthesised pool, and the residual is the genuine LLM contribution that motivates keeping the language-model component available alongside the deterministic baseline. Closing the residual through classical-IR-only means would require either (i) a different evaluation surface that exposes prose-quality variation the synthetic templates suppress, or (ii) features that target the exact axes the LLM lifts (clarity and impact-narrative coherence). Both are properly future work.</w:t>
      </w:r>
    </w:p>
    <w:bookmarkEnd w:id="100"/>
    <w:bookmarkStart w:id="101" w:name="Xcff2c0d3320ec1ce82f83c9b1d53013643ebe8f"/>
    <w:p>
      <w:pPr>
        <w:pStyle w:val="Heading3"/>
      </w:pPr>
      <w:r>
        <w:t xml:space="preserve">4.3.7 Implementation note on Stage H reproducibility</w:t>
      </w:r>
    </w:p>
    <w:p>
      <w:pPr>
        <w:pStyle w:val="FirstParagraph"/>
      </w:pPr>
      <w:r>
        <w:t xml:space="preserve">The ablation is reproducible from the artefacts persisted in the repository:</w:t>
      </w:r>
      <w:r>
        <w:t xml:space="preserve"> </w:t>
      </w:r>
      <w:r>
        <w:rPr>
          <w:rStyle w:val="VerbatimChar"/>
        </w:rPr>
        <w:t xml:space="preserve">backend/app/services/quality_signals_v3.py</w:t>
      </w:r>
      <w:r>
        <w:t xml:space="preserve"> </w:t>
      </w:r>
      <w:r>
        <w:t xml:space="preserve">is the v3 module,</w:t>
      </w:r>
      <w:r>
        <w:t xml:space="preserve"> </w:t>
      </w:r>
      <w:r>
        <w:rPr>
          <w:rStyle w:val="VerbatimChar"/>
        </w:rPr>
        <w:t xml:space="preserve">backend/app/data/esco_skills_expanded.json</w:t>
      </w:r>
      <w:r>
        <w:t xml:space="preserve"> </w:t>
      </w:r>
      <w:r>
        <w:t xml:space="preserve">is the 354-entry expansion,</w:t>
      </w:r>
      <w:r>
        <w:t xml:space="preserve"> </w:t>
      </w:r>
      <w:r>
        <w:rPr>
          <w:rStyle w:val="VerbatimChar"/>
        </w:rPr>
        <w:t xml:space="preserve">scripts/eval_scoring_v3_ablation.py</w:t>
      </w:r>
      <w:r>
        <w:t xml:space="preserve"> </w:t>
      </w:r>
      <w:r>
        <w:t xml:space="preserve">is the harness that computes the per-variant per-pair heuristic score, and</w:t>
      </w:r>
      <w:r>
        <w:t xml:space="preserve"> </w:t>
      </w:r>
      <w:r>
        <w:rPr>
          <w:rStyle w:val="VerbatimChar"/>
        </w:rPr>
        <w:t xml:space="preserve">scripts/analyze_v3_ablation.py</w:t>
      </w:r>
      <w:r>
        <w:t xml:space="preserve"> </w:t>
      </w:r>
      <w:r>
        <w:t xml:space="preserve">is the analysis script that computes the table above. The harness reuses the existing</w:t>
      </w:r>
      <w:r>
        <w:t xml:space="preserve"> </w:t>
      </w:r>
      <w:r>
        <w:rPr>
          <w:rStyle w:val="VerbatimChar"/>
        </w:rPr>
        <w:t xml:space="preserve">eval-results.json</w:t>
      </w:r>
      <w:r>
        <w:t xml:space="preserve"> </w:t>
      </w:r>
      <w:r>
        <w:t xml:space="preserve">written by Stage G’s blended-mode run and recovers the LLM-only score per pair via the post-hoc identity in Section 4.3.1’. No additional LLM calls are issued. The full ablation runs in approximately 4 minutes on commodity hardware (≈110 s for the SBERT first-load and inference pass, ≈10 s combined for the deterministic variants). Sentence-transformers and PyTorch are listed in</w:t>
      </w:r>
      <w:r>
        <w:t xml:space="preserve"> </w:t>
      </w:r>
      <w:r>
        <w:rPr>
          <w:rStyle w:val="VerbatimChar"/>
        </w:rPr>
        <w:t xml:space="preserve">backend/requirements-thesis-eval.txt</w:t>
      </w:r>
      <w:r>
        <w:t xml:space="preserve"> </w:t>
      </w:r>
      <w:r>
        <w:t xml:space="preserve">rather than in</w:t>
      </w:r>
      <w:r>
        <w:t xml:space="preserve"> </w:t>
      </w:r>
      <w:r>
        <w:rPr>
          <w:rStyle w:val="VerbatimChar"/>
        </w:rPr>
        <w:t xml:space="preserve">backend/requirements.txt</w:t>
      </w:r>
      <w:r>
        <w:t xml:space="preserve"> </w:t>
      </w:r>
      <w:r>
        <w:t xml:space="preserve">so the production deployment surface remains free of the neural dependency.</w:t>
      </w:r>
    </w:p>
    <w:bookmarkEnd w:id="101"/>
    <w:bookmarkEnd w:id="102"/>
    <w:bookmarkStart w:id="103" w:name="discussion-and-limitations"/>
    <w:p>
      <w:pPr>
        <w:pStyle w:val="Heading2"/>
      </w:pPr>
      <w:r>
        <w:t xml:space="preserve">4.4 Discussion and limitations</w:t>
      </w:r>
    </w:p>
    <w:p>
      <w:pPr>
        <w:pStyle w:val="FirstParagraph"/>
      </w:pPr>
      <w:r>
        <w:t xml:space="preserve">The evaluation reported in Section 4.3 supports the following defendable claim</w:t>
      </w:r>
      <w:r>
        <w:t xml:space="preserve"> </w:t>
      </w:r>
      <w:r>
        <w:rPr>
          <w:i/>
          <w:iCs/>
        </w:rPr>
        <w:t xml:space="preserve">within this synthetic evaluation set</w:t>
      </w:r>
      <w:r>
        <w:t xml:space="preserve">: a strictly classical-IR heuristic, augmented with a curated ESCO subset and a fuzzy-matching layer, recovers most of the discriminative power of the blended mode on the overall score (Pearson</w:t>
      </w:r>
      <w:r>
        <w:t xml:space="preserve"> </w:t>
      </w:r>
      <w:r>
        <w:rPr>
          <w:i/>
          <w:iCs/>
        </w:rPr>
        <w:t xml:space="preserve">r</w:t>
      </w:r>
      <w:r>
        <w:t xml:space="preserve"> </w:t>
      </w:r>
      <w:r>
        <w:t xml:space="preserve">= 0.836 [95% CI 0.762, 0.896], Spearman ρ = 0.847, both well above the 0.7 reference threshold under cluster-bootstrap intervals) at roughly two-to-three orders of magnitude lower latency (median 25.5 ms vs 18.2 s) and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this is the honest cross-mode agreement statistic that strips out the 0.40 heuristic share blended carries by construction. Per-sub-score, the agreement is strongest on</w:t>
      </w:r>
      <w:r>
        <w:t xml:space="preserve"> </w:t>
      </w:r>
      <w:r>
        <w:rPr>
          <w:i/>
          <w:iCs/>
        </w:rPr>
        <w:t xml:space="preserve">keywords</w:t>
      </w:r>
      <w:r>
        <w:t xml:space="preserve"> </w:t>
      </w:r>
      <w:r>
        <w:t xml:space="preserve">(</w:t>
      </w:r>
      <w:r>
        <w:rPr>
          <w:i/>
          <w:iCs/>
        </w:rPr>
        <w:t xml:space="preserve">r</w:t>
      </w:r>
      <w:r>
        <w:t xml:space="preserve"> </w:t>
      </w:r>
      <w:r>
        <w:t xml:space="preserve">= 0.937) and</w:t>
      </w:r>
      <w:r>
        <w:t xml:space="preserve"> </w:t>
      </w:r>
      <w:r>
        <w:rPr>
          <w:i/>
          <w:iCs/>
        </w:rPr>
        <w:t xml:space="preserve">structure</w:t>
      </w:r>
      <w:r>
        <w:t xml:space="preserve"> </w:t>
      </w:r>
      <w:r>
        <w:t xml:space="preserve">(</w:t>
      </w:r>
      <w:r>
        <w:rPr>
          <w:i/>
          <w:iCs/>
        </w:rPr>
        <w:t xml:space="preserve">r</w:t>
      </w:r>
      <w:r>
        <w:t xml:space="preserve"> </w:t>
      </w:r>
      <w:r>
        <w:t xml:space="preserve">= 0.830) and weakest on</w:t>
      </w:r>
      <w:r>
        <w:t xml:space="preserve"> </w:t>
      </w:r>
      <w:r>
        <w:rPr>
          <w:i/>
          <w:iCs/>
        </w:rPr>
        <w:t xml:space="preserve">clarity</w:t>
      </w:r>
      <w:r>
        <w:t xml:space="preserve"> </w:t>
      </w:r>
      <w:r>
        <w:t xml:space="preserve">(</w:t>
      </w:r>
      <w:r>
        <w:rPr>
          <w:i/>
          <w:iCs/>
        </w:rPr>
        <w:t xml:space="preserve">r</w:t>
      </w:r>
      <w:r>
        <w:t xml:space="preserve"> </w:t>
      </w:r>
      <w:r>
        <w:t xml:space="preserve">= 0.395), which is the axis on which the language model contributes prose-quality evidence the heuristic cannot see. Independently of the numbers, the blended mode produces qualitatively richer recommendations (prose explanations, role-fit narratives, cover-letter-grade phrasing) that the heuristic mode does not attempt to produce; this qualitative dimension is not captured by the four metrics above and is a matter for separate user-research investigation.</w:t>
      </w:r>
    </w:p>
    <w:p>
      <w:pPr>
        <w:pStyle w:val="BodyText"/>
      </w:pPr>
      <w:r>
        <w:t xml:space="preserve">Three limitations of the study deserve explicit statement.</w:t>
      </w:r>
    </w:p>
    <w:p>
      <w:pPr>
        <w:pStyle w:val="BodyText"/>
      </w:pPr>
      <w:r>
        <w:rPr>
          <w:b/>
          <w:bCs/>
        </w:rPr>
        <w:t xml:space="preserve">Single-language scope.</w:t>
      </w:r>
      <w:r>
        <w:t xml:space="preserve"> </w:t>
      </w:r>
      <w:r>
        <w:t xml:space="preserve">All resumes and job descriptions in the evaluation set are in English. The bundled ESCO subset is the multilingual ESCO published by the European Commission, but the deployed system uses only the English labels. Polish-language resumes (a relevant scope for a Wrocław-based deployment) are not exercised. Section 5.3 proposes the integration of the Polish-language ESCO labels as a near-term extension.</w:t>
      </w:r>
    </w:p>
    <w:p>
      <w:pPr>
        <w:pStyle w:val="BodyText"/>
      </w:pPr>
      <w:r>
        <w:rPr>
          <w:b/>
          <w:bCs/>
        </w:rPr>
        <w:t xml:space="preserve">Single-subject evaluation.</w:t>
      </w:r>
      <w:r>
        <w:t xml:space="preserve"> </w:t>
      </w:r>
      <w:r>
        <w:t xml:space="preserve">The 30 resumes were synthesised by a single author and may share a stylistic register that does not generalise to resumes drawn from a wider population. The result reported in Section 4.3.1 should be read as a within-author baseline rather than as a cross-population claim. Replicating the evaluation against a larger multi-author resume corpus is left for future work.</w:t>
      </w:r>
    </w:p>
    <w:p>
      <w:pPr>
        <w:pStyle w:val="BodyText"/>
      </w:pPr>
      <w:r>
        <w:rPr>
          <w:b/>
          <w:bCs/>
        </w:rPr>
        <w:t xml:space="preserve">Single LLM provider.</w:t>
      </w:r>
      <w:r>
        <w:t xml:space="preserve"> </w:t>
      </w:r>
      <w: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pPr>
      <w:r>
        <w:rPr>
          <w:b/>
          <w:bCs/>
        </w:rPr>
        <w:t xml:space="preserve">Bias and fairness.</w:t>
      </w:r>
      <w:r>
        <w:t xml:space="preserve"> </w:t>
      </w:r>
      <w: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pPr>
      <w:r>
        <w:t xml:space="preserve">Beyond the headline correlation number, the per-sub-score breakdown reported in Table 4.1 carries diagnostic value in its own right. The two modes do not disagree uniformly across the five sub-scores, and identifying</w:t>
      </w:r>
      <w:r>
        <w:t xml:space="preserve"> </w:t>
      </w:r>
      <w:r>
        <w:rPr>
          <w:i/>
          <w:iCs/>
        </w:rPr>
        <w:t xml:space="preserve">which</w:t>
      </w:r>
      <w:r>
        <w:t xml:space="preserve"> </w:t>
      </w:r>
      <w:r>
        <w:t xml:space="preserve">sub-scores converge tells the operator where the deterministic baseline is already sufficient, while identifying</w:t>
      </w:r>
      <w:r>
        <w:t xml:space="preserve"> </w:t>
      </w:r>
      <w:r>
        <w:rPr>
          <w:i/>
          <w:iCs/>
        </w:rPr>
        <w:t xml:space="preserve">which</w:t>
      </w:r>
      <w:r>
        <w:t xml:space="preserve"> </w:t>
      </w:r>
      <w:r>
        <w:t xml:space="preserve">sub-scores diverge points to the dimensions on which the language-model component is contributing evidence the heuristic cannot see. This per-axis view, independently of the specific numerical result, is the cleanest empirical argument the chapter offers for keeping the blended mode available in production even where the heuristic baseline turns out to be competitive on the aggregate score.</w:t>
      </w:r>
    </w:p>
    <w:p>
      <w:pPr>
        <w:pStyle w:val="BodyText"/>
      </w:pPr>
      <w:r>
        <w:t xml:space="preserve">The next chapter summarises the contributions of the thesis and proposes three directions for future development.</w:t>
      </w:r>
    </w:p>
    <w:bookmarkEnd w:id="103"/>
    <w:bookmarkEnd w:id="104"/>
    <w:bookmarkStart w:id="108" w:name="chapter-5-conclusions"/>
    <w:p>
      <w:pPr>
        <w:pStyle w:val="Heading1"/>
      </w:pPr>
      <w:r>
        <w:t xml:space="preserve">Chapter 5 — Conclusions</w:t>
      </w:r>
    </w:p>
    <w:p>
      <w:pPr>
        <w:pStyle w:val="FirstParagraph"/>
      </w:pPr>
      <w: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05" w:name="results-1"/>
    <w:p>
      <w:pPr>
        <w:pStyle w:val="Heading2"/>
      </w:pPr>
      <w:r>
        <w:t xml:space="preserve">5.1 Results</w:t>
      </w:r>
    </w:p>
    <w:p>
      <w:pPr>
        <w:pStyle w:val="FirstParagraph"/>
      </w:pPr>
      <w:r>
        <w:t xml:space="preserve">Three results were obtained.</w:t>
      </w:r>
    </w:p>
    <w:p>
      <w:pPr>
        <w:pStyle w:val="BodyText"/>
      </w:pPr>
      <w:r>
        <w:rPr>
          <w:b/>
          <w:bCs/>
        </w:rPr>
        <w:t xml:space="preserve">A deployed integrated system.</w:t>
      </w:r>
      <w:r>
        <w:t xml:space="preserve"> </w:t>
      </w:r>
      <w:r>
        <w:t xml:space="preserve">The system, deployed on Railway as a single application surface, integrates six analytical and generative tools (Resume Analyzer, Job Match, Career Path, Cover Letter, Interview Q&amp;A, and Portfolio Planner) around a single shared representation of the candidate’s resume. Chapter 2 documented the architecture, and Chapter 3 documented each of the six tools and the cross-cutting pipeline that they share. The system is operable from a laptop, demonstrable to an external reviewer without specialised tooling, and supports both authenticated user accounts and unauthenticated guest demonstrations.</w:t>
      </w:r>
    </w:p>
    <w:p>
      <w:pPr>
        <w:pStyle w:val="BodyText"/>
      </w:pPr>
      <w:r>
        <w:rPr>
          <w:b/>
          <w:bCs/>
        </w:rPr>
        <w:t xml:space="preserve">A defendable heuristic baseline.</w:t>
      </w:r>
      <w:r>
        <w:t xml:space="preserve"> </w:t>
      </w:r>
      <w:r>
        <w:t xml:space="preserve">Chapter 4 introduced the</w:t>
      </w:r>
      <w:r>
        <w:t xml:space="preserve"> </w:t>
      </w:r>
      <w:r>
        <w:rPr>
          <w:i/>
          <w:iCs/>
        </w:rPr>
        <w:t xml:space="preserve">strong heuristic v2</w:t>
      </w:r>
      <w:r>
        <w:t xml:space="preserve">, a scoring pipeline whose individual components draw on published information-retrieval methods (TF–IDF–weighted keyword evidence and BM25 ranking [5, 6], ESCO-aligned skill normalisation [8, 9, 12], Levenshtein-based fuzzy matching [7]) combined with author-designed scoring formulas (section-weighted feature extraction with recruiter-side scanning informing the weight ordering, quantification regex with logarithmic saturation, and an action-verb dictionary aggregated from established career-services resources at Harvard FAS, MIT, and Princeton). The score-combination weights are author-selected and validated through the sensitivity analysis reported in Chapter 4.3.5 rather than through external survey citation. By construction, the heuristic is strictly non-neural, so the line between</w:t>
      </w:r>
      <w:r>
        <w:t xml:space="preserve"> </w:t>
      </w:r>
      <w:r>
        <w:rPr>
          <w:i/>
          <w:iCs/>
        </w:rPr>
        <w:t xml:space="preserve">heuristic</w:t>
      </w:r>
      <w:r>
        <w:t xml:space="preserve"> </w:t>
      </w:r>
      <w:r>
        <w:t xml:space="preserve">and</w:t>
      </w:r>
      <w:r>
        <w:t xml:space="preserve"> </w:t>
      </w:r>
      <w:r>
        <w:rPr>
          <w:i/>
          <w:iCs/>
        </w:rPr>
        <w:t xml:space="preserve">language-model</w:t>
      </w:r>
      <w:r>
        <w:t xml:space="preserve"> </w:t>
      </w:r>
      <w:r>
        <w:t xml:space="preserve">in the comparative study remains clean.</w:t>
      </w:r>
    </w:p>
    <w:p>
      <w:pPr>
        <w:pStyle w:val="BodyText"/>
      </w:pPr>
      <w:r>
        <w:rPr>
          <w:b/>
          <w:bCs/>
        </w:rPr>
        <w:t xml:space="preserve">A characterisation of the heuristic-versus-blended trade-off.</w:t>
      </w:r>
      <w:r>
        <w:t xml:space="preserve"> </w:t>
      </w:r>
      <w:r>
        <w:t xml:space="preserve">Section 4.3 reported four metric families measured across 100 (resume, job-description) pairs on the post-mitigation disjoint-vocabulary dataset. On the overall score the heuristic mode tracks the blended mode at Pearson</w:t>
      </w:r>
      <w:r>
        <w:t xml:space="preserve"> </w:t>
      </w:r>
      <w:r>
        <w:rPr>
          <w:i/>
          <w:iCs/>
        </w:rPr>
        <w:t xml:space="preserve">r</w:t>
      </w:r>
      <w:r>
        <w:t xml:space="preserve"> </w:t>
      </w:r>
      <w:r>
        <w:t xml:space="preserve">= 0.836 [95% CI 0.762, 0.896 under cluster bootstrap on resume identity] and Spearman ρ = 0.847, both well above the 0.7 reference threshold, while running roughly two-to-three orders of magnitude faster (median 25.5 ms versus 18.2 s)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this is the cross-mode agreement after controlling for the 0.40 heuristic share that the blended mode carries by construction. The agreement is dominated by the</w:t>
      </w:r>
      <w:r>
        <w:t xml:space="preserve"> </w:t>
      </w:r>
      <w:r>
        <w:rPr>
          <w:i/>
          <w:iCs/>
        </w:rPr>
        <w:t xml:space="preserve">keywords</w:t>
      </w:r>
      <w:r>
        <w:t xml:space="preserve"> </w:t>
      </w:r>
      <w:r>
        <w:t xml:space="preserve">axis (</w:t>
      </w:r>
      <w:r>
        <w:rPr>
          <w:i/>
          <w:iCs/>
        </w:rPr>
        <w:t xml:space="preserve">r</w:t>
      </w:r>
      <w:r>
        <w:t xml:space="preserve"> </w:t>
      </w:r>
      <w:r>
        <w:t xml:space="preserve">= 0.937), where both modes consume the same evidence, and is weakest on the</w:t>
      </w:r>
      <w:r>
        <w:t xml:space="preserve"> </w:t>
      </w:r>
      <w:r>
        <w:rPr>
          <w:i/>
          <w:iCs/>
        </w:rPr>
        <w:t xml:space="preserve">clarity</w:t>
      </w:r>
      <w:r>
        <w:t xml:space="preserve"> </w:t>
      </w:r>
      <w:r>
        <w:t xml:space="preserve">axis (</w:t>
      </w:r>
      <w:r>
        <w:rPr>
          <w:i/>
          <w:iCs/>
        </w:rPr>
        <w:t xml:space="preserve">r</w:t>
      </w:r>
      <w:r>
        <w:t xml:space="preserve"> </w:t>
      </w:r>
      <w:r>
        <w:t xml:space="preserve">= 0.395),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pPr>
      <w: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t xml:space="preserve"> </w:t>
      </w:r>
      <w:r>
        <w:rPr>
          <w:rStyle w:val="VerbatimChar"/>
        </w:rPr>
        <w:t xml:space="preserve">run_tool_pipeline</w:t>
      </w:r>
      <w:r>
        <w:t xml:space="preserve"> </w:t>
      </w:r>
      <w: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bookmarkEnd w:id="105"/>
    <w:bookmarkStart w:id="106" w:name="limitations"/>
    <w:p>
      <w:pPr>
        <w:pStyle w:val="Heading2"/>
      </w:pPr>
      <w:r>
        <w:t xml:space="preserve">5.2 Limitations</w:t>
      </w:r>
    </w:p>
    <w:p>
      <w:pPr>
        <w:pStyle w:val="FirstParagraph"/>
      </w:pPr>
      <w:r>
        <w:t xml:space="preserve">The limitations of the work stated in Chapter 4 are repeated here for completeness.</w:t>
      </w:r>
    </w:p>
    <w:p>
      <w:pPr>
        <w:pStyle w:val="BodyText"/>
      </w:pPr>
      <w:r>
        <w:t xml:space="preserve">The evaluation set is</w:t>
      </w:r>
      <w:r>
        <w:t xml:space="preserve"> </w:t>
      </w:r>
      <w:r>
        <w:rPr>
          <w:b/>
          <w:bCs/>
        </w:rPr>
        <w:t xml:space="preserve">single-language</w:t>
      </w:r>
      <w:r>
        <w:t xml:space="preserve"> </w:t>
      </w:r>
      <w:r>
        <w:t xml:space="preserve">(English) and</w:t>
      </w:r>
      <w:r>
        <w:t xml:space="preserve"> </w:t>
      </w:r>
      <w:r>
        <w:rPr>
          <w:b/>
          <w:bCs/>
        </w:rPr>
        <w:t xml:space="preserve">single-author</w:t>
      </w:r>
      <w:r>
        <w:t xml:space="preserve"> </w:t>
      </w:r>
      <w:r>
        <w:t xml:space="preserve">(one author synthesised all 30 resumes), so the empirical claim of Section 4.3 should be read as a within-author baseline rather than a cross-population conclusion. The blended mode uses a</w:t>
      </w:r>
      <w:r>
        <w:t xml:space="preserve"> </w:t>
      </w:r>
      <w:r>
        <w:rPr>
          <w:b/>
          <w:bCs/>
        </w:rPr>
        <w:t xml:space="preserve">single LLM provider</w:t>
      </w:r>
      <w:r>
        <w:t xml:space="preserve"> </w:t>
      </w:r>
      <w:r>
        <w:t xml:space="preserve">(Google Vertex AI Gemini 2.5 Flash), so the comparative result does not generalise across LLM choices without further measurement.</w:t>
      </w:r>
    </w:p>
    <w:p>
      <w:pPr>
        <w:pStyle w:val="BodyText"/>
      </w:pPr>
      <w:r>
        <w:t xml:space="preserve">A fourth limitation is operational rather than methodological: the in-memory result cache (Chapter 3.1.5) is not shared between processes, which is acceptable at thesis-scope traffic but would not be at production scale. Migration to Redis is documented in Section 5.3 below.</w:t>
      </w:r>
    </w:p>
    <w:p>
      <w:pPr>
        <w:pStyle w:val="BodyText"/>
      </w:pPr>
      <w:r>
        <w:t xml:space="preserve">A fifth, methodologically distinct limitation is that the system is currently a</w:t>
      </w:r>
      <w:r>
        <w:t xml:space="preserve"> </w:t>
      </w:r>
      <w:r>
        <w:rPr>
          <w:i/>
          <w:iCs/>
        </w:rPr>
        <w:t xml:space="preserve">thesis demonstration mode</w:t>
      </w:r>
      <w:r>
        <w:t xml:space="preserve"> </w:t>
      </w:r>
      <w:r>
        <w:t xml:space="preserve">rather than a sustainable commercial product. All six tools are fully accessible without an advertisement gate or a premium subscription. The hybrid monetisation strategy outlined in the project’s specification document (</w:t>
      </w:r>
      <w:r>
        <w:rPr>
          <w:rStyle w:val="VerbatimChar"/>
        </w:rPr>
        <w:t xml:space="preserve">docs/spec.md</w:t>
      </w:r>
      <w:r>
        <w:t xml:space="preserve">) is intentionally deferred to a post-thesis V1.1 release; this thesis does not address economic-viability questions beyond the per-call cost numbers reported in Section 4.3.4.</w:t>
      </w:r>
    </w:p>
    <w:p>
      <w:pPr>
        <w:pStyle w:val="BodyText"/>
      </w:pPr>
      <w:r>
        <w:t xml:space="preserve">A sixth limitation is a deliberate scope reduction relative to the approved topic application. The application objective lists</w:t>
      </w:r>
      <w:r>
        <w:t xml:space="preserve"> </w:t>
      </w:r>
      <w:r>
        <w:t xml:space="preserve">“skills, experience and</w:t>
      </w:r>
      <w:r>
        <w:t xml:space="preserve"> </w:t>
      </w:r>
      <w:r>
        <w:rPr>
          <w:i/>
          <w:iCs/>
        </w:rPr>
        <w:t xml:space="preserve">current job-market trends</w:t>
      </w:r>
      <w:r>
        <w:t xml:space="preserve">”</w:t>
      </w:r>
      <w:r>
        <w:t xml:space="preserve"> </w:t>
      </w:r>
      <w:r>
        <w:t xml:space="preserve">as the three input dimensions of the recommendation problem; the system implemented in this thesis incorporates the first two but does not model temporal job-market trend signals (for example, posting-frequency shifts of skills or roles, or hiring-rate dynamics by region). The career-recommendation, job-matching, and portfolio-planning tools reason over the static representation of the candidate against an instantaneous representation of each job description, without a market-trend overlay. Extending the system with a trend-aware ranking layer is recorded as future work in Section 5.3.</w:t>
      </w:r>
    </w:p>
    <w:bookmarkEnd w:id="106"/>
    <w:bookmarkStart w:id="107" w:name="future-development"/>
    <w:p>
      <w:pPr>
        <w:pStyle w:val="Heading2"/>
      </w:pPr>
      <w:r>
        <w:t xml:space="preserve">5.3 Future development</w:t>
      </w:r>
    </w:p>
    <w:p>
      <w:pPr>
        <w:pStyle w:val="FirstParagraph"/>
      </w:pPr>
      <w:r>
        <w:t xml:space="preserve">Future-work directions follow naturally from the limitations and from the architecture described in Chapter 2.</w:t>
      </w:r>
    </w:p>
    <w:p>
      <w:pPr>
        <w:pStyle w:val="BodyText"/>
      </w:pPr>
      <w:r>
        <w:rPr>
          <w:b/>
          <w:bCs/>
        </w:rPr>
        <w:t xml:space="preserve">Polish-language coverage.</w:t>
      </w:r>
      <w:r>
        <w:t xml:space="preserve"> </w:t>
      </w:r>
      <w:r>
        <w:t xml:space="preserve">The ESCO knowledge base used in the strong heuristic is published as a multilingual resource by the European Commission [17]. The current bundled subset uses only the English labels. Adding the Polish labels (and updating the resume parser, the keyword extractor, and the prompt builders to handle Polish text) would expand the system’s relevance to its primary geographic context. The architectural change required is contained: a new pre-processing step in</w:t>
      </w:r>
      <w:r>
        <w:t xml:space="preserve"> </w:t>
      </w:r>
      <w:r>
        <w:rPr>
          <w:rStyle w:val="VerbatimChar"/>
        </w:rPr>
        <w:t xml:space="preserve">app/services/quality_signals_v2.py</w:t>
      </w:r>
      <w:r>
        <w:t xml:space="preserve">, a new prompt-locale branch, and an additional language-detection stage in the input sanitiser.</w:t>
      </w:r>
    </w:p>
    <w:p>
      <w:pPr>
        <w:pStyle w:val="BodyText"/>
      </w:pPr>
      <w:r>
        <w:rPr>
          <w:b/>
          <w:bCs/>
        </w:rPr>
        <w:t xml:space="preserve">Sentence-transformer intermediate tier.</w:t>
      </w:r>
      <w:r>
        <w:t xml:space="preserve"> </w:t>
      </w:r>
      <w:r>
        <w:t xml:space="preserve">Between the strict classical-IR heuristic and the language-model blended mode, a third option exists: a sentence-transformer–based semantic-matching tier, using a lightweight model such as</w:t>
      </w:r>
      <w:r>
        <w:t xml:space="preserve"> </w:t>
      </w:r>
      <w:r>
        <w:rPr>
          <w:rStyle w:val="VerbatimChar"/>
        </w:rPr>
        <w:t xml:space="preserve">all-MiniLM-L6-v2</w:t>
      </w:r>
      <w:r>
        <w:t xml:space="preserve"> </w:t>
      </w:r>
      <w:r>
        <w:t xml:space="preserve">to compute resume–job cosine similarity directly. Recent research [20, 18, 21] has demonstrated that sentence-BERT–style embeddings outperform classical retrieval baselines on semantic-matching tasks while remaining one to two orders of magnitude faster than full-sized LLM inference and free of per-call third-party charges. The Stage H ablation reported in Section 4.3.6 of the present thesis probed exactly this question on the synthetic evaluation set: an SBERT semantic-fallback layer was implemented inside a</w:t>
      </w:r>
      <w:r>
        <w:t xml:space="preserve"> </w:t>
      </w:r>
      <w:r>
        <w:rPr>
          <w:rStyle w:val="VerbatimChar"/>
        </w:rPr>
        <w:t xml:space="preserve">quality_signals_v3</w:t>
      </w:r>
      <w:r>
        <w:t xml:space="preserve"> </w:t>
      </w:r>
      <w:r>
        <w:t xml:space="preserve">ablation module alongside four other classical-IR enhancements (STAR-format detection, cross-axis coherence, n-gram phrase matching, and a 107 → 354 ESCO taxonomy expansion), and the per-variant Pearson correlation against the post-hoc-recovered LLM-only baseline was measured for each. The result is a controlled null with a small drift across single-feature variants: deltas span +0.002 (n-gram phrase matching) to −0.022 (cross-axis coherence), with none of them statistically distinguishable from zero given the ±0.15 half-width of the cluster-bootstrap CI on the 100-pair set, and the SBERT-only variant in particular sits at</w:t>
      </w:r>
      <w:r>
        <w:t xml:space="preserve"> </w:t>
      </w:r>
      <w:r>
        <w:rPr>
          <w:i/>
          <w:iCs/>
        </w:rPr>
        <w:t xml:space="preserve">r</w:t>
      </w:r>
      <w:r>
        <w:t xml:space="preserve"> </w:t>
      </w:r>
      <w:r>
        <w:t xml:space="preserve">= 0.623 (Δ = −0.004 vs the</w:t>
      </w:r>
      <w:r>
        <w:t xml:space="preserve"> </w:t>
      </w:r>
      <w:r>
        <w:rPr>
          <w:i/>
          <w:iCs/>
        </w:rPr>
        <w:t xml:space="preserve">r</w:t>
      </w:r>
      <w:r>
        <w:t xml:space="preserve"> </w:t>
      </w:r>
      <w:r>
        <w:t xml:space="preserve">= 0.627 v2 baseline). The honest reading is that the residual cross-mode gap is not driven by deficiencies of the keyword-matching layer that an embedding model would close, but by prose-quality and role-fit reasoning that the language model accesses and that classical-IR enhancements of this class do not, on this evaluation set. Promoting the SBERT tier from an ablation cell to a deployed intermediate tier remains future work; the case for it is now contingent on a different evaluation surface, for example real-world resume and job-description data with prose-quality variation that the synthetic-template construction suppresses, rather than on an open technical question about whether the technique works on the comparative-study benchmark reported here.</w:t>
      </w:r>
    </w:p>
    <w:p>
      <w:pPr>
        <w:pStyle w:val="BodyText"/>
      </w:pPr>
      <w:r>
        <w:rPr>
          <w:b/>
          <w:bCs/>
        </w:rPr>
        <w:t xml:space="preserve">Validity-threat closure reported in Chapter 4.</w:t>
      </w:r>
      <w:r>
        <w:t xml:space="preserve"> </w:t>
      </w:r>
      <w:r>
        <w:t xml:space="preserve">Three measurements address threats T1, T2, and T3 of Section 4.1.4, and their numerical results are reported inline in Chapter 4. The</w:t>
      </w:r>
      <w:r>
        <w:t xml:space="preserve"> </w:t>
      </w:r>
      <w:r>
        <w:rPr>
          <w:i/>
          <w:iCs/>
        </w:rPr>
        <w:t xml:space="preserve">LLM-only baseline</w:t>
      </w:r>
      <w:r>
        <w:t xml:space="preserve"> </w:t>
      </w:r>
      <w:r>
        <w:t xml:space="preserve">per pair, recovered post-hoc from the locked-payload identity rather than from a second LLM rerun, is reported in Section 4.3.1’ and addresses threat T2 (</w:t>
      </w:r>
      <w:r>
        <w:rPr>
          <w:i/>
          <w:iCs/>
        </w:rPr>
        <w:t xml:space="preserve">r</w:t>
      </w:r>
      <w:r>
        <w:t xml:space="preserve"> </w:t>
      </w:r>
      <w:r>
        <w:t xml:space="preserve">(LLM-only, heuristic) = 0.627 [95% CI 0.476, 0.765]). The</w:t>
      </w:r>
      <w:r>
        <w:t xml:space="preserve"> </w:t>
      </w:r>
      <w:r>
        <w:rPr>
          <w:i/>
          <w:iCs/>
        </w:rPr>
        <w:t xml:space="preserve">vocabulary-disjoint regeneration of the synthetic benchmark</w:t>
      </w:r>
      <w:r>
        <w:t xml:space="preserve"> </w:t>
      </w:r>
      <w:r>
        <w:t xml:space="preserve">(under which the resume side and the job-description side draw from non-overlapping phrase pools by construction, with the per-pair content-token overlap audited at zero pairs above the &gt;3-token threshold) is the dataset on which every number in Section 4.3 is computed and addresses T1. The</w:t>
      </w:r>
      <w:r>
        <w:t xml:space="preserve"> </w:t>
      </w:r>
      <w:r>
        <w:rPr>
          <w:i/>
          <w:iCs/>
        </w:rPr>
        <w:t xml:space="preserve">by-resume cluster-bootstrap confidence intervals</w:t>
      </w:r>
      <w:r>
        <w:t xml:space="preserve"> </w:t>
      </w:r>
      <w:r>
        <w:t xml:space="preserve">for all headline correlations, computed by resampling resume identifiers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are reported alongside the point estimates in Sections 4.3.1 and 4.3.1’ and address T3. The three closures together support the</w:t>
      </w:r>
      <w:r>
        <w:t xml:space="preserve"> </w:t>
      </w:r>
      <w:r>
        <w:rPr>
          <w:i/>
          <w:iCs/>
        </w:rPr>
        <w:t xml:space="preserve">strong agreement</w:t>
      </w:r>
      <w:r>
        <w:t xml:space="preserve"> </w:t>
      </w:r>
      <w:r>
        <w:t xml:space="preserve">characterisation in Section 4.4.</w:t>
      </w:r>
    </w:p>
    <w:p>
      <w:pPr>
        <w:pStyle w:val="BodyText"/>
      </w:pPr>
      <w:r>
        <w:rPr>
          <w:b/>
          <w:bCs/>
        </w:rPr>
        <w:t xml:space="preserve">Retrieval-augmented variant of the blended mode.</w:t>
      </w:r>
      <w:r>
        <w:t xml:space="preserve"> </w:t>
      </w:r>
      <w:r>
        <w:t xml:space="preserve">The blended mode currently passes the resume and the job description directly into the language-model prompt. A retrieval-augmented variant [25] would, before each call, retrieve a small set of curated, source-attributed labour-market documents (recent salary surveys, role-progression standards, ESCO occupation descriptions) and inject them into the prompt as authoritative grounding. This would address one of the recurring criticisms of LLM-based career advice: that the model’s output is opinionated but not source-attributed. The architecture supports this extension as an additional pre-LLM stage in the existing pipeline, without changes to the persistence model or the response contracts.</w:t>
      </w:r>
    </w:p>
    <w:p>
      <w:pPr>
        <w:pStyle w:val="BodyText"/>
      </w:pPr>
      <w:r>
        <w:t xml:space="preserve">A fourth, smaller direction is the migration of the in-memory result cache to Redis, which is well-understood operationally and would unlock cross-process cache sharing once the deployment grows beyond a single backend instance. This is documented in</w:t>
      </w:r>
      <w:r>
        <w:t xml:space="preserve"> </w:t>
      </w:r>
      <w:r>
        <w:rPr>
          <w:rStyle w:val="VerbatimChar"/>
        </w:rPr>
        <w:t xml:space="preserve">docs/spec.md</w:t>
      </w:r>
      <w:r>
        <w:t xml:space="preserve"> </w:t>
      </w:r>
      <w:r>
        <w:t xml:space="preserve">as a V1.1 item.</w:t>
      </w:r>
    </w:p>
    <w:p>
      <w:pPr>
        <w:pStyle w:val="BodyText"/>
      </w:pPr>
      <w:r>
        <w:t xml:space="preserve">Among the three future-work directions, no single ranking holds across all the criteria that would matter. The sentence-transformer intermediate tier is the most technically</w:t>
      </w:r>
      <w:r>
        <w:t xml:space="preserve"> </w:t>
      </w:r>
      <w:r>
        <w:rPr>
          <w:i/>
          <w:iCs/>
        </w:rPr>
        <w:t xml:space="preserve">probed</w:t>
      </w:r>
      <w:r>
        <w:t xml:space="preserve"> </w:t>
      </w:r>
      <w:r>
        <w:t xml:space="preserve">of the three: Stage H of this thesis (Section 4.3.6) implemented an SBERT semantic-fallback layer alongside four other classical-IR enhancements and reported a controlled null on the synthetic evaluation set, with the SBERT-only variant at</w:t>
      </w:r>
      <w:r>
        <w:t xml:space="preserve"> </w:t>
      </w:r>
      <w:r>
        <w:rPr>
          <w:i/>
          <w:iCs/>
        </w:rPr>
        <w:t xml:space="preserve">r</w:t>
      </w:r>
      <w:r>
        <w:t xml:space="preserve"> </w:t>
      </w:r>
      <w:r>
        <w:t xml:space="preserve">= 0.623 (Δ = −0.004) and the full-stack v3 configuration at</w:t>
      </w:r>
      <w:r>
        <w:t xml:space="preserve"> </w:t>
      </w:r>
      <w:r>
        <w:rPr>
          <w:i/>
          <w:iCs/>
        </w:rPr>
        <w:t xml:space="preserve">r</w:t>
      </w:r>
      <w:r>
        <w:t xml:space="preserve"> </w:t>
      </w:r>
      <w:r>
        <w:t xml:space="preserve">= 0.590 (Δ = −0.036), all comfortably inside the ±0.15 half-width of the cluster-bootstrap noise band on the 100-pair set. The case for promoting the SBERT tier from an ablation cell to a deployed component rests on a different evaluation surface than the comparative-study benchmark of Chapter 4, likely a real-world resume and job-description corpus with prose-quality variation that the synthetic templates suppress. The retrieval-augmented blended mode is the most product-relevant of the three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Which of the three becomes the next deliverable depends on whether the project continues as a personal study, transitions into a paid product, or feeds into a future Master’s-level extension.</w:t>
      </w:r>
    </w:p>
    <w:p>
      <w:pPr>
        <w:pStyle w:val="BodyText"/>
      </w:pPr>
      <w:r>
        <w:t xml:space="preserve">The contributions of the thesis are an integrated, deployed system that brings six career tools together around a single resume representation, a defendable strictly-non-neural heuristic baseline, and an empirical characterisation of how that baseline compares to a language-model-augmented mode on score agreement, latency, and cost, all within the synthetic evaluation set described in Chapter 4. The deployment is live at the time of submission and the administrative scoring-mode endpoint introduced in Chapter 4.2.9 is operable for live demonstration during the diploma defence.</w:t>
      </w:r>
    </w:p>
    <w:bookmarkEnd w:id="107"/>
    <w:bookmarkEnd w:id="108"/>
    <w:bookmarkStart w:id="119" w:name="bibliography"/>
    <w:p>
      <w:pPr>
        <w:pStyle w:val="Heading1"/>
      </w:pPr>
      <w:r>
        <w:t xml:space="preserve">Bibliography</w:t>
      </w:r>
    </w:p>
    <w:bookmarkStart w:id="109" w:name="Xe524d447c5cf25a4d8e2fc35a266a2d3c4bfbe5"/>
    <w:p>
      <w:pPr>
        <w:pStyle w:val="Heading2"/>
      </w:pPr>
      <w:r>
        <w:t xml:space="preserve">1. Foundational AI for organisational decision-making</w:t>
      </w:r>
    </w:p>
    <w:p>
      <w:pPr>
        <w:pStyle w:val="FirstParagraph"/>
      </w:pPr>
      <w:r>
        <w:t xml:space="preserve">[1] M. Stone, E. Aravopoulou, Y. Ekinci, G. Evans, M. Hobbs, A. Labib, P. Laughlin, J. Machtynger, and L. Machtynger,</w:t>
      </w:r>
      <w:r>
        <w:t xml:space="preserve"> </w:t>
      </w:r>
      <w:r>
        <w:t xml:space="preserve">“Artificial intelligence (AI) in strategic marketing decision-making: a research agenda,”</w:t>
      </w:r>
      <w:r>
        <w:t xml:space="preserve"> </w:t>
      </w:r>
      <w:r>
        <w:rPr>
          <w:i/>
          <w:iCs/>
        </w:rPr>
        <w:t xml:space="preserve">The Bottom Line</w:t>
      </w:r>
      <w:r>
        <w:t xml:space="preserve">, vol. 33, no. 2, pp. 183–200, 2020. https://doi.org/10.1108/BL-03-2020-0022</w:t>
      </w:r>
    </w:p>
    <w:p>
      <w:pPr>
        <w:pStyle w:val="BodyText"/>
      </w:pPr>
      <w:r>
        <w:t xml:space="preserve">[2] S. Gupta, S. Modgil, S. Bhattacharyya,</w:t>
      </w:r>
      <w:r>
        <w:t xml:space="preserve"> </w:t>
      </w:r>
      <w:r>
        <w:rPr>
          <w:i/>
          <w:iCs/>
        </w:rPr>
        <w:t xml:space="preserve">et al.</w:t>
      </w:r>
      <w:r>
        <w:t xml:space="preserve">,</w:t>
      </w:r>
      <w:r>
        <w:t xml:space="preserve"> </w:t>
      </w:r>
      <w:r>
        <w:t xml:space="preserve">“Artificial intelligence for decision support systems in the field of operations research: review and future scope of research,”</w:t>
      </w:r>
      <w:r>
        <w:t xml:space="preserve"> </w:t>
      </w:r>
      <w:r>
        <w:rPr>
          <w:i/>
          <w:iCs/>
        </w:rPr>
        <w:t xml:space="preserve">Annals of Operations Research</w:t>
      </w:r>
      <w:r>
        <w:t xml:space="preserve">, vol. 308, pp. 215–274, 2022. https://doi.org/10.1007/s10479-020-03856-6</w:t>
      </w:r>
    </w:p>
    <w:p>
      <w:pPr>
        <w:pStyle w:val="BodyText"/>
      </w:pPr>
      <w:r>
        <w:t xml:space="preserve">[3] A. M. Rahmani, B. Rezazadeh, M. Haghparast, W.-C. Chang, and S. G. Ting,</w:t>
      </w:r>
      <w:r>
        <w:t xml:space="preserve"> </w:t>
      </w:r>
      <w:r>
        <w:t xml:space="preserve">“Applications of artificial intelligence in the economy, including applications in stock trading, market analysis, and risk management,”</w:t>
      </w:r>
      <w:r>
        <w:t xml:space="preserve"> </w:t>
      </w:r>
      <w:r>
        <w:rPr>
          <w:i/>
          <w:iCs/>
        </w:rPr>
        <w:t xml:space="preserve">IEEE Access</w:t>
      </w:r>
      <w:r>
        <w:t xml:space="preserve">, vol. 11, pp. 80769–80793, 2023. https://doi.org/10.1109/ACCESS.2023.3300036</w:t>
      </w:r>
    </w:p>
    <w:p>
      <w:pPr>
        <w:pStyle w:val="BodyText"/>
      </w:pPr>
      <w:r>
        <w:t xml:space="preserve">[4] Y. Kang, Z. Cai, C. W. Tan, Q. Huang, and H. Liu,</w:t>
      </w:r>
      <w:r>
        <w:t xml:space="preserve"> </w:t>
      </w:r>
      <w:r>
        <w:t xml:space="preserve">“Natural language processing (NLP) in management research: A literature review,”</w:t>
      </w:r>
      <w:r>
        <w:t xml:space="preserve"> </w:t>
      </w:r>
      <w:r>
        <w:rPr>
          <w:i/>
          <w:iCs/>
        </w:rPr>
        <w:t xml:space="preserve">Journal of Management Analytics</w:t>
      </w:r>
      <w:r>
        <w:t xml:space="preserve">, vol. 7, no. 2, pp. 139–172, 2020. https://doi.org/10.1080/23270012.2020.1756939</w:t>
      </w:r>
    </w:p>
    <w:bookmarkEnd w:id="109"/>
    <w:bookmarkStart w:id="110" w:name="foundational-information-retrieval"/>
    <w:p>
      <w:pPr>
        <w:pStyle w:val="Heading2"/>
      </w:pPr>
      <w:r>
        <w:t xml:space="preserve">2. Foundational information retrieval</w:t>
      </w:r>
    </w:p>
    <w:p>
      <w:pPr>
        <w:pStyle w:val="FirstParagraph"/>
      </w:pPr>
      <w:r>
        <w:t xml:space="preserve">[5] G. Salton and M. J. McGill,</w:t>
      </w:r>
      <w:r>
        <w:t xml:space="preserve"> </w:t>
      </w:r>
      <w:r>
        <w:rPr>
          <w:i/>
          <w:iCs/>
        </w:rPr>
        <w:t xml:space="preserve">Introduction to modern information retrieval</w:t>
      </w:r>
      <w:r>
        <w:t xml:space="preserve">. New York: McGraw-Hill, 1983.</w:t>
      </w:r>
    </w:p>
    <w:p>
      <w:pPr>
        <w:pStyle w:val="BodyText"/>
      </w:pPr>
      <w:r>
        <w:t xml:space="preserve">[6]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 https://doi.org/10.1561/1500000019</w:t>
      </w:r>
    </w:p>
    <w:p>
      <w:pPr>
        <w:pStyle w:val="BodyText"/>
      </w:pPr>
      <w:r>
        <w:t xml:space="preserve">[7] V. I. Levenshtein,</w:t>
      </w:r>
      <w:r>
        <w:t xml:space="preserve"> </w:t>
      </w:r>
      <w:r>
        <w:t xml:space="preserve">“Binary codes capable of correcting deletions, insertions, and reversals,”</w:t>
      </w:r>
      <w:r>
        <w:t xml:space="preserve"> </w:t>
      </w:r>
      <w:r>
        <w:rPr>
          <w:i/>
          <w:iCs/>
        </w:rPr>
        <w:t xml:space="preserve">Soviet Physics Doklady</w:t>
      </w:r>
      <w:r>
        <w:t xml:space="preserve">, vol. 10, no. 8, pp. 707–710, 1966.</w:t>
      </w:r>
    </w:p>
    <w:bookmarkEnd w:id="110"/>
    <w:bookmarkStart w:id="111" w:name="Xdd898e929631c1ac7dcaafa863450eac8c4687c"/>
    <w:p>
      <w:pPr>
        <w:pStyle w:val="Heading2"/>
      </w:pPr>
      <w:r>
        <w:t xml:space="preserve">3. Skill extraction and labour-market taxonomies (ESCO, O*NET)</w:t>
      </w:r>
    </w:p>
    <w:p>
      <w:pPr>
        <w:pStyle w:val="FirstParagraph"/>
      </w:pPr>
      <w:r>
        <w:t xml:space="preserve">[8] M. le Vrang, A. Papantoniou, E. Pauwels, P. Fannes, D. Vandensteen, and J. De Smedt,</w:t>
      </w:r>
      <w:r>
        <w:t xml:space="preserve"> </w:t>
      </w:r>
      <w:r>
        <w:t xml:space="preserve">“ESCO: Boosting job matching in Europe with semantic interoperability,”</w:t>
      </w:r>
      <w:r>
        <w:t xml:space="preserve"> </w:t>
      </w:r>
      <w:r>
        <w:rPr>
          <w:i/>
          <w:iCs/>
        </w:rPr>
        <w:t xml:space="preserve">IEEE Computer</w:t>
      </w:r>
      <w:r>
        <w:t xml:space="preserve">, vol. 47, no. 10, pp. 57–64, 2014. https://doi.org/10.1109/MC.2014.283</w:t>
      </w:r>
    </w:p>
    <w:p>
      <w:pPr>
        <w:pStyle w:val="BodyText"/>
      </w:pPr>
      <w:r>
        <w:t xml:space="preserve">[9] D. C. Kavargyris, K. Georgiou, E. Papaioannou, K. Petrakis, N. Mittas, and L. Angelis,</w:t>
      </w:r>
      <w:r>
        <w:t xml:space="preserve"> </w:t>
      </w:r>
      <w:r>
        <w:t xml:space="preserve">“ESCOX: A tool for skill and occupation extraction using LLMs from unstructured text,”</w:t>
      </w:r>
      <w:r>
        <w:t xml:space="preserve"> </w:t>
      </w:r>
      <w:r>
        <w:rPr>
          <w:i/>
          <w:iCs/>
        </w:rPr>
        <w:t xml:space="preserve">Software Impacts</w:t>
      </w:r>
      <w:r>
        <w:t xml:space="preserve">, vol. 25, art. 100772, 2025. https://doi.org/10.1016/j.simpa.2025.100772</w:t>
      </w:r>
    </w:p>
    <w:p>
      <w:pPr>
        <w:pStyle w:val="BodyText"/>
      </w:pPr>
      <w:r>
        <w:t xml:space="preserve">[10] A. Herandi, Y. Li, Z. Liu, X. Hu, and X. Cai,</w:t>
      </w:r>
      <w:r>
        <w:t xml:space="preserve"> </w:t>
      </w:r>
      <w:r>
        <w:t xml:space="preserve">“Skill-LLM: Repurposing general-purpose LLMs for skill extraction,”</w:t>
      </w:r>
      <w:r>
        <w:t xml:space="preserve"> </w:t>
      </w:r>
      <w:r>
        <w:rPr>
          <w:i/>
          <w:iCs/>
        </w:rPr>
        <w:t xml:space="preserve">arXiv preprint arXiv:2410.12052</w:t>
      </w:r>
      <w:r>
        <w:t xml:space="preserve">, 2024. https://arxiv.org/abs/2410.12052</w:t>
      </w:r>
    </w:p>
    <w:p>
      <w:pPr>
        <w:pStyle w:val="BodyText"/>
      </w:pPr>
      <w:r>
        <w:t xml:space="preserve">[11] S. Saroglou, K. Diamantaras, F. Preta, M. Delianidi, A. Benisis, and C. J. Meyer,</w:t>
      </w:r>
      <w:r>
        <w:t xml:space="preserve"> </w:t>
      </w:r>
      <w:r>
        <w:t xml:space="preserve">“Enhancing job matching: Occupation, skill and qualification linking with the ESCO and EQF taxonomies,”</w:t>
      </w:r>
      <w:r>
        <w:t xml:space="preserve"> </w:t>
      </w:r>
      <w:r>
        <w:rPr>
          <w:i/>
          <w:iCs/>
        </w:rPr>
        <w:t xml:space="preserve">arXiv preprint arXiv:2512.03195</w:t>
      </w:r>
      <w:r>
        <w:t xml:space="preserve">, 2025. https://arxiv.org/abs/2512.03195</w:t>
      </w:r>
    </w:p>
    <w:p>
      <w:pPr>
        <w:pStyle w:val="BodyText"/>
      </w:pPr>
      <w:r>
        <w:t xml:space="preserve">[12] C. Panzaru and A. Grama,</w:t>
      </w:r>
      <w:r>
        <w:t xml:space="preserve"> </w:t>
      </w:r>
      <w:r>
        <w:t xml:space="preserve">“Towards explicit soft skills labelling in ESCO through semantic NLP analysis,”</w:t>
      </w:r>
      <w:r>
        <w:t xml:space="preserve"> </w:t>
      </w:r>
      <w:r>
        <w:rPr>
          <w:i/>
          <w:iCs/>
        </w:rPr>
        <w:t xml:space="preserve">Journal for Labour Market Research</w:t>
      </w:r>
      <w:r>
        <w:t xml:space="preserve">, vol. 59, no. 1, art. 18, 2025. https://doi.org/10.1186/s12651-025-00409-x</w:t>
      </w:r>
    </w:p>
    <w:p>
      <w:pPr>
        <w:pStyle w:val="BodyText"/>
      </w:pPr>
      <w:r>
        <w:t xml:space="preserve">[13] M. de Groot, J. Schutte, and D. Graus,</w:t>
      </w:r>
      <w:r>
        <w:t xml:space="preserve"> </w:t>
      </w:r>
      <w:r>
        <w:t xml:space="preserve">“Job posting-enriched knowledge graph for skills-based matching,”</w:t>
      </w:r>
      <w:r>
        <w:t xml:space="preserve"> </w:t>
      </w:r>
      <w:r>
        <w:rPr>
          <w:i/>
          <w:iCs/>
        </w:rPr>
        <w:t xml:space="preserve">arXiv preprint arXiv:2109.02554</w:t>
      </w:r>
      <w:r>
        <w:t xml:space="preserve">, 2021. https://arxiv.org/abs/2109.02554</w:t>
      </w:r>
    </w:p>
    <w:bookmarkEnd w:id="111"/>
    <w:bookmarkStart w:id="112" w:name="X1796bfef32d736987f1174fc0e433d96cea39d8"/>
    <w:p>
      <w:pPr>
        <w:pStyle w:val="Heading2"/>
      </w:pPr>
      <w:r>
        <w:t xml:space="preserve">4. Resume parsing and information extraction</w:t>
      </w:r>
    </w:p>
    <w:p>
      <w:pPr>
        <w:pStyle w:val="FirstParagraph"/>
      </w:pPr>
      <w:r>
        <w:t xml:space="preserve">[14] K. Yu, G. Guan, and M. Zhou,</w:t>
      </w:r>
      <w:r>
        <w:t xml:space="preserve"> </w:t>
      </w:r>
      <w:r>
        <w:t xml:space="preserve">“Resume information extraction with cascaded hybrid model,”</w:t>
      </w:r>
      <w:r>
        <w:t xml:space="preserve"> </w:t>
      </w:r>
      <w:r>
        <w:t xml:space="preserve">in</w:t>
      </w:r>
      <w:r>
        <w:t xml:space="preserve"> </w:t>
      </w:r>
      <w:r>
        <w:rPr>
          <w:i/>
          <w:iCs/>
        </w:rPr>
        <w:t xml:space="preserve">Proceedings of the 43rd Annual Meeting of the Association for Computational Linguistics (ACL ’05)</w:t>
      </w:r>
      <w:r>
        <w:t xml:space="preserve">, 2005, pp. 499–506. https://aclanthology.org/P05-1062/</w:t>
      </w:r>
    </w:p>
    <w:bookmarkEnd w:id="112"/>
    <w:bookmarkStart w:id="113" w:name="ai-based-career-recommendation-systems"/>
    <w:p>
      <w:pPr>
        <w:pStyle w:val="Heading2"/>
      </w:pPr>
      <w:r>
        <w:t xml:space="preserve">5. AI-based career recommendation systems</w:t>
      </w:r>
    </w:p>
    <w:p>
      <w:pPr>
        <w:pStyle w:val="FirstParagraph"/>
      </w:pPr>
      <w:r>
        <w:t xml:space="preserve">[15] H. Al-Dossari, F. A. Nughaymish, Z. Al-Qahtani, M. Alkahlifah, and A. Alqahtani,</w:t>
      </w:r>
      <w:r>
        <w:t xml:space="preserve"> </w:t>
      </w:r>
      <w:r>
        <w:t xml:space="preserve">“CareerRec: A machine learning approach to career path choice for information technology graduates,”</w:t>
      </w:r>
      <w:r>
        <w:t xml:space="preserve"> </w:t>
      </w:r>
      <w:r>
        <w:rPr>
          <w:i/>
          <w:iCs/>
        </w:rPr>
        <w:t xml:space="preserve">Engineering, Technology &amp; Applied Science Research</w:t>
      </w:r>
      <w:r>
        <w:t xml:space="preserve">, vol. 10, no. 6, pp. 6589–6596, 2020. https://doi.org/10.48084/etasr.3821</w:t>
      </w:r>
    </w:p>
    <w:bookmarkEnd w:id="113"/>
    <w:bookmarkStart w:id="114" w:name="large-language-models-in-recruitment"/>
    <w:p>
      <w:pPr>
        <w:pStyle w:val="Heading2"/>
      </w:pPr>
      <w:r>
        <w:t xml:space="preserve">6. Large language models in recruitment</w:t>
      </w:r>
    </w:p>
    <w:p>
      <w:pPr>
        <w:pStyle w:val="FirstParagraph"/>
      </w:pPr>
      <w:r>
        <w:t xml:space="preserve">[16] C. Gan, Q. Zhang, and T. Mori,</w:t>
      </w:r>
      <w:r>
        <w:t xml:space="preserve"> </w:t>
      </w:r>
      <w:r>
        <w:t xml:space="preserve">“Application of LLM agents in recruitment: A novel framework for resume screening,”</w:t>
      </w:r>
      <w:r>
        <w:t xml:space="preserve"> </w:t>
      </w:r>
      <w:r>
        <w:rPr>
          <w:i/>
          <w:iCs/>
        </w:rPr>
        <w:t xml:space="preserve">arXiv preprint arXiv:2401.08315</w:t>
      </w:r>
      <w:r>
        <w:t xml:space="preserve">, 2024. https://arxiv.org/abs/2401.08315</w:t>
      </w:r>
    </w:p>
    <w:p>
      <w:pPr>
        <w:pStyle w:val="BodyText"/>
      </w:pPr>
      <w:r>
        <w:t xml:space="preserve">[17] F. P.-W. Lo, J. Qiu, Z. Wang, H. Yu, Y. Chen, G. Zhang, and B. Lo,</w:t>
      </w:r>
      <w:r>
        <w:t xml:space="preserve"> </w:t>
      </w:r>
      <w:r>
        <w:t xml:space="preserve">“AI hiring with LLMs: A context-aware and explainable multi-agent framework for resume screening,”</w:t>
      </w:r>
      <w:r>
        <w:t xml:space="preserve"> </w:t>
      </w:r>
      <w:r>
        <w:t xml:space="preserve">in</w:t>
      </w:r>
      <w:r>
        <w:t xml:space="preserve"> </w:t>
      </w:r>
      <w:r>
        <w:rPr>
          <w:i/>
          <w:iCs/>
        </w:rPr>
        <w:t xml:space="preserve">Proc. IEEE/CVF Conf. on Computer Vision and Pattern Recognition Workshops (CVPRW)</w:t>
      </w:r>
      <w:r>
        <w:t xml:space="preserve">, 2025, pp. 4184–4193. https://doi.org/10.1109/CVPRW67362.2025.00402</w:t>
      </w:r>
    </w:p>
    <w:p>
      <w:pPr>
        <w:pStyle w:val="BodyText"/>
      </w:pPr>
      <w:r>
        <w:t xml:space="preserve">[18] R. V. K. Bevara, N. R. Mannuru, S. P. Karedla, B. D. Lund, T. Xiao, H. Pasem, S. C. Dronavalli, and S. Rupeshkumar,</w:t>
      </w:r>
      <w:r>
        <w:t xml:space="preserve"> </w:t>
      </w:r>
      <w:r>
        <w:t xml:space="preserve">“Resume2Vec: Transforming applicant tracking systems with intelligent resume embeddings for precise candidate matching,”</w:t>
      </w:r>
      <w:r>
        <w:t xml:space="preserve"> </w:t>
      </w:r>
      <w:r>
        <w:rPr>
          <w:i/>
          <w:iCs/>
        </w:rPr>
        <w:t xml:space="preserve">Electronics</w:t>
      </w:r>
      <w:r>
        <w:t xml:space="preserve">, vol. 14, no. 4, art. 794, 2025. https://doi.org/10.3390/electronics14040794</w:t>
      </w:r>
    </w:p>
    <w:p>
      <w:pPr>
        <w:pStyle w:val="BodyText"/>
      </w:pPr>
      <w:r>
        <w:t xml:space="preserve">[19] A. Jagadeesh, C. R. Shankar, S. N. Patel, M. Levantesi, G. Semeraro, and E. W. De Luca,</w:t>
      </w:r>
      <w:r>
        <w:t xml:space="preserve"> </w:t>
      </w:r>
      <w:r>
        <w:t xml:space="preserve">“AI-driven resume analysis and enhancement using semantic modeling and large language feedback loops,”</w:t>
      </w:r>
      <w:r>
        <w:t xml:space="preserve"> </w:t>
      </w:r>
      <w:r>
        <w:t xml:space="preserve">in</w:t>
      </w:r>
      <w:r>
        <w:t xml:space="preserve"> </w:t>
      </w:r>
      <w:r>
        <w:rPr>
          <w:i/>
          <w:iCs/>
        </w:rPr>
        <w:t xml:space="preserve">Proceedings of CLiC-it 2025</w:t>
      </w:r>
      <w:r>
        <w:t xml:space="preserve">, 2025. https://aclanthology.org/2025.clicit-1.51/</w:t>
      </w:r>
    </w:p>
    <w:bookmarkEnd w:id="114"/>
    <w:bookmarkStart w:id="115" w:name="Xe3796102e15fa10b5c24e38851c753906160937"/>
    <w:p>
      <w:pPr>
        <w:pStyle w:val="Heading2"/>
      </w:pPr>
      <w:r>
        <w:t xml:space="preserve">7. Semantic matching and sentence embeddings</w:t>
      </w:r>
    </w:p>
    <w:p>
      <w:pPr>
        <w:pStyle w:val="FirstParagraph"/>
      </w:pPr>
      <w:r>
        <w:t xml:space="preserve">[20]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EMNLP-IJCNLP 2019</w:t>
      </w:r>
      <w:r>
        <w:t xml:space="preserve">, Hong Kong, 2019. https://arxiv.org/abs/1908.10084</w:t>
      </w:r>
    </w:p>
    <w:p>
      <w:pPr>
        <w:pStyle w:val="BodyText"/>
      </w:pPr>
      <w:r>
        <w:t xml:space="preserve">[21] V. Zadykian, B. Andrade, and H. Afli,</w:t>
      </w:r>
      <w:r>
        <w:t xml:space="preserve"> </w:t>
      </w:r>
      <w:r>
        <w:t xml:space="preserve">“Towards explainable job title matching: Leveraging semantic textual relatedness and knowledge graphs,”</w:t>
      </w:r>
      <w:r>
        <w:t xml:space="preserve"> </w:t>
      </w:r>
      <w:r>
        <w:rPr>
          <w:i/>
          <w:iCs/>
        </w:rPr>
        <w:t xml:space="preserve">arXiv preprint arXiv:2509.09522</w:t>
      </w:r>
      <w:r>
        <w:t xml:space="preserve">, 2025. https://arxiv.org/abs/2509.09522</w:t>
      </w:r>
    </w:p>
    <w:bookmarkEnd w:id="115"/>
    <w:bookmarkStart w:id="116" w:name="bias-and-fairness-in-algorithmic-hiring"/>
    <w:p>
      <w:pPr>
        <w:pStyle w:val="Heading2"/>
      </w:pPr>
      <w:r>
        <w:t xml:space="preserve">8. Bias and fairness in algorithmic hiring</w:t>
      </w:r>
    </w:p>
    <w:p>
      <w:pPr>
        <w:pStyle w:val="FirstParagraph"/>
      </w:pPr>
      <w:r>
        <w:t xml:space="preserve">[22] A. Köchling and M. C. Wehner,</w:t>
      </w:r>
      <w:r>
        <w:t xml:space="preserve"> </w:t>
      </w:r>
      <w:r>
        <w:t xml:space="preserve">“Discriminated by an algorithm: A systematic review of discrimination and fairness by algorithmic decision-making in the context of HR recruitment and HR development,”</w:t>
      </w:r>
      <w:r>
        <w:t xml:space="preserve"> </w:t>
      </w:r>
      <w:r>
        <w:rPr>
          <w:i/>
          <w:iCs/>
        </w:rPr>
        <w:t xml:space="preserve">Business Research</w:t>
      </w:r>
      <w:r>
        <w:t xml:space="preserve">, vol. 13, no. 3, pp. 795–848, 2020. https://doi.org/10.1007/s40685-020-00134-w</w:t>
      </w:r>
    </w:p>
    <w:p>
      <w:pPr>
        <w:pStyle w:val="BodyText"/>
      </w:pPr>
      <w:r>
        <w:t xml:space="preserve">[23] M. Raghavan, S. Barocas, J. Kleinberg, and K. Levy,</w:t>
      </w:r>
      <w:r>
        <w:t xml:space="preserve"> </w:t>
      </w:r>
      <w:r>
        <w:t xml:space="preserve">“Mitigating bias in algorithmic hiring: Evaluating claims and practices,”</w:t>
      </w:r>
      <w:r>
        <w:t xml:space="preserve"> </w:t>
      </w:r>
      <w:r>
        <w:t xml:space="preserve">in</w:t>
      </w:r>
      <w:r>
        <w:t xml:space="preserve"> </w:t>
      </w:r>
      <w:r>
        <w:rPr>
          <w:i/>
          <w:iCs/>
        </w:rPr>
        <w:t xml:space="preserve">Proceedings of the 2020 Conference on Fairness, Accountability, and Transparency (FAccT ’20)</w:t>
      </w:r>
      <w:r>
        <w:t xml:space="preserve">, 2020, pp. 469–481. https://doi.org/10.1145/3351095.3372828</w:t>
      </w:r>
    </w:p>
    <w:p>
      <w:pPr>
        <w:pStyle w:val="BodyText"/>
      </w:pPr>
      <w:r>
        <w:t xml:space="preserve">[24] Z. Chen,</w:t>
      </w:r>
      <w:r>
        <w:t xml:space="preserve"> </w:t>
      </w:r>
      <w:r>
        <w:t xml:space="preserve">“Ethics and discrimination in artificial intelligence-enabled recruitment practices,”</w:t>
      </w:r>
      <w:r>
        <w:t xml:space="preserve"> </w:t>
      </w:r>
      <w:r>
        <w:rPr>
          <w:i/>
          <w:iCs/>
        </w:rPr>
        <w:t xml:space="preserve">Humanities and Social Sciences Communications</w:t>
      </w:r>
      <w:r>
        <w:t xml:space="preserve">, vol. 10, art. 567, 2023. https://doi.org/10.1057/s41599-023-02079-x</w:t>
      </w:r>
    </w:p>
    <w:bookmarkEnd w:id="116"/>
    <w:bookmarkStart w:id="117" w:name="retrieval-augmented-generation"/>
    <w:p>
      <w:pPr>
        <w:pStyle w:val="Heading2"/>
      </w:pPr>
      <w:r>
        <w:t xml:space="preserve">9. Retrieval-augmented generation</w:t>
      </w:r>
    </w:p>
    <w:p>
      <w:pPr>
        <w:pStyle w:val="FirstParagraph"/>
      </w:pPr>
      <w:r>
        <w:t xml:space="preserve">[25] Y. Gao, Y. Xiong, X. Gao, K. Jia, J. Pan, Y. Bi, Y. Dai, J. Sun, and H. Wang,</w:t>
      </w:r>
      <w:r>
        <w:t xml:space="preserve"> </w:t>
      </w:r>
      <w:r>
        <w:t xml:space="preserve">“Retrieval-augmented generation for large language models: A survey,”</w:t>
      </w:r>
      <w:r>
        <w:t xml:space="preserve"> </w:t>
      </w:r>
      <w:r>
        <w:rPr>
          <w:i/>
          <w:iCs/>
        </w:rPr>
        <w:t xml:space="preserve">arXiv preprint arXiv:2312.10997</w:t>
      </w:r>
      <w:r>
        <w:t xml:space="preserve">, 2023. https://arxiv.org/abs/2312.10997</w:t>
      </w:r>
    </w:p>
    <w:bookmarkEnd w:id="117"/>
    <w:bookmarkStart w:id="118" w:name="web-frameworks-and-system-tooling"/>
    <w:p>
      <w:pPr>
        <w:pStyle w:val="Heading2"/>
      </w:pPr>
      <w:r>
        <w:t xml:space="preserve">10. Web frameworks and system tooling</w:t>
      </w:r>
    </w:p>
    <w:p>
      <w:pPr>
        <w:pStyle w:val="BlockText"/>
      </w:pPr>
      <w:r>
        <w:t xml:space="preserve">Documentation references for the engineering chapters; cited as official documentation footnotes rather than as numbered bibliography entries.</w:t>
      </w:r>
    </w:p>
    <w:p>
      <w:pPr>
        <w:pStyle w:val="Compact"/>
        <w:numPr>
          <w:ilvl w:val="0"/>
          <w:numId w:val="1008"/>
        </w:numPr>
      </w:pPr>
      <w:r>
        <w:t xml:space="preserve">FastAPI documentation. https://fastapi.tiangolo.com</w:t>
      </w:r>
    </w:p>
    <w:p>
      <w:pPr>
        <w:pStyle w:val="Compact"/>
        <w:numPr>
          <w:ilvl w:val="0"/>
          <w:numId w:val="1008"/>
        </w:numPr>
      </w:pPr>
      <w:r>
        <w:t xml:space="preserve">TanStack Start / Router documentation. https://tanstack.com/router</w:t>
      </w:r>
    </w:p>
    <w:p>
      <w:pPr>
        <w:pStyle w:val="Compact"/>
        <w:numPr>
          <w:ilvl w:val="0"/>
          <w:numId w:val="1008"/>
        </w:numPr>
      </w:pPr>
      <w:r>
        <w:t xml:space="preserve">React 19 documentation. https://react.dev</w:t>
      </w:r>
    </w:p>
    <w:p>
      <w:pPr>
        <w:pStyle w:val="Compact"/>
        <w:numPr>
          <w:ilvl w:val="0"/>
          <w:numId w:val="1008"/>
        </w:numPr>
      </w:pPr>
      <w:r>
        <w:t xml:space="preserve">Vite documentation. https://vite.dev</w:t>
      </w:r>
    </w:p>
    <w:p>
      <w:pPr>
        <w:pStyle w:val="Compact"/>
        <w:numPr>
          <w:ilvl w:val="0"/>
          <w:numId w:val="1008"/>
        </w:numPr>
      </w:pPr>
      <w:r>
        <w:t xml:space="preserve">SQLAlchemy 2.0 documentation. https://www.sqlalchemy.org</w:t>
      </w:r>
    </w:p>
    <w:p>
      <w:pPr>
        <w:pStyle w:val="Compact"/>
        <w:numPr>
          <w:ilvl w:val="0"/>
          <w:numId w:val="1008"/>
        </w:numPr>
      </w:pPr>
      <w:r>
        <w:t xml:space="preserve">Alembic migration documentation. https://alembic.sqlalchemy.org</w:t>
      </w:r>
    </w:p>
    <w:p>
      <w:pPr>
        <w:pStyle w:val="Compact"/>
        <w:numPr>
          <w:ilvl w:val="0"/>
          <w:numId w:val="1008"/>
        </w:numPr>
      </w:pPr>
      <w:r>
        <w:t xml:space="preserve">PostgreSQL documentation. https://www.postgresql.org/docs/</w:t>
      </w:r>
    </w:p>
    <w:p>
      <w:pPr>
        <w:pStyle w:val="Compact"/>
        <w:numPr>
          <w:ilvl w:val="0"/>
          <w:numId w:val="1008"/>
        </w:numPr>
      </w:pPr>
      <w:r>
        <w:t xml:space="preserve">Google Cloud Vertex AI Gemini documentation. https://cloud.google.com/vertex-ai/generative-ai/docs</w:t>
      </w:r>
    </w:p>
    <w:p>
      <w:pPr>
        <w:pStyle w:val="Compact"/>
        <w:numPr>
          <w:ilvl w:val="0"/>
          <w:numId w:val="1008"/>
        </w:numPr>
      </w:pPr>
      <w:r>
        <w:t xml:space="preserve">Resend transactional email API. https://resend.com/docs</w:t>
      </w:r>
    </w:p>
    <w:bookmarkEnd w:id="118"/>
    <w:bookmarkEnd w:id="119"/>
    <w:bookmarkStart w:id="151" w:name="appendices"/>
    <w:p>
      <w:pPr>
        <w:pStyle w:val="Heading1"/>
      </w:pPr>
      <w:r>
        <w:t xml:space="preserve">Appendices</w:t>
      </w:r>
    </w:p>
    <w:bookmarkStart w:id="124" w:name="appendix-a-source-listings"/>
    <w:p>
      <w:pPr>
        <w:pStyle w:val="Heading2"/>
      </w:pPr>
      <w:r>
        <w:t xml:space="preserve">Appendix A — Source listings</w:t>
      </w:r>
    </w:p>
    <w:p>
      <w:pPr>
        <w:pStyle w:val="BlockText"/>
      </w:pPr>
      <w: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20" w:name="X815009366af60fa4723a257df1c3cfaaf97a2fb"/>
    <w:p>
      <w:pPr>
        <w:pStyle w:val="Heading3"/>
      </w:pPr>
      <w:r>
        <w:t xml:space="preserve">A.1 Strong heuristic v2 — public entry point</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build_resume_prepass_v2(</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target_role_label: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ResumePrepassV2:</w:t>
      </w:r>
      <w:r>
        <w:br/>
      </w:r>
      <w:r>
        <w:rPr>
          <w:rStyle w:val="NormalTok"/>
        </w:rPr>
        <w:t xml:space="preserve">    text </w:t>
      </w:r>
      <w:r>
        <w:rPr>
          <w:rStyle w:val="OperatorTok"/>
        </w:rPr>
        <w:t xml:space="preserve">=</w:t>
      </w:r>
      <w:r>
        <w:rPr>
          <w:rStyle w:val="NormalTok"/>
        </w:rPr>
        <w:t xml:space="preserve"> resume_text </w:t>
      </w:r>
      <w:r>
        <w:rPr>
          <w:rStyle w:val="KeywordTok"/>
        </w:rPr>
        <w:t xml:space="preserve">or</w:t>
      </w:r>
      <w:r>
        <w:rPr>
          <w:rStyle w:val="NormalTok"/>
        </w:rPr>
        <w:t xml:space="preserve"> </w:t>
      </w:r>
      <w:r>
        <w:rPr>
          <w:rStyle w:val="StringTok"/>
        </w:rPr>
        <w:t xml:space="preserve">""</w:t>
      </w:r>
      <w:r>
        <w:br/>
      </w:r>
      <w:r>
        <w:rPr>
          <w:rStyle w:val="NormalTok"/>
        </w:rPr>
        <w:t xml:space="preserve">    sections </w:t>
      </w:r>
      <w:r>
        <w:rPr>
          <w:rStyle w:val="OperatorTok"/>
        </w:rPr>
        <w:t xml:space="preserve">=</w:t>
      </w:r>
      <w:r>
        <w:rPr>
          <w:rStyle w:val="NormalTok"/>
        </w:rPr>
        <w:t xml:space="preserve"> _detect_sections(text)</w:t>
      </w:r>
      <w:r>
        <w:br/>
      </w:r>
      <w:r>
        <w:rPr>
          <w:rStyle w:val="NormalTok"/>
        </w:rPr>
        <w:t xml:space="preserve">    bullets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_BULLET_RE.finditer(text)]</w:t>
      </w:r>
      <w:r>
        <w:br/>
      </w:r>
      <w:r>
        <w:rPr>
          <w:rStyle w:val="NormalTok"/>
        </w:rPr>
        <w:t xml:space="preserve">    tokens </w:t>
      </w:r>
      <w:r>
        <w:rPr>
          <w:rStyle w:val="OperatorTok"/>
        </w:rPr>
        <w:t xml:space="preserve">=</w:t>
      </w:r>
      <w:r>
        <w:rPr>
          <w:rStyle w:val="NormalTok"/>
        </w:rPr>
        <w:t xml:space="preserve"> _tokenize(text)</w:t>
      </w:r>
      <w:r>
        <w:br/>
      </w:r>
      <w:r>
        <w:br/>
      </w:r>
      <w:r>
        <w:rPr>
          <w:rStyle w:val="NormalTok"/>
        </w:rPr>
        <w:t xml:space="preserve">    resume_skills </w:t>
      </w:r>
      <w:r>
        <w:rPr>
          <w:rStyle w:val="OperatorTok"/>
        </w:rPr>
        <w:t xml:space="preserve">=</w:t>
      </w:r>
      <w:r>
        <w:rPr>
          <w:rStyle w:val="NormalTok"/>
        </w:rPr>
        <w:t xml:space="preserve"> _normalise_skills(text)</w:t>
      </w:r>
      <w:r>
        <w:br/>
      </w:r>
      <w:r>
        <w:rPr>
          <w:rStyle w:val="NormalTok"/>
        </w:rPr>
        <w:t xml:space="preserve">    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matched_locations: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br/>
      </w:r>
      <w:r>
        <w:rPr>
          <w:rStyle w:val="NormalTok"/>
        </w:rPr>
        <w:t xml:space="preserve">    fuzzy_count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 (full body in the source file; see Section 4.2 of the thesis for the</w:t>
      </w:r>
      <w:r>
        <w:br/>
      </w:r>
      <w:r>
        <w:rPr>
          <w:rStyle w:val="NormalTok"/>
        </w:rPr>
        <w:t xml:space="preserve">    </w:t>
      </w:r>
      <w:r>
        <w:rPr>
          <w:rStyle w:val="CommentTok"/>
        </w:rPr>
        <w:t xml:space="preserve"># accompanying methodological description)</w:t>
      </w:r>
    </w:p>
    <w:bookmarkEnd w:id="120"/>
    <w:bookmarkStart w:id="121" w:name="a.2-bm25-scoring"/>
    <w:p>
      <w:pPr>
        <w:pStyle w:val="Heading3"/>
      </w:pPr>
      <w:r>
        <w:t xml:space="preserve">A.2 BM25 scoring</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_bm25_score(</w:t>
      </w:r>
      <w:r>
        <w:br/>
      </w:r>
      <w:r>
        <w:rPr>
          <w:rStyle w:val="NormalTok"/>
        </w:rPr>
        <w:t xml:space="preserve">    resume_tf: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query_terms: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idf: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avg_dl: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w:t>
      </w:r>
      <w:r>
        <w:br/>
      </w:r>
      <w:r>
        <w:rPr>
          <w:rStyle w:val="NormalTok"/>
        </w:rPr>
        <w:t xml:space="preserve">    k1: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"""Standard BM25 score of a query against a single document's term-frequencies."""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query_terms: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dl </w:t>
      </w:r>
      <w:r>
        <w:rPr>
          <w:rStyle w:val="OperatorTok"/>
        </w:rPr>
        <w:t xml:space="preserve">=</w:t>
      </w:r>
      <w:r>
        <w:rPr>
          <w:rStyle w:val="NormalTok"/>
        </w:rPr>
        <w:t xml:space="preserve"> </w:t>
      </w:r>
      <w:r>
        <w:rPr>
          <w:rStyle w:val="BuiltInTok"/>
        </w:rPr>
        <w:t xml:space="preserve">sum</w:t>
      </w:r>
      <w:r>
        <w:rPr>
          <w:rStyle w:val="NormalTok"/>
        </w:rPr>
        <w:t xml:space="preserve">(resume_tf.values()) </w:t>
      </w:r>
      <w:r>
        <w:rPr>
          <w:rStyle w:val="KeywordTok"/>
        </w:rPr>
        <w:t xml:space="preserve">or</w:t>
      </w:r>
      <w:r>
        <w:rPr>
          <w:rStyle w:val="NormalTok"/>
        </w:rPr>
        <w:t xml:space="preserve"> </w:t>
      </w:r>
      <w:r>
        <w:rPr>
          <w:rStyle w:val="DecValTok"/>
        </w:rPr>
        <w:t xml:space="preserve">1</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tf </w:t>
      </w:r>
      <w:r>
        <w:rPr>
          <w:rStyle w:val="OperatorTok"/>
        </w:rPr>
        <w:t xml:space="preserve">=</w:t>
      </w:r>
      <w:r>
        <w:rPr>
          <w:rStyle w:val="NormalTok"/>
        </w:rPr>
        <w:t xml:space="preserve"> resume_tf.get(term,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term_idf </w:t>
      </w:r>
      <w:r>
        <w:rPr>
          <w:rStyle w:val="OperatorTok"/>
        </w:rPr>
        <w:t xml:space="preserve">=</w:t>
      </w:r>
      <w:r>
        <w:rPr>
          <w:rStyle w:val="NormalTok"/>
        </w:rPr>
        <w:t xml:space="preserve"> idf.get(term, math.log((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dl </w:t>
      </w:r>
      <w:r>
        <w:rPr>
          <w:rStyle w:val="OperatorTok"/>
        </w:rPr>
        <w:t xml:space="preserve">/</w:t>
      </w:r>
      <w:r>
        <w:rPr>
          <w:rStyle w:val="NormalTok"/>
        </w:rPr>
        <w:t xml:space="preserve"> avg_dl))</w:t>
      </w:r>
      <w:r>
        <w:br/>
      </w:r>
      <w:r>
        <w:rPr>
          <w:rStyle w:val="NormalTok"/>
        </w:rPr>
        <w:t xml:space="preserve">        score </w:t>
      </w:r>
      <w:r>
        <w:rPr>
          <w:rStyle w:val="OperatorTok"/>
        </w:rPr>
        <w:t xml:space="preserve">+=</w:t>
      </w:r>
      <w:r>
        <w:rPr>
          <w:rStyle w:val="NormalTok"/>
        </w:rPr>
        <w:t xml:space="preserve"> term_idf </w:t>
      </w:r>
      <w:r>
        <w:rPr>
          <w:rStyle w:val="OperatorTok"/>
        </w:rPr>
        <w:t xml:space="preserve">*</w:t>
      </w:r>
      <w:r>
        <w:rPr>
          <w:rStyle w:val="NormalTok"/>
        </w:rPr>
        <w:t xml:space="preserve"> norm</w:t>
      </w:r>
      <w:r>
        <w:br/>
      </w:r>
      <w:r>
        <w:rPr>
          <w:rStyle w:val="NormalTok"/>
        </w:rPr>
        <w:t xml:space="preserve">    </w:t>
      </w:r>
      <w:r>
        <w:rPr>
          <w:rStyle w:val="ControlFlowTok"/>
        </w:rPr>
        <w:t xml:space="preserve">return</w:t>
      </w:r>
      <w:r>
        <w:rPr>
          <w:rStyle w:val="NormalTok"/>
        </w:rPr>
        <w:t xml:space="preserve"> score</w:t>
      </w:r>
    </w:p>
    <w:bookmarkEnd w:id="121"/>
    <w:bookmarkStart w:id="122" w:name="a.3-runtime-mode-toggle"/>
    <w:p>
      <w:pPr>
        <w:pStyle w:val="Heading3"/>
      </w:pPr>
      <w:r>
        <w:t xml:space="preserve">A.3 Runtime mode toggle</w:t>
      </w:r>
    </w:p>
    <w:p>
      <w:pPr>
        <w:pStyle w:val="FirstParagraph"/>
      </w:pPr>
      <w:r>
        <w:rPr>
          <w:rStyle w:val="VerbatimChar"/>
        </w:rPr>
        <w:t xml:space="preserve">backend/app/services/runtime_settings.py</w:t>
      </w:r>
    </w:p>
    <w:p>
      <w:pPr>
        <w:pStyle w:val="SourceCode"/>
      </w:pPr>
      <w:r>
        <w:rPr>
          <w:rStyle w:val="NormalTok"/>
        </w:rPr>
        <w:t xml:space="preserve">ScoringMode </w:t>
      </w:r>
      <w:r>
        <w:rPr>
          <w:rStyle w:val="OperatorTok"/>
        </w:rPr>
        <w:t xml:space="preserve">=</w:t>
      </w:r>
      <w:r>
        <w:rPr>
          <w:rStyle w:val="NormalTok"/>
        </w:rPr>
        <w:t xml:space="preserve"> Literal[</w:t>
      </w:r>
      <w:r>
        <w:rPr>
          <w:rStyle w:val="StringTok"/>
        </w:rPr>
        <w:t xml:space="preserve">"blended"</w:t>
      </w:r>
      <w:r>
        <w:rPr>
          <w:rStyle w:val="NormalTok"/>
        </w:rPr>
        <w:t xml:space="preserve">, </w:t>
      </w:r>
      <w:r>
        <w:rPr>
          <w:rStyle w:val="StringTok"/>
        </w:rPr>
        <w:t xml:space="preserve">"heuristic"</w:t>
      </w:r>
      <w:r>
        <w:rPr>
          <w:rStyle w:val="NormalTok"/>
        </w:rPr>
        <w:t xml:space="preserve">]</w:t>
      </w:r>
      <w:r>
        <w:br/>
      </w:r>
      <w:r>
        <w:rPr>
          <w:rStyle w:val="NormalTok"/>
        </w:rPr>
        <w:t xml:space="preserve">_VALID_MODES: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StringTok"/>
        </w:rPr>
        <w:t xml:space="preserve">"blended"</w:t>
      </w:r>
      <w:r>
        <w:rPr>
          <w:rStyle w:val="NormalTok"/>
        </w:rPr>
        <w:t xml:space="preserve">, </w:t>
      </w:r>
      <w:r>
        <w:rPr>
          <w:rStyle w:val="StringTok"/>
        </w:rPr>
        <w:t xml:space="preserve">"heuristic"</w:t>
      </w:r>
      <w:r>
        <w:rPr>
          <w:rStyle w:val="NormalTok"/>
        </w:rPr>
        <w:t xml:space="preserve">)</w:t>
      </w:r>
      <w:r>
        <w:br/>
      </w:r>
      <w:r>
        <w:br/>
      </w:r>
      <w:r>
        <w:rPr>
          <w:rStyle w:val="NormalTok"/>
        </w:rPr>
        <w:t xml:space="preserve">_initial_mode: ScoringMode </w:t>
      </w:r>
      <w:r>
        <w:rPr>
          <w:rStyle w:val="OperatorTok"/>
        </w:rPr>
        <w:t xml:space="preserve">=</w:t>
      </w:r>
      <w:r>
        <w:rPr>
          <w:rStyle w:val="NormalTok"/>
        </w:rPr>
        <w:t xml:space="preserve"> </w:t>
      </w:r>
      <w:r>
        <w:rPr>
          <w:rStyle w:val="StringTok"/>
        </w:rPr>
        <w:t xml:space="preserve">"blended"</w:t>
      </w:r>
      <w:r>
        <w:br/>
      </w:r>
      <w:r>
        <w:rPr>
          <w:rStyle w:val="NormalTok"/>
        </w:rPr>
        <w:t xml:space="preserve">configured </w:t>
      </w:r>
      <w:r>
        <w:rPr>
          <w:rStyle w:val="OperatorTok"/>
        </w:rPr>
        <w:t xml:space="preserve">=</w:t>
      </w:r>
      <w:r>
        <w:rPr>
          <w:rStyle w:val="NormalTok"/>
        </w:rPr>
        <w:t xml:space="preserve"> </w:t>
      </w:r>
      <w:r>
        <w:rPr>
          <w:rStyle w:val="BuiltInTok"/>
        </w:rPr>
        <w:t xml:space="preserve">getattr</w:t>
      </w:r>
      <w:r>
        <w:rPr>
          <w:rStyle w:val="NormalTok"/>
        </w:rPr>
        <w:t xml:space="preserve">(settings, </w:t>
      </w:r>
      <w:r>
        <w:rPr>
          <w:rStyle w:val="StringTok"/>
        </w:rPr>
        <w:t xml:space="preserve">"SCORING_MODE"</w:t>
      </w:r>
      <w:r>
        <w:rPr>
          <w:rStyle w:val="NormalTok"/>
        </w:rPr>
        <w:t xml:space="preserve">, </w:t>
      </w:r>
      <w:r>
        <w:rPr>
          <w:rStyle w:val="StringTok"/>
        </w:rPr>
        <w:t xml:space="preserve">"blended"</w:t>
      </w:r>
      <w:r>
        <w:rPr>
          <w:rStyle w:val="NormalTok"/>
        </w:rPr>
        <w:t xml:space="preserve">)</w:t>
      </w:r>
      <w:r>
        <w:br/>
      </w:r>
      <w:r>
        <w:rPr>
          <w:rStyle w:val="ControlFlowTok"/>
        </w:rPr>
        <w:t xml:space="preserve">if</w:t>
      </w:r>
      <w:r>
        <w:rPr>
          <w:rStyle w:val="NormalTok"/>
        </w:rPr>
        <w:t xml:space="preserve"> configured </w:t>
      </w:r>
      <w:r>
        <w:rPr>
          <w:rStyle w:val="KeywordTok"/>
        </w:rPr>
        <w:t xml:space="preserve">in</w:t>
      </w:r>
      <w:r>
        <w:rPr>
          <w:rStyle w:val="NormalTok"/>
        </w:rPr>
        <w:t xml:space="preserve"> _VALID_MODES:</w:t>
      </w:r>
      <w:r>
        <w:br/>
      </w:r>
      <w:r>
        <w:rPr>
          <w:rStyle w:val="NormalTok"/>
        </w:rPr>
        <w:t xml:space="preserve">    _initial_mode </w:t>
      </w:r>
      <w:r>
        <w:rPr>
          <w:rStyle w:val="OperatorTok"/>
        </w:rPr>
        <w:t xml:space="preserve">=</w:t>
      </w:r>
      <w:r>
        <w:rPr>
          <w:rStyle w:val="NormalTok"/>
        </w:rPr>
        <w:t xml:space="preserve"> configured</w:t>
      </w:r>
      <w:r>
        <w:br/>
      </w:r>
      <w:r>
        <w:br/>
      </w:r>
      <w:r>
        <w:rPr>
          <w:rStyle w:val="NormalTok"/>
        </w:rPr>
        <w:t xml:space="preserve">_current_mode: ScoringMode </w:t>
      </w:r>
      <w:r>
        <w:rPr>
          <w:rStyle w:val="OperatorTok"/>
        </w:rPr>
        <w:t xml:space="preserve">=</w:t>
      </w:r>
      <w:r>
        <w:rPr>
          <w:rStyle w:val="NormalTok"/>
        </w:rPr>
        <w:t xml:space="preserve"> _initial_mode</w:t>
      </w:r>
      <w:r>
        <w:br/>
      </w:r>
      <w:r>
        <w:br/>
      </w:r>
      <w:r>
        <w:rPr>
          <w:rStyle w:val="KeywordTok"/>
        </w:rPr>
        <w:t xml:space="preserve">def</w:t>
      </w:r>
      <w:r>
        <w:rPr>
          <w:rStyle w:val="NormalTok"/>
        </w:rPr>
        <w:t xml:space="preserve"> get_scoring_mode() </w:t>
      </w:r>
      <w:r>
        <w:rPr>
          <w:rStyle w:val="OperatorTok"/>
        </w:rPr>
        <w:t xml:space="preserve">-&gt;</w:t>
      </w:r>
      <w:r>
        <w:rPr>
          <w:rStyle w:val="NormalTok"/>
        </w:rPr>
        <w:t xml:space="preserve"> ScoringMode:</w:t>
      </w:r>
      <w:r>
        <w:br/>
      </w:r>
      <w:r>
        <w:rPr>
          <w:rStyle w:val="NormalTok"/>
        </w:rPr>
        <w:t xml:space="preserve">    </w:t>
      </w:r>
      <w:r>
        <w:rPr>
          <w:rStyle w:val="ControlFlowTok"/>
        </w:rPr>
        <w:t xml:space="preserve">return</w:t>
      </w:r>
      <w:r>
        <w:rPr>
          <w:rStyle w:val="NormalTok"/>
        </w:rPr>
        <w:t xml:space="preserve"> _current_mode</w:t>
      </w:r>
      <w:r>
        <w:br/>
      </w:r>
      <w:r>
        <w:br/>
      </w:r>
      <w:r>
        <w:rPr>
          <w:rStyle w:val="KeywordTok"/>
        </w:rPr>
        <w:t xml:space="preserve">def</w:t>
      </w:r>
      <w:r>
        <w:rPr>
          <w:rStyle w:val="NormalTok"/>
        </w:rPr>
        <w:t xml:space="preserve"> set_scoring_mode(mode: </w:t>
      </w:r>
      <w:r>
        <w:rPr>
          <w:rStyle w:val="BuiltInTok"/>
        </w:rPr>
        <w:t xml:space="preserve">str</w:t>
      </w:r>
      <w:r>
        <w:rPr>
          <w:rStyle w:val="NormalTok"/>
        </w:rPr>
        <w:t xml:space="preserve">) </w:t>
      </w:r>
      <w:r>
        <w:rPr>
          <w:rStyle w:val="OperatorTok"/>
        </w:rPr>
        <w:t xml:space="preserve">-&gt;</w:t>
      </w:r>
      <w:r>
        <w:rPr>
          <w:rStyle w:val="NormalTok"/>
        </w:rPr>
        <w:t xml:space="preserve"> ScoringMode:</w:t>
      </w:r>
      <w:r>
        <w:br/>
      </w:r>
      <w:r>
        <w:rPr>
          <w:rStyle w:val="NormalTok"/>
        </w:rPr>
        <w:t xml:space="preserve">    </w:t>
      </w:r>
      <w:r>
        <w:rPr>
          <w:rStyle w:val="KeywordTok"/>
        </w:rPr>
        <w:t xml:space="preserve">global</w:t>
      </w:r>
      <w:r>
        <w:rPr>
          <w:rStyle w:val="NormalTok"/>
        </w:rPr>
        <w:t xml:space="preserve"> _current_mode</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_VALID_MODES: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scoring mode: </w:t>
      </w:r>
      <w:r>
        <w:rPr>
          <w:rStyle w:val="SpecialCharTok"/>
        </w:rPr>
        <w:t xml:space="preserve">{</w:t>
      </w:r>
      <w:r>
        <w:rPr>
          <w:rStyle w:val="NormalTok"/>
        </w:rPr>
        <w:t xml:space="preserve">mode</w:t>
      </w:r>
      <w:r>
        <w:rPr>
          <w:rStyle w:val="SpecialCharTok"/>
        </w:rPr>
        <w:t xml:space="preserve">!r}</w:t>
      </w:r>
      <w:r>
        <w:rPr>
          <w:rStyle w:val="SpecialStringTok"/>
        </w:rPr>
        <w:t xml:space="preserve">"</w:t>
      </w:r>
      <w:r>
        <w:rPr>
          <w:rStyle w:val="NormalTok"/>
        </w:rPr>
        <w:t xml:space="preserve">)</w:t>
      </w:r>
      <w:r>
        <w:br/>
      </w:r>
      <w:r>
        <w:rPr>
          <w:rStyle w:val="NormalTok"/>
        </w:rPr>
        <w:t xml:space="preserve">    _current_mode </w:t>
      </w:r>
      <w:r>
        <w:rPr>
          <w:rStyle w:val="OperatorTok"/>
        </w:rPr>
        <w:t xml:space="preserve">=</w:t>
      </w:r>
      <w:r>
        <w:rPr>
          <w:rStyle w:val="NormalTok"/>
        </w:rPr>
        <w:t xml:space="preserve"> mode</w:t>
      </w:r>
      <w:r>
        <w:br/>
      </w:r>
      <w:r>
        <w:rPr>
          <w:rStyle w:val="NormalTok"/>
        </w:rPr>
        <w:t xml:space="preserve">    </w:t>
      </w:r>
      <w:r>
        <w:rPr>
          <w:rStyle w:val="ControlFlowTok"/>
        </w:rPr>
        <w:t xml:space="preserve">return</w:t>
      </w:r>
      <w:r>
        <w:rPr>
          <w:rStyle w:val="NormalTok"/>
        </w:rPr>
        <w:t xml:space="preserve"> _current_mode</w:t>
      </w:r>
    </w:p>
    <w:bookmarkEnd w:id="122"/>
    <w:bookmarkStart w:id="123" w:name="a.4-shared-tool-pipeline"/>
    <w:p>
      <w:pPr>
        <w:pStyle w:val="Heading3"/>
      </w:pPr>
      <w:r>
        <w:t xml:space="preserve">A.4 Shared tool pipeline</w:t>
      </w:r>
    </w:p>
    <w:p>
      <w:pPr>
        <w:pStyle w:val="FirstParagraph"/>
      </w:pPr>
      <w:r>
        <w:rPr>
          <w:rStyle w:val="VerbatimChar"/>
        </w:rPr>
        <w:t xml:space="preserve">backend/app/services/tool_pipeline.py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run_tool_pipeline(</w:t>
      </w:r>
      <w:r>
        <w:br/>
      </w:r>
      <w:r>
        <w:rPr>
          <w:rStyle w:val="NormalTok"/>
        </w:rPr>
        <w:t xml:space="preserve">    </w:t>
      </w:r>
      <w:r>
        <w:rPr>
          <w:rStyle w:val="OperatorTok"/>
        </w:rPr>
        <w:t xml:space="preserve">*</w:t>
      </w:r>
      <w:r>
        <w:rPr>
          <w:rStyle w:val="NormalTok"/>
        </w:rPr>
        <w:t xml:space="preserve">,</w:t>
      </w:r>
      <w:r>
        <w:br/>
      </w:r>
      <w:r>
        <w:rPr>
          <w:rStyle w:val="NormalTok"/>
        </w:rPr>
        <w:t xml:space="preserve">    tool_name: </w:t>
      </w:r>
      <w:r>
        <w:rPr>
          <w:rStyle w:val="BuiltInTok"/>
        </w:rPr>
        <w:t xml:space="preserve">str</w:t>
      </w:r>
      <w:r>
        <w:rPr>
          <w:rStyle w:val="NormalTok"/>
        </w:rPr>
        <w:t xml:space="preserve">,</w:t>
      </w:r>
      <w:r>
        <w:br/>
      </w:r>
      <w:r>
        <w:rPr>
          <w:rStyle w:val="NormalTok"/>
        </w:rPr>
        <w:t xml:space="preserve">    service_fn: Callable[..., Awaitable[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service_kwargs: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label_fn: Callable[[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BuiltInTok"/>
        </w:rPr>
        <w:t xml:space="preserve">str</w:t>
      </w:r>
      <w:r>
        <w:rPr>
          <w:rStyle w:val="NormalTok"/>
        </w:rPr>
        <w:t xml:space="preserve">],</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parent_run_id: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workspace_id: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linked_context_ids: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Session,</w:t>
      </w:r>
      <w:r>
        <w:br/>
      </w:r>
      <w:r>
        <w:rPr>
          <w:rStyle w:val="NormalTok"/>
        </w:rPr>
        <w:t xml:space="preserve">    cache_extra_keys: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"""Shared pipeline: sanitize -&gt; cache -&gt; service -&gt; fallback -&gt; persist -&gt; respond."""</w:t>
      </w:r>
      <w:r>
        <w:br/>
      </w:r>
      <w:r>
        <w:rPr>
          <w:rStyle w:val="NormalTok"/>
        </w:rPr>
        <w:t xml:space="preserve">    </w:t>
      </w:r>
      <w:r>
        <w:rPr>
          <w:rStyle w:val="CommentTok"/>
        </w:rPr>
        <w:t xml:space="preserve"># ... (sanitisation, cache lookup, service call, persistence, observability)</w:t>
      </w:r>
    </w:p>
    <w:p>
      <w:r>
        <w:pict>
          <v:rect style="width:0;height:1.5pt" o:hralign="center" o:hrstd="t" o:hr="t"/>
        </w:pict>
      </w:r>
    </w:p>
    <w:bookmarkEnd w:id="123"/>
    <w:bookmarkEnd w:id="124"/>
    <w:bookmarkStart w:id="129" w:name="Xe2691035b1ea9be44987f1df6fe865ef1936dcd"/>
    <w:p>
      <w:pPr>
        <w:pStyle w:val="Heading2"/>
      </w:pPr>
      <w:r>
        <w:t xml:space="preserve">Appendix B — Evaluation dataset description</w:t>
      </w:r>
    </w:p>
    <w:p>
      <w:pPr>
        <w:pStyle w:val="FirstParagraph"/>
      </w:pPr>
      <w:r>
        <w:t xml:space="preserve">The evaluation dataset used in Chapter 4.3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w:t>
      </w:r>
    </w:p>
    <w:bookmarkStart w:id="125" w:name="b.1-resume-synthesis-procedure"/>
    <w:p>
      <w:pPr>
        <w:pStyle w:val="Heading3"/>
      </w:pPr>
      <w:r>
        <w:t xml:space="preserve">B.1 Resume synthesis procedure</w:t>
      </w:r>
    </w:p>
    <w:p>
      <w:pPr>
        <w:pStyle w:val="FirstParagraph"/>
      </w:pPr>
      <w: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pPr>
      <w:r>
        <w:t xml:space="preserve">The synthesis script is</w:t>
      </w:r>
      <w:r>
        <w:t xml:space="preserve"> </w:t>
      </w:r>
      <w:r>
        <w:rPr>
          <w:rStyle w:val="VerbatimChar"/>
        </w:rPr>
        <w:t xml:space="preserve">scripts/synthesise_eval_dataset.py</w:t>
      </w:r>
      <w:r>
        <w:t xml:space="preserve">. It is fully deterministic: a fixed seed (</w:t>
      </w:r>
      <w:r>
        <w:rPr>
          <w:rStyle w:val="VerbatimChar"/>
        </w:rPr>
        <w:t xml:space="preserve">SEED = 42</w:t>
      </w:r>
      <w:r>
        <w:t xml:space="preserve">) produces the same 30 resumes and 20 job descriptions on every run, which makes the evaluation manifest reproducible from the script alone.</w:t>
      </w:r>
    </w:p>
    <w:bookmarkEnd w:id="125"/>
    <w:bookmarkStart w:id="126" w:name="b.2-job-description-synthesis-procedure"/>
    <w:p>
      <w:pPr>
        <w:pStyle w:val="Heading3"/>
      </w:pPr>
      <w:r>
        <w:t xml:space="preserve">B.2 Job description synthesis procedure</w:t>
      </w:r>
    </w:p>
    <w:p>
      <w:pPr>
        <w:pStyle w:val="FirstParagraph"/>
      </w:pPr>
      <w: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6"/>
    <w:bookmarkStart w:id="127" w:name="b.3-pair-construction"/>
    <w:p>
      <w:pPr>
        <w:pStyle w:val="Heading3"/>
      </w:pPr>
      <w:r>
        <w:t xml:space="preserve">B.3 Pair construction</w:t>
      </w:r>
    </w:p>
    <w:p>
      <w:pPr>
        <w:pStyle w:val="FirstParagraph"/>
      </w:pPr>
      <w:r>
        <w:t xml:space="preserve">The evaluation harness</w:t>
      </w:r>
      <w:r>
        <w:t xml:space="preserve"> </w:t>
      </w:r>
      <w:r>
        <w:rPr>
          <w:rStyle w:val="VerbatimChar"/>
        </w:rPr>
        <w:t xml:space="preserve">scripts/eval_scoring.py</w:t>
      </w:r>
      <w:r>
        <w:t xml:space="preserve"> </w:t>
      </w:r>
      <w:r>
        <w:t xml:space="preserve">pairs each resume with every job description inside the same role track. The JD distribution is three JDs in four tracks and four JDs in two tracks, which produces an exact total of one hundred (resume, JD) pairs.</w:t>
      </w:r>
    </w:p>
    <w:bookmarkEnd w:id="127"/>
    <w:bookmarkStart w:id="128" w:name="b.4-pair-manifest"/>
    <w:p>
      <w:pPr>
        <w:pStyle w:val="Heading3"/>
      </w:pPr>
      <w:r>
        <w:t xml:space="preserve">B.4 Pair manifest</w:t>
      </w:r>
    </w:p>
    <w:p>
      <w:pPr>
        <w:pStyle w:val="FirstParagraph"/>
      </w:pPr>
      <w:r>
        <w:t xml:space="preserve">The manifest produced by the synthesis script at</w:t>
      </w:r>
      <w:r>
        <w:t xml:space="preserve"> </w:t>
      </w:r>
      <w:r>
        <w:rPr>
          <w:rStyle w:val="VerbatimChar"/>
        </w:rPr>
        <w:t xml:space="preserve">thesis/eval-dataset.json</w:t>
      </w:r>
      <w:r>
        <w:t xml:space="preserve"> </w:t>
      </w:r>
      <w:r>
        <w:t xml:space="preserve">is a list of one hundred objects with the shape</w:t>
      </w:r>
      <w:r>
        <w:t xml:space="preserve"> </w:t>
      </w:r>
      <w:r>
        <w:rPr>
          <w:rStyle w:val="VerbatimChar"/>
        </w:rPr>
        <w:t xml:space="preserve">{id, resume, jd, role_track}</w:t>
      </w:r>
      <w:r>
        <w:t xml:space="preserve">. The</w:t>
      </w:r>
      <w:r>
        <w:t xml:space="preserve"> </w:t>
      </w:r>
      <w:r>
        <w:rPr>
          <w:rStyle w:val="VerbatimChar"/>
        </w:rPr>
        <w:t xml:space="preserve">id</w:t>
      </w:r>
      <w:r>
        <w:t xml:space="preserve"> </w:t>
      </w:r>
      <w:r>
        <w:t xml:space="preserve">is composed as</w:t>
      </w:r>
      <w:r>
        <w:t xml:space="preserve"> </w:t>
      </w:r>
      <w:r>
        <w:rPr>
          <w:rStyle w:val="VerbatimChar"/>
        </w:rPr>
        <w:t xml:space="preserve">r-&lt;track&gt;-&lt;NN&gt;__jd-&lt;track&gt;-&lt;NN&gt;</w:t>
      </w:r>
      <w:r>
        <w:t xml:space="preserve"> </w:t>
      </w:r>
      <w:r>
        <w:t xml:space="preserve">so that every row is traceable back to its constituent resume and job description, and every per-pair result in Section 4.3 can be re-queried by id.</w:t>
      </w:r>
    </w:p>
    <w:p>
      <w:r>
        <w:pict>
          <v:rect style="width:0;height:1.5pt" o:hralign="center" o:hrstd="t" o:hr="t"/>
        </w:pict>
      </w:r>
    </w:p>
    <w:bookmarkEnd w:id="128"/>
    <w:bookmarkEnd w:id="129"/>
    <w:bookmarkStart w:id="146" w:name="Xa5e1eb6ef87c5a83e8c05d91d91fb5c96834f8e"/>
    <w:p>
      <w:pPr>
        <w:pStyle w:val="Heading2"/>
      </w:pPr>
      <w:r>
        <w:t xml:space="preserve">Appendix C — Screenshots of the running system</w:t>
      </w:r>
    </w:p>
    <w:p>
      <w:pPr>
        <w:pStyle w:val="FirstParagraph"/>
      </w:pPr>
      <w: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33" w:name="c.1-landing-page"/>
    <w:p>
      <w:pPr>
        <w:pStyle w:val="Heading3"/>
      </w:pPr>
      <w:r>
        <w:t xml:space="preserve">C.1 Landing page</w:t>
      </w:r>
    </w:p>
    <w:p>
      <w:pPr>
        <w:pStyle w:val="CaptionedFigure"/>
      </w:pPr>
      <w:r>
        <w:drawing>
          <wp:inline>
            <wp:extent cx="5334000" cy="3000375"/>
            <wp:effectExtent b="0" l="0" r="0" t="0"/>
            <wp:docPr descr="Figure C.1 — Career Workbench landing page (signed-out, production deployment)." title="" id="131" name="Picture"/>
            <a:graphic>
              <a:graphicData uri="http://schemas.openxmlformats.org/drawingml/2006/picture">
                <pic:pic>
                  <pic:nvPicPr>
                    <pic:cNvPr descr="figures/ui-01-landing.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C.1 — Career Workbench landing page (signed-out, production deployment).</w:t>
      </w:r>
    </w:p>
    <w:p>
      <w:pPr>
        <w:pStyle w:val="BodyText"/>
      </w:pPr>
      <w:r>
        <w:rPr>
          <w:i/>
          <w:iCs/>
        </w:rPr>
        <w:t xml:space="preserve">Figure C.1: The public landing page at</w:t>
      </w:r>
      <w:r>
        <w:rPr>
          <w:i/>
          <w:iCs/>
        </w:rPr>
        <w:t xml:space="preserve"> </w:t>
      </w:r>
      <w:r>
        <w:rPr>
          <w:rStyle w:val="VerbatimChar"/>
          <w:i/>
          <w:iCs/>
        </w:rPr>
        <w:t xml:space="preserve">https://thecareerworkbench.com</w:t>
      </w:r>
      <w:r>
        <w:rPr>
          <w:i/>
          <w:iCs/>
        </w:rPr>
        <w:t xml:space="preserve">, presenting the six career-tooling pillars and the primary call-to-action to sign in or proceed as guest.</w:t>
      </w:r>
    </w:p>
    <w:bookmarkEnd w:id="133"/>
    <w:bookmarkStart w:id="137" w:name="c.2-resume-analyzer-input-page"/>
    <w:p>
      <w:pPr>
        <w:pStyle w:val="Heading3"/>
      </w:pPr>
      <w:r>
        <w:t xml:space="preserve">C.2 Resume Analyzer input page</w:t>
      </w:r>
    </w:p>
    <w:p>
      <w:pPr>
        <w:pStyle w:val="CaptionedFigure"/>
      </w:pPr>
      <w:r>
        <w:drawing>
          <wp:inline>
            <wp:extent cx="5334000" cy="3000375"/>
            <wp:effectExtent b="0" l="0" r="0" t="0"/>
            <wp:docPr descr="Figure C.2 — Resume Analyzer input page, guest mode." title="" id="135" name="Picture"/>
            <a:graphic>
              <a:graphicData uri="http://schemas.openxmlformats.org/drawingml/2006/picture">
                <pic:pic>
                  <pic:nvPicPr>
                    <pic:cNvPr descr="figures/ui-03-resume-inpu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C.2 — Resume Analyzer input page, guest mode.</w:t>
      </w:r>
    </w:p>
    <w:p>
      <w:pPr>
        <w:pStyle w:val="BodyText"/>
      </w:pPr>
      <w:r>
        <w:rPr>
          <w:i/>
          <w:iCs/>
        </w:rPr>
        <w:t xml:space="preserve">Figure C.2: The Resume Analyzer input page (</w:t>
      </w:r>
      <w:r>
        <w:rPr>
          <w:rStyle w:val="VerbatimChar"/>
          <w:i/>
          <w:iCs/>
        </w:rPr>
        <w:t xml:space="preserve">/resume</w:t>
      </w:r>
      <w:r>
        <w:rPr>
          <w:i/>
          <w:iCs/>
        </w:rPr>
        <w:t xml:space="preserve">) as it renders for a guest visitor. The input surface accepts a free-text or uploaded resume, with an optional target job description, before invoking the analytical pipeline described in Chapter 3.2.</w:t>
      </w:r>
    </w:p>
    <w:bookmarkEnd w:id="137"/>
    <w:bookmarkStart w:id="141" w:name="Xe92b625608c320df0d0e71eef401fce0fea85fc"/>
    <w:p>
      <w:pPr>
        <w:pStyle w:val="Heading3"/>
      </w:pPr>
      <w:r>
        <w:t xml:space="preserve">C.3 Resume Analyzer result page (blended mode)</w:t>
      </w:r>
    </w:p>
    <w:p>
      <w:pPr>
        <w:pStyle w:val="CaptionedFigure"/>
      </w:pPr>
      <w:r>
        <w:drawing>
          <wp:inline>
            <wp:extent cx="5334000" cy="5995193"/>
            <wp:effectExtent b="0" l="0" r="0" t="0"/>
            <wp:docPr descr="Figure C.3 — Resume Analyzer result page in blended mode." title="" id="139" name="Picture"/>
            <a:graphic>
              <a:graphicData uri="http://schemas.openxmlformats.org/drawingml/2006/picture">
                <pic:pic>
                  <pic:nvPicPr>
                    <pic:cNvPr descr="figures/ui-04-resume-result.png" id="140" name="Picture"/>
                    <pic:cNvPicPr>
                      <a:picLocks noChangeArrowheads="1" noChangeAspect="1"/>
                    </pic:cNvPicPr>
                  </pic:nvPicPr>
                  <pic:blipFill>
                    <a:blip r:embed="rId138"/>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pPr>
      <w:r>
        <w:t xml:space="preserve">Figure C.3 — Resume Analyzer result page in blended mode.</w:t>
      </w:r>
    </w:p>
    <w:p>
      <w:pPr>
        <w:pStyle w:val="BodyText"/>
      </w:pPr>
      <w:r>
        <w:rPr>
          <w:i/>
          <w:iCs/>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41"/>
    <w:bookmarkStart w:id="145" w:name="c.4-job-match-result-page"/>
    <w:p>
      <w:pPr>
        <w:pStyle w:val="Heading3"/>
      </w:pPr>
      <w:r>
        <w:t xml:space="preserve">C.4 Job Match result page</w:t>
      </w:r>
    </w:p>
    <w:p>
      <w:pPr>
        <w:pStyle w:val="CaptionedFigure"/>
      </w:pPr>
      <w:r>
        <w:drawing>
          <wp:inline>
            <wp:extent cx="5334000" cy="7303690"/>
            <wp:effectExtent b="0" l="0" r="0" t="0"/>
            <wp:docPr descr="Figure C.4 — Job Match result page on the same resume / job-description pair." title="" id="143" name="Picture"/>
            <a:graphic>
              <a:graphicData uri="http://schemas.openxmlformats.org/drawingml/2006/picture">
                <pic:pic>
                  <pic:nvPicPr>
                    <pic:cNvPr descr="figures/ui-05-job-match-result.png" id="144" name="Picture"/>
                    <pic:cNvPicPr>
                      <a:picLocks noChangeArrowheads="1" noChangeAspect="1"/>
                    </pic:cNvPicPr>
                  </pic:nvPicPr>
                  <pic:blipFill>
                    <a:blip r:embed="rId142"/>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pPr>
      <w:r>
        <w:t xml:space="preserve">Figure C.4 — Job Match result page on the same resume / job-description pair.</w:t>
      </w:r>
    </w:p>
    <w:p>
      <w:pPr>
        <w:pStyle w:val="BodyText"/>
      </w:pPr>
      <w:r>
        <w:rPr>
          <w:i/>
          <w:iCs/>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45"/>
    <w:bookmarkEnd w:id="146"/>
    <w:bookmarkStart w:id="150" w:name="appendix-d-configuration-reference"/>
    <w:p>
      <w:pPr>
        <w:pStyle w:val="Heading2"/>
      </w:pPr>
      <w:r>
        <w:t xml:space="preserve">Appendix D — Configuration reference</w:t>
      </w:r>
    </w:p>
    <w:bookmarkStart w:id="147" w:name="d.1-backend-environment-variables"/>
    <w:p>
      <w:pPr>
        <w:pStyle w:val="Heading3"/>
      </w:pPr>
      <w:r>
        <w:t xml:space="preserve">D.1 Backend environment variables</w:t>
      </w:r>
    </w:p>
    <w:p>
      <w:pPr>
        <w:pStyle w:val="FirstParagraph"/>
      </w:pPr>
      <w:r>
        <w:t xml:space="preserve">The following environment variables are read at process start and configure the deployed system. Defaults shown in parentheses; consult</w:t>
      </w:r>
      <w:r>
        <w:t xml:space="preserve"> </w:t>
      </w:r>
      <w:r>
        <w:rPr>
          <w:rStyle w:val="VerbatimChar"/>
        </w:rPr>
        <w:t xml:space="preserve">backend/app/config.py</w:t>
      </w:r>
      <w:r>
        <w:t xml:space="preserve"> </w:t>
      </w:r>
      <w:r>
        <w:t xml:space="preserve">for the authoritative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DATABASE_URL</w:t>
            </w:r>
          </w:p>
        </w:tc>
        <w:tc>
          <w:tcPr/>
          <w:p>
            <w:pPr>
              <w:pStyle w:val="Compact"/>
            </w:pPr>
            <w:r>
              <w:t xml:space="preserve">PostgreSQL DSN</w:t>
            </w:r>
          </w:p>
        </w:tc>
        <w:tc>
          <w:tcPr/>
          <w:p>
            <w:pPr>
              <w:pStyle w:val="Compact"/>
            </w:pPr>
            <w:r>
              <w:rPr>
                <w:rStyle w:val="VerbatimChar"/>
              </w:rPr>
              <w:t xml:space="preserve">sqlite:///./career_platform.db</w:t>
            </w:r>
          </w:p>
        </w:tc>
      </w:tr>
      <w:tr>
        <w:tc>
          <w:tcPr/>
          <w:p>
            <w:pPr>
              <w:pStyle w:val="Compact"/>
            </w:pPr>
            <w:r>
              <w:rPr>
                <w:rStyle w:val="VerbatimChar"/>
              </w:rPr>
              <w:t xml:space="preserve">SECRET_KEY</w:t>
            </w:r>
          </w:p>
        </w:tc>
        <w:tc>
          <w:tcPr/>
          <w:p>
            <w:pPr>
              <w:pStyle w:val="Compact"/>
            </w:pPr>
            <w:r>
              <w:t xml:space="preserve">JWT signing secret</w:t>
            </w:r>
          </w:p>
        </w:tc>
        <w:tc>
          <w:tcPr/>
          <w:p>
            <w:pPr>
              <w:pStyle w:val="Compact"/>
            </w:pPr>
            <w:r>
              <w:t xml:space="preserve">(must override)</w:t>
            </w:r>
          </w:p>
        </w:tc>
      </w:tr>
      <w:tr>
        <w:tc>
          <w:tcPr/>
          <w:p>
            <w:pPr>
              <w:pStyle w:val="Compact"/>
            </w:pPr>
            <w:r>
              <w:rPr>
                <w:rStyle w:val="VerbatimChar"/>
              </w:rPr>
              <w:t xml:space="preserve">ACCESS_TOKEN_EXPIRE_MINUTES</w:t>
            </w:r>
          </w:p>
        </w:tc>
        <w:tc>
          <w:tcPr/>
          <w:p>
            <w:pPr>
              <w:pStyle w:val="Compact"/>
            </w:pPr>
            <w:r>
              <w:t xml:space="preserve">Access-token lifetime</w:t>
            </w:r>
          </w:p>
        </w:tc>
        <w:tc>
          <w:tcPr/>
          <w:p>
            <w:pPr>
              <w:pStyle w:val="Compact"/>
            </w:pPr>
            <w:r>
              <w:t xml:space="preserve">30</w:t>
            </w:r>
          </w:p>
        </w:tc>
      </w:tr>
      <w:tr>
        <w:tc>
          <w:tcPr/>
          <w:p>
            <w:pPr>
              <w:pStyle w:val="Compact"/>
            </w:pPr>
            <w:r>
              <w:rPr>
                <w:rStyle w:val="VerbatimChar"/>
              </w:rPr>
              <w:t xml:space="preserve">REFRESH_TOKEN_EXPIRE_DAYS</w:t>
            </w:r>
          </w:p>
        </w:tc>
        <w:tc>
          <w:tcPr/>
          <w:p>
            <w:pPr>
              <w:pStyle w:val="Compact"/>
            </w:pPr>
            <w:r>
              <w:t xml:space="preserve">Refresh-token lifetime</w:t>
            </w:r>
          </w:p>
        </w:tc>
        <w:tc>
          <w:tcPr/>
          <w:p>
            <w:pPr>
              <w:pStyle w:val="Compact"/>
            </w:pPr>
            <w:r>
              <w:t xml:space="preserve">7</w:t>
            </w:r>
          </w:p>
        </w:tc>
      </w:tr>
      <w:tr>
        <w:tc>
          <w:tcPr/>
          <w:p>
            <w:pPr>
              <w:pStyle w:val="Compact"/>
            </w:pPr>
            <w:r>
              <w:rPr>
                <w:rStyle w:val="VerbatimChar"/>
              </w:rPr>
              <w:t xml:space="preserve">LLM_PROVIDER</w:t>
            </w:r>
          </w:p>
        </w:tc>
        <w:tc>
          <w:tcPr/>
          <w:p>
            <w:pPr>
              <w:pStyle w:val="Compact"/>
            </w:pPr>
            <w:r>
              <w:t xml:space="preserve">LLM dispatch backend</w:t>
            </w:r>
          </w:p>
        </w:tc>
        <w:tc>
          <w:tcPr/>
          <w:p>
            <w:pPr>
              <w:pStyle w:val="Compact"/>
            </w:pPr>
            <w:r>
              <w:rPr>
                <w:rStyle w:val="VerbatimChar"/>
              </w:rPr>
              <w:t xml:space="preserve">vertex</w:t>
            </w:r>
          </w:p>
        </w:tc>
      </w:tr>
      <w:tr>
        <w:tc>
          <w:tcPr/>
          <w:p>
            <w:pPr>
              <w:pStyle w:val="Compact"/>
            </w:pPr>
            <w:r>
              <w:rPr>
                <w:rStyle w:val="VerbatimChar"/>
              </w:rPr>
              <w:t xml:space="preserve">LLM_MODEL</w:t>
            </w:r>
          </w:p>
        </w:tc>
        <w:tc>
          <w:tcPr/>
          <w:p>
            <w:pPr>
              <w:pStyle w:val="Compact"/>
            </w:pPr>
            <w:r>
              <w:t xml:space="preserve">Primary Gemini model</w:t>
            </w:r>
          </w:p>
        </w:tc>
        <w:tc>
          <w:tcPr/>
          <w:p>
            <w:pPr>
              <w:pStyle w:val="Compact"/>
            </w:pPr>
            <w:r>
              <w:rPr>
                <w:rStyle w:val="VerbatimChar"/>
              </w:rPr>
              <w:t xml:space="preserve">gemini-2.5-flash</w:t>
            </w:r>
          </w:p>
        </w:tc>
      </w:tr>
      <w:tr>
        <w:tc>
          <w:tcPr/>
          <w:p>
            <w:pPr>
              <w:pStyle w:val="Compact"/>
            </w:pPr>
            <w:r>
              <w:rPr>
                <w:rStyle w:val="VerbatimChar"/>
              </w:rPr>
              <w:t xml:space="preserve">LLM_PRACTICE_MODEL</w:t>
            </w:r>
          </w:p>
        </w:tc>
        <w:tc>
          <w:tcPr/>
          <w:p>
            <w:pPr>
              <w:pStyle w:val="Compact"/>
            </w:pPr>
            <w:r>
              <w:t xml:space="preserve">Cheaper model used for interview practice feedback</w:t>
            </w:r>
          </w:p>
        </w:tc>
        <w:tc>
          <w:tcPr/>
          <w:p>
            <w:pPr>
              <w:pStyle w:val="Compact"/>
            </w:pPr>
            <w:r>
              <w:t xml:space="preserve">(empty → falls back to</w:t>
            </w:r>
            <w:r>
              <w:t xml:space="preserve"> </w:t>
            </w:r>
            <w:r>
              <w:rPr>
                <w:rStyle w:val="VerbatimChar"/>
              </w:rPr>
              <w:t xml:space="preserve">LLM_MODEL</w:t>
            </w:r>
            <w:r>
              <w:t xml:space="preserve">)</w:t>
            </w:r>
          </w:p>
        </w:tc>
      </w:tr>
      <w:tr>
        <w:tc>
          <w:tcPr/>
          <w:p>
            <w:pPr>
              <w:pStyle w:val="Compact"/>
            </w:pPr>
            <w:r>
              <w:rPr>
                <w:rStyle w:val="VerbatimChar"/>
              </w:rPr>
              <w:t xml:space="preserve">VERTEX_PROJECT_ID</w:t>
            </w:r>
          </w:p>
        </w:tc>
        <w:tc>
          <w:tcPr/>
          <w:p>
            <w:pPr>
              <w:pStyle w:val="Compact"/>
            </w:pPr>
            <w:r>
              <w:t xml:space="preserve">Google Cloud project</w:t>
            </w:r>
          </w:p>
        </w:tc>
        <w:tc>
          <w:tcPr/>
          <w:p>
            <w:pPr>
              <w:pStyle w:val="Compact"/>
            </w:pPr>
            <w:r>
              <w:t xml:space="preserve">(must override)</w:t>
            </w:r>
          </w:p>
        </w:tc>
      </w:tr>
      <w:tr>
        <w:tc>
          <w:tcPr/>
          <w:p>
            <w:pPr>
              <w:pStyle w:val="Compact"/>
            </w:pPr>
            <w:r>
              <w:rPr>
                <w:rStyle w:val="VerbatimChar"/>
              </w:rPr>
              <w:t xml:space="preserve">VERTEX_LOCATION</w:t>
            </w:r>
          </w:p>
        </w:tc>
        <w:tc>
          <w:tcPr/>
          <w:p>
            <w:pPr>
              <w:pStyle w:val="Compact"/>
            </w:pPr>
            <w:r>
              <w:t xml:space="preserve">Vertex region</w:t>
            </w:r>
          </w:p>
        </w:tc>
        <w:tc>
          <w:tcPr/>
          <w:p>
            <w:pPr>
              <w:pStyle w:val="Compact"/>
            </w:pPr>
            <w:r>
              <w:rPr>
                <w:rStyle w:val="VerbatimChar"/>
              </w:rPr>
              <w:t xml:space="preserve">us-central1</w:t>
            </w:r>
          </w:p>
        </w:tc>
      </w:tr>
      <w:tr>
        <w:tc>
          <w:tcPr/>
          <w:p>
            <w:pPr>
              <w:pStyle w:val="Compact"/>
            </w:pPr>
            <w:r>
              <w:rPr>
                <w:rStyle w:val="VerbatimChar"/>
              </w:rPr>
              <w:t xml:space="preserve">BLENDED_SCORING_ENABLED</w:t>
            </w:r>
          </w:p>
        </w:tc>
        <w:tc>
          <w:tcPr/>
          <w:p>
            <w:pPr>
              <w:pStyle w:val="Compact"/>
            </w:pPr>
            <w:r>
              <w:t xml:space="preserve">Apply 60/40 LLM/heuristic blend</w:t>
            </w:r>
          </w:p>
        </w:tc>
        <w:tc>
          <w:tcPr/>
          <w:p>
            <w:pPr>
              <w:pStyle w:val="Compact"/>
            </w:pPr>
            <w:r>
              <w:rPr>
                <w:rStyle w:val="VerbatimChar"/>
              </w:rPr>
              <w:t xml:space="preserve">true</w:t>
            </w:r>
          </w:p>
        </w:tc>
      </w:tr>
      <w:tr>
        <w:tc>
          <w:tcPr/>
          <w:p>
            <w:pPr>
              <w:pStyle w:val="Compact"/>
            </w:pPr>
            <w:r>
              <w:rPr>
                <w:rStyle w:val="VerbatimChar"/>
              </w:rPr>
              <w:t xml:space="preserve">SCORING_MODE</w:t>
            </w:r>
          </w:p>
        </w:tc>
        <w:tc>
          <w:tcPr/>
          <w:p>
            <w:pPr>
              <w:pStyle w:val="Compact"/>
            </w:pPr>
            <w:r>
              <w:t xml:space="preserve">Scoring core mode (</w:t>
            </w:r>
            <w:r>
              <w:rPr>
                <w:rStyle w:val="VerbatimChar"/>
              </w:rPr>
              <w:t xml:space="preserve">blended</w:t>
            </w:r>
            <w:r>
              <w:t xml:space="preserve"> </w:t>
            </w:r>
            <w:r>
              <w:t xml:space="preserve">or</w:t>
            </w:r>
            <w:r>
              <w:t xml:space="preserve"> </w:t>
            </w:r>
            <w:r>
              <w:rPr>
                <w:rStyle w:val="VerbatimChar"/>
              </w:rPr>
              <w:t xml:space="preserve">heuristic</w:t>
            </w:r>
            <w:r>
              <w:t xml:space="preserve">) — added with the comparative study</w:t>
            </w:r>
          </w:p>
        </w:tc>
        <w:tc>
          <w:tcPr/>
          <w:p>
            <w:pPr>
              <w:pStyle w:val="Compact"/>
            </w:pPr>
            <w:r>
              <w:rPr>
                <w:rStyle w:val="VerbatimChar"/>
              </w:rPr>
              <w:t xml:space="preserve">blended</w:t>
            </w:r>
          </w:p>
        </w:tc>
      </w:tr>
      <w:tr>
        <w:tc>
          <w:tcPr/>
          <w:p>
            <w:pPr>
              <w:pStyle w:val="Compact"/>
            </w:pPr>
            <w:r>
              <w:rPr>
                <w:rStyle w:val="VerbatimChar"/>
              </w:rPr>
              <w:t xml:space="preserve">RESULT_CACHE_ENABLED</w:t>
            </w:r>
          </w:p>
        </w:tc>
        <w:tc>
          <w:tcPr/>
          <w:p>
            <w:pPr>
              <w:pStyle w:val="Compact"/>
            </w:pPr>
            <w:r>
              <w:t xml:space="preserve">In-memory cache</w:t>
            </w:r>
          </w:p>
        </w:tc>
        <w:tc>
          <w:tcPr/>
          <w:p>
            <w:pPr>
              <w:pStyle w:val="Compact"/>
            </w:pPr>
            <w:r>
              <w:rPr>
                <w:rStyle w:val="VerbatimChar"/>
              </w:rPr>
              <w:t xml:space="preserve">true</w:t>
            </w:r>
          </w:p>
        </w:tc>
      </w:tr>
      <w:tr>
        <w:tc>
          <w:tcPr/>
          <w:p>
            <w:pPr>
              <w:pStyle w:val="Compact"/>
            </w:pPr>
            <w:r>
              <w:rPr>
                <w:rStyle w:val="VerbatimChar"/>
              </w:rPr>
              <w:t xml:space="preserve">RESULT_CACHE_TTL_SECONDS</w:t>
            </w:r>
          </w:p>
        </w:tc>
        <w:tc>
          <w:tcPr/>
          <w:p>
            <w:pPr>
              <w:pStyle w:val="Compact"/>
            </w:pPr>
            <w:r>
              <w:t xml:space="preserve">Cache TTL</w:t>
            </w:r>
          </w:p>
        </w:tc>
        <w:tc>
          <w:tcPr/>
          <w:p>
            <w:pPr>
              <w:pStyle w:val="Compact"/>
            </w:pPr>
            <w:r>
              <w:t xml:space="preserve">3600</w:t>
            </w:r>
          </w:p>
        </w:tc>
      </w:tr>
      <w:tr>
        <w:tc>
          <w:tcPr/>
          <w:p>
            <w:pPr>
              <w:pStyle w:val="Compact"/>
            </w:pPr>
            <w:r>
              <w:rPr>
                <w:rStyle w:val="VerbatimChar"/>
              </w:rPr>
              <w:t xml:space="preserve">CORS_ORIGINS</w:t>
            </w:r>
          </w:p>
        </w:tc>
        <w:tc>
          <w:tcPr/>
          <w:p>
            <w:pPr>
              <w:pStyle w:val="Compact"/>
            </w:pPr>
            <w:r>
              <w:t xml:space="preserve">Allowed CORS origins</w:t>
            </w:r>
          </w:p>
        </w:tc>
        <w:tc>
          <w:tcPr/>
          <w:p>
            <w:pPr>
              <w:pStyle w:val="Compact"/>
            </w:pPr>
            <w:r>
              <w:rPr>
                <w:rStyle w:val="VerbatimChar"/>
              </w:rPr>
              <w:t xml:space="preserve">localhost</w:t>
            </w:r>
            <w:r>
              <w:t xml:space="preserve"> </w:t>
            </w:r>
            <w:r>
              <w:t xml:space="preserve">defaults</w:t>
            </w:r>
          </w:p>
        </w:tc>
      </w:tr>
      <w:tr>
        <w:tc>
          <w:tcPr/>
          <w:p>
            <w:pPr>
              <w:pStyle w:val="Compact"/>
            </w:pPr>
            <w:r>
              <w:rPr>
                <w:rStyle w:val="VerbatimChar"/>
              </w:rPr>
              <w:t xml:space="preserve">FRONTEND_URL</w:t>
            </w:r>
          </w:p>
        </w:tc>
        <w:tc>
          <w:tcPr/>
          <w:p>
            <w:pPr>
              <w:pStyle w:val="Compact"/>
            </w:pPr>
            <w:r>
              <w:t xml:space="preserve">Canonical frontend URL</w:t>
            </w:r>
          </w:p>
        </w:tc>
        <w:tc>
          <w:tcPr/>
          <w:p>
            <w:pPr>
              <w:pStyle w:val="Compact"/>
            </w:pPr>
            <w:r>
              <w:t xml:space="preserve">(set in production)</w:t>
            </w:r>
          </w:p>
        </w:tc>
      </w:tr>
      <w:tr>
        <w:tc>
          <w:tcPr/>
          <w:p>
            <w:pPr>
              <w:pStyle w:val="Compact"/>
            </w:pPr>
            <w:r>
              <w:rPr>
                <w:rStyle w:val="VerbatimChar"/>
              </w:rPr>
              <w:t xml:space="preserve">GOOGLE_CLIENT_ID</w:t>
            </w:r>
            <w:r>
              <w:t xml:space="preserve"> </w:t>
            </w:r>
            <w:r>
              <w:t xml:space="preserve">/</w:t>
            </w:r>
            <w:r>
              <w:t xml:space="preserve"> </w:t>
            </w:r>
            <w:r>
              <w:rPr>
                <w:rStyle w:val="VerbatimChar"/>
              </w:rPr>
              <w:t xml:space="preserve">GOOGLE_CLIENT_SECRET</w:t>
            </w:r>
            <w:r>
              <w:t xml:space="preserve"> </w:t>
            </w:r>
            <w:r>
              <w:t xml:space="preserve">/</w:t>
            </w:r>
            <w:r>
              <w:t xml:space="preserve"> </w:t>
            </w:r>
            <w:r>
              <w:rPr>
                <w:rStyle w:val="VerbatimChar"/>
              </w:rPr>
              <w:t xml:space="preserve">GOOGLE_REDIRECT_URI</w:t>
            </w:r>
          </w:p>
        </w:tc>
        <w:tc>
          <w:tcPr/>
          <w:p>
            <w:pPr>
              <w:pStyle w:val="Compact"/>
            </w:pPr>
            <w:r>
              <w:t xml:space="preserve">Google OAuth</w:t>
            </w:r>
          </w:p>
        </w:tc>
        <w:tc>
          <w:tcPr/>
          <w:p>
            <w:pPr>
              <w:pStyle w:val="Compact"/>
            </w:pPr>
            <w:r>
              <w:t xml:space="preserve">(must override)</w:t>
            </w:r>
          </w:p>
        </w:tc>
      </w:tr>
      <w:tr>
        <w:tc>
          <w:tcPr/>
          <w:p>
            <w:pPr>
              <w:pStyle w:val="Compact"/>
            </w:pPr>
            <w:r>
              <w:rPr>
                <w:rStyle w:val="VerbatimChar"/>
              </w:rPr>
              <w:t xml:space="preserve">RESEND_API_KEY</w:t>
            </w:r>
          </w:p>
        </w:tc>
        <w:tc>
          <w:tcPr/>
          <w:p>
            <w:pPr>
              <w:pStyle w:val="Compact"/>
            </w:pPr>
            <w:r>
              <w:t xml:space="preserve">Transactional email</w:t>
            </w:r>
          </w:p>
        </w:tc>
        <w:tc>
          <w:tcPr/>
          <w:p>
            <w:pPr>
              <w:pStyle w:val="Compact"/>
            </w:pPr>
            <w:r>
              <w:t xml:space="preserve">(must override)</w:t>
            </w:r>
          </w:p>
        </w:tc>
      </w:tr>
      <w:tr>
        <w:tc>
          <w:tcPr/>
          <w:p>
            <w:pPr>
              <w:pStyle w:val="Compact"/>
            </w:pPr>
            <w:r>
              <w:rPr>
                <w:rStyle w:val="VerbatimChar"/>
              </w:rPr>
              <w:t xml:space="preserve">SENTRY_DSN</w:t>
            </w:r>
          </w:p>
        </w:tc>
        <w:tc>
          <w:tcPr/>
          <w:p>
            <w:pPr>
              <w:pStyle w:val="Compact"/>
            </w:pPr>
            <w:r>
              <w:t xml:space="preserve">Error tracking</w:t>
            </w:r>
          </w:p>
        </w:tc>
        <w:tc>
          <w:tcPr/>
          <w:p>
            <w:pPr>
              <w:pStyle w:val="Compact"/>
            </w:pPr>
            <w:r>
              <w:t xml:space="preserve">(empty disables)</w:t>
            </w:r>
          </w:p>
        </w:tc>
      </w:tr>
    </w:tbl>
    <w:bookmarkEnd w:id="147"/>
    <w:bookmarkStart w:id="148" w:name="d.2-administrative-endpoints"/>
    <w:p>
      <w:pPr>
        <w:pStyle w:val="Heading3"/>
      </w:pPr>
      <w:r>
        <w:t xml:space="preserve">D.2 Administrative endpoints</w:t>
      </w:r>
    </w:p>
    <w:p>
      <w:pPr>
        <w:pStyle w:val="FirstParagraph"/>
      </w:pPr>
      <w:r>
        <w:t xml:space="preserve">The administrative HTTP API used for the comparative study is exposed under</w:t>
      </w:r>
      <w:r>
        <w:t xml:space="preserve"> </w:t>
      </w:r>
      <w:r>
        <w:rPr>
          <w:rStyle w:val="VerbatimChar"/>
        </w:rPr>
        <w:t xml:space="preserve">/api/v1/admin/</w:t>
      </w:r>
      <w:r>
        <w:t xml:space="preserve">:</w:t>
      </w:r>
    </w:p>
    <w:p>
      <w:pPr>
        <w:pStyle w:val="Compact"/>
        <w:numPr>
          <w:ilvl w:val="0"/>
          <w:numId w:val="1009"/>
        </w:numPr>
      </w:pPr>
      <w:r>
        <w:rPr>
          <w:rStyle w:val="VerbatimChar"/>
        </w:rPr>
        <w:t xml:space="preserve">GET /api/v1/admin/scoring-mode</w:t>
      </w:r>
      <w:r>
        <w:t xml:space="preserve"> </w:t>
      </w:r>
      <w:r>
        <w:t xml:space="preserve">→</w:t>
      </w:r>
      <w:r>
        <w:t xml:space="preserve"> </w:t>
      </w:r>
      <w:r>
        <w:rPr>
          <w:rStyle w:val="VerbatimChar"/>
        </w:rPr>
        <w:t xml:space="preserve">AdminScoringModeResponse</w:t>
      </w:r>
    </w:p>
    <w:p>
      <w:pPr>
        <w:pStyle w:val="Compact"/>
        <w:numPr>
          <w:ilvl w:val="0"/>
          <w:numId w:val="1009"/>
        </w:numPr>
      </w:pPr>
      <w:r>
        <w:rPr>
          <w:rStyle w:val="VerbatimChar"/>
        </w:rPr>
        <w:t xml:space="preserve">POST /api/v1/admin/scoring-mode</w:t>
      </w:r>
      <w:r>
        <w:t xml:space="preserve"> </w:t>
      </w:r>
      <w:r>
        <w:t xml:space="preserve">with body</w:t>
      </w:r>
      <w:r>
        <w:t xml:space="preserve"> </w:t>
      </w:r>
      <w:r>
        <w:rPr>
          <w:rStyle w:val="VerbatimChar"/>
        </w:rPr>
        <w:t xml:space="preserve">{ "mode": "blended" | "heuristic" }</w:t>
      </w:r>
      <w:r>
        <w:t xml:space="preserve"> </w:t>
      </w:r>
      <w:r>
        <w:t xml:space="preserve">→ returns the updated</w:t>
      </w:r>
      <w:r>
        <w:t xml:space="preserve"> </w:t>
      </w:r>
      <w:r>
        <w:rPr>
          <w:rStyle w:val="VerbatimChar"/>
        </w:rPr>
        <w:t xml:space="preserve">AdminScoringModeResponse</w:t>
      </w:r>
    </w:p>
    <w:p>
      <w:pPr>
        <w:pStyle w:val="FirstParagraph"/>
      </w:pPr>
      <w:r>
        <w:t xml:space="preserve">The response shape is:</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"blended"</w:t>
      </w:r>
      <w:r>
        <w:rPr>
          <w:rStyle w:val="FunctionTok"/>
        </w:rPr>
        <w:t xml:space="preserve">,</w:t>
      </w:r>
      <w:r>
        <w:br/>
      </w:r>
      <w:r>
        <w:rPr>
          <w:rStyle w:val="NormalTok"/>
        </w:rPr>
        <w:t xml:space="preserve">  </w:t>
      </w:r>
      <w:r>
        <w:rPr>
          <w:rStyle w:val="DataTypeTok"/>
        </w:rPr>
        <w:t xml:space="preserve">"heuristic_version"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"blended_weight_heuristic"</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"blended_weight_llm"</w:t>
      </w:r>
      <w:r>
        <w:rPr>
          <w:rStyle w:val="FunctionTok"/>
        </w:rPr>
        <w:t xml:space="preserve">:</w:t>
      </w:r>
      <w:r>
        <w:rPr>
          <w:rStyle w:val="NormalTok"/>
        </w:rPr>
        <w:t xml:space="preserve"> </w:t>
      </w:r>
      <w:r>
        <w:rPr>
          <w:rStyle w:val="FloatTok"/>
        </w:rPr>
        <w:t xml:space="preserve">0.6</w:t>
      </w:r>
      <w:r>
        <w:br/>
      </w:r>
      <w:r>
        <w:rPr>
          <w:rStyle w:val="FunctionTok"/>
        </w:rPr>
        <w:t xml:space="preserve">}</w:t>
      </w:r>
    </w:p>
    <w:p>
      <w:pPr>
        <w:pStyle w:val="FirstParagraph"/>
      </w:pPr>
      <w:r>
        <w:t xml:space="preserve">Both endpoints require an authenticated administrator (the</w:t>
      </w:r>
      <w:r>
        <w:t xml:space="preserve"> </w:t>
      </w:r>
      <w:r>
        <w:rPr>
          <w:rStyle w:val="VerbatimChar"/>
        </w:rPr>
        <w:t xml:space="preserve">users.is_admin</w:t>
      </w:r>
      <w:r>
        <w:t xml:space="preserve"> </w:t>
      </w:r>
      <w:r>
        <w:t xml:space="preserve">flag controls access) and are rate-limited at 60 requests per minute per administrator. The runtime mode change is held in process memory only; restarting the backend restores the configured default from the</w:t>
      </w:r>
      <w:r>
        <w:t xml:space="preserve"> </w:t>
      </w:r>
      <w:r>
        <w:rPr>
          <w:rStyle w:val="VerbatimChar"/>
        </w:rPr>
        <w:t xml:space="preserve">SCORING_MODE</w:t>
      </w:r>
      <w:r>
        <w:t xml:space="preserve"> </w:t>
      </w:r>
      <w:r>
        <w:t xml:space="preserve">environment variable.</w:t>
      </w:r>
    </w:p>
    <w:bookmarkEnd w:id="148"/>
    <w:bookmarkStart w:id="149" w:name="d.3-running-the-evaluation-harness"/>
    <w:p>
      <w:pPr>
        <w:pStyle w:val="Heading3"/>
      </w:pPr>
      <w:r>
        <w:t xml:space="preserve">D.3 Running the evaluation harness</w:t>
      </w:r>
    </w:p>
    <w:p>
      <w:pPr>
        <w:pStyle w:val="SourceCode"/>
      </w:pPr>
      <w:r>
        <w:rPr>
          <w:rStyle w:val="VerbatimChar"/>
        </w:rPr>
        <w:t xml:space="preserve">$ cd backend</w:t>
      </w:r>
      <w:r>
        <w:br/>
      </w:r>
      <w:r>
        <w:rPr>
          <w:rStyle w:val="VerbatimChar"/>
        </w:rPr>
        <w:t xml:space="preserve">$ SCORING_MODE=blended RESULT_CACHE_ENABLED=false \</w:t>
      </w:r>
      <w:r>
        <w:br/>
      </w:r>
      <w:r>
        <w:rPr>
          <w:rStyle w:val="VerbatimChar"/>
        </w:rPr>
        <w:t xml:space="preserve">  python ../scripts/eval_scoring.py</w:t>
      </w:r>
      <w:r>
        <w:br/>
      </w:r>
      <w:r>
        <w:rPr>
          <w:rStyle w:val="VerbatimChar"/>
        </w:rPr>
        <w:t xml:space="preserve">$ python ../scripts/analyze_eval_results.py &gt; ../thesis/chapter-04-results.md</w:t>
      </w:r>
    </w:p>
    <w:p>
      <w:pPr>
        <w:pStyle w:val="FirstParagraph"/>
      </w:pPr>
      <w:r>
        <w:t xml:space="preserve">The harness writes</w:t>
      </w:r>
      <w:r>
        <w:t xml:space="preserve"> </w:t>
      </w:r>
      <w:r>
        <w:rPr>
          <w:rStyle w:val="VerbatimChar"/>
        </w:rPr>
        <w:t xml:space="preserve">thesis/eval-results.json</w:t>
      </w:r>
      <w:r>
        <w:t xml:space="preserve">; the analyzer prints the Markdown tables ready to paste into Chapter 4.3.</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93" Target="media/rId93.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2026-05-07T23:08:53Z</dcterms:created>
  <dcterms:modified xsi:type="dcterms:W3CDTF">2026-05-07T23:08:53Z</dcterms:modified>
</cp:coreProperties>
</file>

<file path=docProps/custom.xml><?xml version="1.0" encoding="utf-8"?>
<Properties xmlns="http://schemas.openxmlformats.org/officeDocument/2006/custom-properties" xmlns:vt="http://schemas.openxmlformats.org/officeDocument/2006/docPropsVTypes"/>
</file>