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analizie słów kluczowych TF–IDF z rankingiem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stanowią deterministycznie wygenerowane syntetyczne CV oraz syntetyczne opisy stanowisk skonstruowane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Tryb mieszany pozostaje wartościowy w ocenie jakości prozy: na 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zgodność między obydwoma trybami spada do</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wskazuje, że jest to wymiar, na którym deterministyczna heurystyka nie zastępuje modelu językowego. Ograniczenia obejmują zakres jednojęzyczny (angielski), syntetyczny zbiór jednego autora oraz pojedynczą konfigurację dostawcy modelu językowego. Praca przyszła obejmuje integrację komponentu wyszukiwania wspomagającego, rozszerzenie o CV w języku polskim oraz uzupełnienie heurystyki o pośredni poziom dopasowania semantycznego oparty na transformatorach zdań.</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P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12" w:lineRule="auto" w:after="8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12" w:lineRule="auto" w:after="80"/>
        <w:ind w:firstLine="283"/>
        <w:jc w:val="both"/>
      </w:pP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4"/>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most of what a recruiter scans for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[16, 17] demonstrates that LLM-based agents reduce the time-to-decision in resume screening relative to manual review and produce qualitatively richer feedback than keyword-overlap baselines; a complementary semantic-modeling and feedback-loop architecture for resume enhancement is reported in [19].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[28] 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retry-after-timeout case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 cross-model comparisons remain a known limitation of LLM-as-judge evaluations [29].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12" w:lineRule="auto" w:after="8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but strong enough on aggregate ranking and on legitimate skill-overlap evidence (keywords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to justify its place in the deployed system as both an emergency fallback and a runtime-switchable mode for cost-sensitive or audit-sensitive deployments.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0.476, 0.765]).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strong-agreement-within-this-synthetic-evaluation-set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 T4 (post-hoc heuristic design) remains a disclosed limitation rather than a closed one.</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four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four: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p>
      <w:pPr>
        <w:pStyle w:val="BodyText"/>
        <w:spacing w:line="312" w:lineRule="auto" w:after="80"/>
        <w:jc w:val="both"/>
      </w:pPr>
      <w:r>
        <w:rPr>
          <w:rFonts w:ascii="Times New Roman" w:hAnsi="Times New Roman" w:eastAsia="Times New Roman" w:cs="Times New Roman"/>
          <w:color w:val="000000"/>
          <w:sz w:val="24"/>
        </w:rPr>
        <w:t xml:space="preserve">[28] A. C. Cameron, J. B. Gelbach, and D. L. Miller,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“Bootstrap-based improvements for inference with clustered errors,”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Review of Economics and Statistics</w:t>
      </w:r>
      <w:r>
        <w:rPr>
          <w:rFonts w:ascii="Times New Roman" w:hAnsi="Times New Roman" w:eastAsia="Times New Roman" w:cs="Times New Roman"/>
          <w:color w:val="000000"/>
          <w:sz w:val="24"/>
        </w:rPr>
        <w:t xml:space="preserve">, vol. 90, no. 3, pp. 414–427, 2008. https://doi.org/10.1162/rest.90.3.414</w:t>
      </w:r>
    </w:p>
    <w:p>
      <w:pPr>
        <w:pStyle w:val="BodyText"/>
        <w:spacing w:line="312" w:lineRule="auto" w:after="80"/>
        <w:jc w:val="both"/>
      </w:pPr>
      <w:r>
        <w:rPr>
          <w:rFonts w:ascii="Times New Roman" w:hAnsi="Times New Roman" w:eastAsia="Times New Roman" w:cs="Times New Roman"/>
          <w:color w:val="000000"/>
          <w:sz w:val="24"/>
        </w:rPr>
        <w:t xml:space="preserve">[29] L. Zheng, W.-L. Chiang, Y. Sheng, S. Zhuang, Z. Wu, Y. Zhuang, Z. Lin, Z. Li, D. Li, E. P. Xing, H. Zhang, J. E. Gonzalez, and I. Stoica,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“Judging LLM-as-a-Judge with MT-Bench and Chatbot Arena,”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Advances in Neural Information Processing Systems</w:t>
      </w:r>
      <w:r>
        <w:rPr>
          <w:rFonts w:ascii="Times New Roman" w:hAnsi="Times New Roman" w:eastAsia="Times New Roman" w:cs="Times New Roman"/>
          <w:color w:val="000000"/>
          <w:sz w:val="24"/>
        </w:rPr>
        <w:t xml:space="preserve">, vol. 36, 2023. https://arxiv.org/abs/2306.05685</w:t>
      </w:r>
    </w:p>
    <w:bookmarkEnd w:id="128"/>
    <w:bookmarkStart w:id="129"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9"/>
    <w:bookmarkEnd w:id="130"/>
    <w:bookmarkStart w:id="162"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5"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31"/>
    <w:bookmarkStart w:id="132"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32"/>
    <w:bookmarkStart w:id="133"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33"/>
    <w:bookmarkStart w:id="134"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4"/>
    <w:bookmarkEnd w:id="135"/>
    <w:bookmarkStart w:id="140"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6"/>
    <w:bookmarkStart w:id="137"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9"/>
    <w:bookmarkEnd w:id="140"/>
    <w:bookmarkStart w:id="157"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4"/>
    <w:bookmarkStart w:id="148"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6"/>
    <w:bookmarkEnd w:id="157"/>
    <w:bookmarkStart w:id="161"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8"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8"/>
    <w:bookmarkStart w:id="159"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9"/>
    <w:bookmarkStart w:id="160"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../thesis/chapter-04-results.md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60"/>
    <w:bookmarkEnd w:id="161"/>
    <w:bookmarkEnd w:id="162"/>
    <w:sectPr>
      <w:type w:val="nextPage"/>
      <w:footerReference w:type="default" r:id="rId154"/>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2026-05-09T08:34:50Z</dcterms:created>
  <dcterms:modified xsi:type="dcterms:W3CDTF">2026-05-09T08:34:50Z</dcterms:modified>
</cp:coreProperties>
</file>

<file path=docProps/custom.xml><?xml version="1.0" encoding="utf-8"?>
<Properties xmlns="http://schemas.openxmlformats.org/officeDocument/2006/custom-properties" xmlns:vt="http://schemas.openxmlformats.org/officeDocument/2006/docPropsVTypes"/>
</file>