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45.png" ContentType="image/png"/>
  <Override PartName="/word/media/rId93.png" ContentType="image/png"/>
  <Override PartName="/word/media/rId124.png" ContentType="image/png"/>
  <Override PartName="/word/media/rId128.png" ContentType="image/png"/>
  <Override PartName="/word/media/rId132.png" ContentType="image/png"/>
  <Override PartName="/word/media/rId1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Pr>
      <w:r>
        <w:t xml:space="preserve">Bachelor Thesis</w:t>
      </w:r>
    </w:p>
    <w:bookmarkStart w:id="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Pr>
      <w:r>
        <w:t xml:space="preserve">Abstract — Streszczenie / Abstract</w:t>
      </w:r>
    </w:p>
    <w:p>
      <w:r>
        <w:pict>
          <v:rect style="width:0;height:1.5pt" o:hralign="center" o:hrstd="t" o:hr="t"/>
        </w:pict>
      </w:r>
    </w:p>
    <w:bookmarkStart w:id="1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 analizę CV, dopasowanie do oferty pracy, sugestię ścieżki kariery, generowanie listu motywacyjnego, przygotowanie do rozmowy kwalifikacyjnej oraz planowanie portfolio —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łączący deterministyczną heurystykę ze strukturalnym wyjściem modelu językowego (40% / 60%), oraz</w:t>
      </w:r>
      <w:r>
        <w:rPr>
          <w:lang w:val="pl"/>
        </w:rPr>
        <w:t xml:space="preserve"> </w:t>
      </w:r>
      <w:r>
        <w:rPr>
          <w:i/>
          <w:iCs/>
          <w:lang w:val="pl"/>
        </w:rPr>
        <w:t xml:space="preserve">tryb w pełni heurystyczny</w:t>
      </w:r>
      <w:r>
        <w:rPr>
          <w:lang w:val="pl"/>
        </w:rPr>
        <w:t xml:space="preserve"> </w:t>
      </w:r>
      <w:r>
        <w:rPr>
          <w:lang w:val="pl"/>
        </w:rPr>
        <w:t xml:space="preserve">oparty na klasycznych metodach wyszukiwania informacji —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
        </w:rPr>
        <w:t xml:space="preserve"> </w:t>
      </w:r>
      <w:r>
        <w:rPr>
          <w:i/>
          <w:iCs/>
          <w:lang w:val="pl"/>
        </w:rPr>
        <w:t xml:space="preserve">syntetyczne CV oraz syntetyczne opisy stanowisk</w:t>
      </w:r>
      <w:r>
        <w:rPr>
          <w:lang w:val="pl"/>
        </w:rPr>
        <w:t xml:space="preserve"> </w:t>
      </w:r>
      <w:r>
        <w:rPr>
          <w:lang w:val="pl"/>
        </w:rPr>
        <w:t xml:space="preserve">skonstruowane z rozłącznych słownikowo pul fraz — strona CV i strona opisu stanowiska nie współdzielą słownictwa treściowego poza kanonicznymi nazwami umiejętności;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0,836 [95% przedział ufności 0,762, 0,896, bootstrap klastrowy względem identyfikatora CV] oraz Spearmanowskim ρ = 0,847 na wyniku ogólnym, działa około dwa do trzech rzędów wielkości szybciej (mediana 25,5 ms wobec 18,2 s) oraz nie ponosi krańcowego kosztu po stronie modelu językowego. Korelacja między samym modelem językowym a trybem heurystycznym, odzyskana post-hoc z tożsamości formuły mieszanej w celu odseparowania składowej strukturalnej, wynosi</w:t>
      </w:r>
      <w:r>
        <w:rPr>
          <w:lang w:val="pl"/>
        </w:rPr>
        <w:t xml:space="preserve"> </w:t>
      </w:r>
      <w:r>
        <w:rPr>
          <w:i/>
          <w:iCs/>
          <w:lang w:val="pl"/>
        </w:rPr>
        <w:t xml:space="preserve">r</w:t>
      </w:r>
      <w:r>
        <w:rPr>
          <w:lang w:val="pl"/>
        </w:rPr>
        <w:t xml:space="preserve"> </w:t>
      </w:r>
      <w:r>
        <w:rPr>
          <w:lang w:val="pl"/>
        </w:rPr>
        <w:t xml:space="preserve">= 0,627 [95% CI 0,476, 0,765] — jest to zgodność krzyżowa po wyłączeniu 0,40-składnika heurystycznego, który tryb mieszany zawiera z definicji. Tryb mieszany zachowuje nieredukowalną przewagę w zakresie dowodów jakości prozy (podwynik</w:t>
      </w:r>
      <w:r>
        <w:rPr>
          <w:lang w:val="pl"/>
        </w:rPr>
        <w:t xml:space="preserve"> </w:t>
      </w:r>
      <w:r>
        <w:rPr>
          <w:i/>
          <w:iCs/>
          <w:lang w:val="pl"/>
        </w:rPr>
        <w:t xml:space="preserve">clarity</w:t>
      </w:r>
      <w:r>
        <w:rPr>
          <w:lang w:val="pl"/>
        </w:rPr>
        <w:t xml:space="preserve"> </w:t>
      </w:r>
      <w:r>
        <w:rPr>
          <w:i/>
          <w:iCs/>
          <w:lang w:val="pl"/>
        </w:rPr>
        <w:t xml:space="preserve">r</w:t>
      </w:r>
      <w:r>
        <w:rPr>
          <w:lang w:val="pl"/>
        </w:rPr>
        <w:t xml:space="preserve"> </w:t>
      </w:r>
      <w:r>
        <w:rPr>
          <w:lang w:val="pl"/>
        </w:rPr>
        <w:t xml:space="preserve">= 0,395),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11"/>
    <w:bookmarkStart w:id="12" w:name="abstract-english"/>
    <w:p>
      <w:pPr>
        <w:pStyle w:val="Heading2"/>
      </w:pPr>
      <w: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 resume analysis, job-description matching, career-path suggestion, cover-letter generation, interview preparation, and portfolio planning —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w:t>
      </w:r>
      <w:r>
        <w:t xml:space="preserve">under a</w:t>
      </w:r>
      <w:r>
        <w:t xml:space="preserve"> </w:t>
      </w:r>
      <w:r>
        <w:rPr>
          <w:i/>
          <w:iCs/>
        </w:rPr>
        <w:t xml:space="preserve">disjoint-vocabulary</w:t>
      </w:r>
      <w:r>
        <w:t xml:space="preserve"> </w:t>
      </w:r>
      <w:r>
        <w:t xml:space="preserve">construction in which resume-side and JD-side phrase pools share no content-word vocabulary beyond the canonical skill terms;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0.836 [95% confidence interval 0.762, 0.896 under cluster bootstrap on resume identity] and Spearman ρ = 0.847 on the overall score, runs roughly two-to-three orders of magnitude faster (median 25.5 ms vs 18.2 s), and incurs zero LLM-side marginal cost. The post-hoc LLM-only-versus-heuristic correlation, recovered from the locked-prepass identity to isolate the structural blended-formula component, is</w:t>
      </w:r>
      <w:r>
        <w:t xml:space="preserve"> </w:t>
      </w:r>
      <w:r>
        <w:rPr>
          <w:i/>
          <w:iCs/>
        </w:rPr>
        <w:t xml:space="preserve">r</w:t>
      </w:r>
      <w:r>
        <w:t xml:space="preserve"> </w:t>
      </w:r>
      <w:r>
        <w:t xml:space="preserve">= 0.627 [95% CI 0.476, 0.765] — the cross-mode agreement after controlling for the 0.40 heuristic share that the blended mode carries by construction. The blended mode retains an irreducible advantage on prose-quality evidence (clarity sub-score</w:t>
      </w:r>
      <w:r>
        <w:t xml:space="preserve"> </w:t>
      </w:r>
      <w:r>
        <w:rPr>
          <w:i/>
          <w:iCs/>
        </w:rPr>
        <w:t xml:space="preserve">r</w:t>
      </w:r>
      <w:r>
        <w:t xml:space="preserve"> </w:t>
      </w:r>
      <w:r>
        <w:t xml:space="preserve">= 0.395)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 a generic resume editor, a job-board match score, a separate cover-letter prompt, an interview-question generator —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 a sharper resume bullet, a portfolio gap to close, a story to rehearse for an interview —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 and what motivates this thesis —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 films, books, songs, products —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 a resume and a job description —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 strategic-marketing decision-making and operations research —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 —</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 both have well-understood failure modes —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therefore designed</w:t>
      </w:r>
      <w:r>
        <w:t xml:space="preserve"> </w:t>
      </w:r>
      <w:r>
        <w:rPr>
          <w:i/>
          <w:iCs/>
        </w:rPr>
        <w:t xml:space="preserve">after</w:t>
      </w:r>
      <w:r>
        <w:t xml:space="preserve"> </w:t>
      </w:r>
      <w:r>
        <w:t xml:space="preserve">the blended pipeline already existed — a sequencing detail flagged here because it shaped the heuristic toward the specific decisions the language model was already making in production rather than toward an idealised retrieval-research baseline.</w:t>
      </w:r>
    </w:p>
    <w:bookmarkEnd w:id="20"/>
    <w:bookmarkStart w:id="2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 score agreement, score distribution, latency, and per-call cost —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9"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8" w:name="backend-architecture"/>
    <w:p>
      <w:pPr>
        <w:pStyle w:val="Heading2"/>
      </w:pPr>
      <w:r>
        <w:t xml:space="preserve">2.3 Backend architecture</w:t>
      </w:r>
    </w:p>
    <w:p>
      <w:pPr>
        <w:pStyle w:val="FirstParagraph"/>
      </w:pPr>
      <w:r>
        <w:t xml:space="preserve">The backend is structured in four horizontal layers (Figure 2.1).</w:t>
      </w:r>
    </w:p>
    <w:p>
      <w:pPr>
        <w:pStyle w:val="CaptionedFigure"/>
      </w:pPr>
      <w:r>
        <w:drawing>
          <wp:inline>
            <wp:extent cx="5334000" cy="3769267"/>
            <wp:effectExtent b="0" l="0" r="0" t="0"/>
            <wp:docPr descr="Figure 2.1 — Backend layered architecture. The FastAPI surface (routers and schemas) delegates to a service layer that runs every analytical tool through the shared run_tool_pipeline, which in turn invokes the heuristic prepass, the LLM gateway (Vertex AI Gemini 2.5 Flash via ai_client.py), and the persistence layer (SQLAlchemy 2.0 + Alembic over PostgreSQL)." title="" id="29" name="Picture"/>
            <a:graphic>
              <a:graphicData uri="http://schemas.openxmlformats.org/drawingml/2006/picture">
                <pic:pic>
                  <pic:nvPicPr>
                    <pic:cNvPr descr="figures/figure-2-1-architecture.png" id="30" name="Picture"/>
                    <pic:cNvPicPr>
                      <a:picLocks noChangeArrowheads="1" noChangeAspect="1"/>
                    </pic:cNvPicPr>
                  </pic:nvPicPr>
                  <pic:blipFill>
                    <a:blip r:embed="rId28"/>
                    <a:stretch>
                      <a:fillRect/>
                    </a:stretch>
                  </pic:blipFill>
                  <pic:spPr bwMode="auto">
                    <a:xfrm>
                      <a:off x="0" y="0"/>
                      <a:ext cx="5334000" cy="3769267"/>
                    </a:xfrm>
                    <a:prstGeom prst="rect">
                      <a:avLst/>
                    </a:prstGeom>
                    <a:noFill/>
                    <a:ln w="9525">
                      <a:noFill/>
                      <a:headEnd/>
                      <a:tailEnd/>
                    </a:ln>
                  </pic:spPr>
                </pic:pic>
              </a:graphicData>
            </a:graphic>
          </wp:inline>
        </w:drawing>
      </w:r>
    </w:p>
    <w:p>
      <w:pPr>
        <w:pStyle w:val="ImageCaption"/>
      </w:pPr>
      <w:r>
        <w:t xml:space="preserve">Figure 2.1 — Backend layered architecture. The FastAPI surface (routers and schemas) delegates to a service layer that runs every analytical tool through the shared</w:t>
      </w:r>
      <w:r>
        <w:t xml:space="preserve"> </w:t>
      </w:r>
      <w:r>
        <w:rPr>
          <w:rStyle w:val="VerbatimChar"/>
        </w:rPr>
        <w:t xml:space="preserve">run_tool_pipeline</w:t>
      </w:r>
      <w:r>
        <w:t xml:space="preserve">, which in turn invokes the heuristic prepass, the LLM gateway (Vertex AI Gemini 2.5 Flash via</w:t>
      </w:r>
      <w:r>
        <w:t xml:space="preserve"> </w:t>
      </w:r>
      <w:r>
        <w:rPr>
          <w:rStyle w:val="VerbatimChar"/>
        </w:rPr>
        <w:t xml:space="preserve">ai_client.py</w:t>
      </w:r>
      <w:r>
        <w:t xml:space="preserve">), and the persistence layer (SQLAlchemy 2.0 + Alembic over PostgreSQL).</w:t>
      </w:r>
    </w:p>
    <w:bookmarkStart w:id="31"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31"/>
    <w:bookmarkStart w:id="35"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CaptionedFigure"/>
      </w:pPr>
      <w:r>
        <w:drawing>
          <wp:inline>
            <wp:extent cx="5334000" cy="1274352"/>
            <wp:effectExtent b="0" l="0" r="0" t="0"/>
            <wp:docPr descr="Figure 2.2 — Tool pipeline (run_tool_pipelin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 title="" id="33" name="Picture"/>
            <a:graphic>
              <a:graphicData uri="http://schemas.openxmlformats.org/drawingml/2006/picture">
                <pic:pic>
                  <pic:nvPicPr>
                    <pic:cNvPr descr="figures/figure-2-2-pipeline.png" id="34" name="Picture"/>
                    <pic:cNvPicPr>
                      <a:picLocks noChangeArrowheads="1" noChangeAspect="1"/>
                    </pic:cNvPicPr>
                  </pic:nvPicPr>
                  <pic:blipFill>
                    <a:blip r:embed="rId32"/>
                    <a:stretch>
                      <a:fillRect/>
                    </a:stretch>
                  </pic:blipFill>
                  <pic:spPr bwMode="auto">
                    <a:xfrm>
                      <a:off x="0" y="0"/>
                      <a:ext cx="5334000" cy="1274352"/>
                    </a:xfrm>
                    <a:prstGeom prst="rect">
                      <a:avLst/>
                    </a:prstGeom>
                    <a:noFill/>
                    <a:ln w="9525">
                      <a:noFill/>
                      <a:headEnd/>
                      <a:tailEnd/>
                    </a:ln>
                  </pic:spPr>
                </pic:pic>
              </a:graphicData>
            </a:graphic>
          </wp:inline>
        </w:drawing>
      </w:r>
    </w:p>
    <w:p>
      <w:pPr>
        <w:pStyle w:val="ImageCaption"/>
      </w:pPr>
      <w:r>
        <w:t xml:space="preserve">Figure 2.2 — Tool pipeline (</w:t>
      </w:r>
      <w:r>
        <w:rPr>
          <w:rStyle w:val="VerbatimChar"/>
        </w:rPr>
        <w:t xml:space="preserve">run_tool_pipeline</w:t>
      </w:r>
      <w:r>
        <w:t xml:space="preserve">). Six sequential stages form the cross-cutting wrapper around every analytical tool service: sanitise, cache, service, persist, respond, observe. The LLM gateway is shown as an external dependency exercised inside the service stage, with the four-retry exponential-backoff schedule and the heuristic-only fallback path that activates after the retries are exhausted.</w:t>
      </w:r>
    </w:p>
    <w:p>
      <w:pPr>
        <w:pStyle w:val="BodyText"/>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35"/>
    <w:bookmarkStart w:id="36"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6"/>
    <w:bookmarkStart w:id="37" w:name="the-heuristic-prepass"/>
    <w:p>
      <w:pPr>
        <w:pStyle w:val="Heading3"/>
      </w:pPr>
      <w:r>
        <w:t xml:space="preserve">2.3.4 The heuristic prepass</w:t>
      </w:r>
    </w:p>
    <w:p>
      <w:pPr>
        <w:pStyle w:val="FirstParagraph"/>
      </w:pPr>
      <w:r>
        <w:t xml:space="preserve">For tools that produce a numerical score — Resume Analyzer and Job Match —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7"/>
    <w:bookmarkEnd w:id="38"/>
    <w:bookmarkStart w:id="42"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9"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 a workspace page with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9"/>
    <w:bookmarkStart w:id="40"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 anything that originates from the backend —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 the resume text being carried between tools and the most recent tool result the user is referencing —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 input values, sheet open/closed flags, animation timing —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40"/>
    <w:bookmarkStart w:id="41"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 —</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41"/>
    <w:bookmarkEnd w:id="42"/>
    <w:bookmarkStart w:id="43" w:name="data-model-and-persistence"/>
    <w:p>
      <w:pPr>
        <w:pStyle w:val="Heading2"/>
      </w:pPr>
      <w: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43"/>
    <w:bookmarkStart w:id="44"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44"/>
    <w:bookmarkStart w:id="48" w:name="deployment-topology"/>
    <w:p>
      <w:pPr>
        <w:pStyle w:val="Heading2"/>
      </w:pPr>
      <w:r>
        <w:t xml:space="preserve">2.7 Deployment topology</w:t>
      </w:r>
    </w:p>
    <w:p>
      <w:pPr>
        <w:pStyle w:val="FirstParagraph"/>
      </w:pPr>
      <w:r>
        <w:t xml:space="preserve">The production deployment runs as a single Railway project containing three services (Figure 2.3).</w:t>
      </w:r>
    </w:p>
    <w:p>
      <w:pPr>
        <w:pStyle w:val="CaptionedFigure"/>
      </w:pPr>
      <w:r>
        <w:drawing>
          <wp:inline>
            <wp:extent cx="5334000" cy="2177691"/>
            <wp:effectExtent b="0" l="0" r="0" t="0"/>
            <wp:docPr descr="Figure 2.3 — Production deployment topology. Browser traffic resolves through Cloudflare DNS and TLS into a single Railway hostname; path-based routing at the Railway edge delivers the / path to the Vite-built frontend service and the /api/v1/* 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 title="" id="46" name="Picture"/>
            <a:graphic>
              <a:graphicData uri="http://schemas.openxmlformats.org/drawingml/2006/picture">
                <pic:pic>
                  <pic:nvPicPr>
                    <pic:cNvPr descr="figures/figure-2-3-deployment.png" id="47" name="Picture"/>
                    <pic:cNvPicPr>
                      <a:picLocks noChangeArrowheads="1" noChangeAspect="1"/>
                    </pic:cNvPicPr>
                  </pic:nvPicPr>
                  <pic:blipFill>
                    <a:blip r:embed="rId45"/>
                    <a:stretch>
                      <a:fillRect/>
                    </a:stretch>
                  </pic:blipFill>
                  <pic:spPr bwMode="auto">
                    <a:xfrm>
                      <a:off x="0" y="0"/>
                      <a:ext cx="5334000" cy="2177691"/>
                    </a:xfrm>
                    <a:prstGeom prst="rect">
                      <a:avLst/>
                    </a:prstGeom>
                    <a:noFill/>
                    <a:ln w="9525">
                      <a:noFill/>
                      <a:headEnd/>
                      <a:tailEnd/>
                    </a:ln>
                  </pic:spPr>
                </pic:pic>
              </a:graphicData>
            </a:graphic>
          </wp:inline>
        </w:drawing>
      </w:r>
    </w:p>
    <w:p>
      <w:pPr>
        <w:pStyle w:val="ImageCaption"/>
      </w:pPr>
      <w:r>
        <w:t xml:space="preserve">Figure 2.3 — Production deployment topology. Browser traffic resolves through Cloudflare DNS and TLS into a single Railway hostname; path-based routing at the Railway edge delivers the</w:t>
      </w:r>
      <w:r>
        <w:t xml:space="preserve"> </w:t>
      </w:r>
      <w:r>
        <w:rPr>
          <w:rStyle w:val="VerbatimChar"/>
        </w:rPr>
        <w:t xml:space="preserve">/</w:t>
      </w:r>
      <w:r>
        <w:t xml:space="preserve"> </w:t>
      </w:r>
      <w:r>
        <w:t xml:space="preserve">path to the Vite-built frontend service and the</w:t>
      </w:r>
      <w:r>
        <w:t xml:space="preserve"> </w:t>
      </w:r>
      <w:r>
        <w:rPr>
          <w:rStyle w:val="VerbatimChar"/>
        </w:rPr>
        <w:t xml:space="preserve">/api/v1/*</w:t>
      </w:r>
      <w:r>
        <w:t xml:space="preserve"> </w:t>
      </w:r>
      <w:r>
        <w:t xml:space="preserve">path to the FastAPI backend service. The backend uses a Railway-managed PostgreSQL add-on for persistence and three external dependencies — Vertex AI Gemini 2.5 Flash for inference, Resend for transactional email, and Sentry for error tracking. Both services emit metrics and breadcrumbs to the observability tier.</w:t>
      </w:r>
    </w:p>
    <w:p>
      <w:pPr>
        <w:pStyle w:val="BodyText"/>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 typically a frontend host such as Vercel paired with a separate backend host —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48"/>
    <w:bookmarkEnd w:id="49"/>
    <w:bookmarkStart w:id="75"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55" w:name="cross-cutting-design"/>
    <w:p>
      <w:pPr>
        <w:pStyle w:val="Heading2"/>
      </w:pPr>
      <w:r>
        <w:t xml:space="preserve">3.1 Cross-cutting design</w:t>
      </w:r>
    </w:p>
    <w:bookmarkStart w:id="50"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 at 5, 10, 20, and 40 seconds, plus a small random offset —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50"/>
    <w:bookmarkStart w:id="51"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 the heuristic prepass already produces a complete response on its own.</w:t>
      </w:r>
    </w:p>
    <w:bookmarkEnd w:id="51"/>
    <w:bookmarkStart w:id="52" w:name="pydantic-validated-structured-output"/>
    <w:p>
      <w:pPr>
        <w:pStyle w:val="Heading3"/>
      </w:pPr>
      <w: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52"/>
    <w:bookmarkStart w:id="53"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 the same payload structure the LLM would have populated, but using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therefore raise a structured 503 error that the frontend renders as a retry-able failure state.</w:t>
      </w:r>
    </w:p>
    <w:bookmarkEnd w:id="53"/>
    <w:bookmarkStart w:id="54"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 and therefore without an LLM call. The cache is in-memory with a one-hour TTL and is intentionally not shared between processes; this is acceptable for thesis-scoped traffic, and Redis is documented in Chapter 5 as the planned upgrade for V1.1.</w:t>
      </w:r>
    </w:p>
    <w:bookmarkEnd w:id="54"/>
    <w:bookmarkEnd w:id="55"/>
    <w:bookmarkStart w:id="59"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56" w:name="input-contract"/>
    <w:p>
      <w:pPr>
        <w:pStyle w:val="Heading3"/>
      </w:pPr>
      <w: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56"/>
    <w:bookmarkStart w:id="57"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 keyword alignment, impact, structure, clarity, and completeness —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57"/>
    <w:bookmarkStart w:id="58"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58"/>
    <w:bookmarkEnd w:id="59"/>
    <w:bookmarkStart w:id="63"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60"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60"/>
    <w:bookmarkStart w:id="61"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61"/>
    <w:bookmarkStart w:id="62"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62"/>
    <w:bookmarkEnd w:id="63"/>
    <w:bookmarkStart w:id="66"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64"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64"/>
    <w:bookmarkStart w:id="65"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65"/>
    <w:bookmarkEnd w:id="66"/>
    <w:bookmarkStart w:id="68"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67"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 neither overly formal nor casual —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67"/>
    <w:bookmarkEnd w:id="68"/>
    <w:bookmarkStart w:id="70"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69" w:name="prompt-and-post-processing-4"/>
    <w:p>
      <w:pPr>
        <w:pStyle w:val="Heading3"/>
      </w:pPr>
      <w:r>
        <w:t xml:space="preserve">3.6.1 Prompt and post-processing</w:t>
      </w:r>
    </w:p>
    <w:p>
      <w:pPr>
        <w:pStyle w:val="FirstParagraph"/>
      </w:pPr>
      <w:r>
        <w:t xml:space="preserve">The prompt asks the LLM to cluster the generated questions into three categories —</w:t>
      </w:r>
      <w:r>
        <w:t xml:space="preserve">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9"/>
    <w:bookmarkEnd w:id="70"/>
    <w:bookmarkStart w:id="72"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71"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71"/>
    <w:bookmarkEnd w:id="72"/>
    <w:bookmarkStart w:id="73"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73"/>
    <w:bookmarkStart w:id="74"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 runtime switchability between the two scoring modes for the comparative study reported next.</w:t>
      </w:r>
    </w:p>
    <w:bookmarkEnd w:id="74"/>
    <w:bookmarkEnd w:id="75"/>
    <w:bookmarkStart w:id="102" w:name="chapter-4-conducted-studies-and-results"/>
    <w:p>
      <w:pPr>
        <w:pStyle w:val="Heading1"/>
      </w:pPr>
      <w: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 the evaluation dataset, the metrics, the experimental controls. Section 4.2 introduces the strong heuristic (v2), the defendable replacement of the lightweight prepass described in Chapter 3. Section 4.3 reports the results. Section 4.4 discusses the limitations.</w:t>
      </w:r>
    </w:p>
    <w:bookmarkStart w:id="80" w:name="methodology"/>
    <w:p>
      <w:pPr>
        <w:pStyle w:val="Heading2"/>
      </w:pPr>
      <w:r>
        <w:t xml:space="preserve">4.1 Methodology</w:t>
      </w:r>
    </w:p>
    <w:bookmarkStart w:id="76" w:name="evaluation-dataset"/>
    <w:p>
      <w:pPr>
        <w:pStyle w:val="Heading3"/>
      </w:pPr>
      <w: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draws from a track-specific</w:t>
      </w:r>
      <w:r>
        <w:t xml:space="preserve"> </w:t>
      </w:r>
      <w:r>
        <w:rPr>
          <w:rStyle w:val="VerbatimChar"/>
        </w:rPr>
        <w:t xml:space="preserve">resume_phrases</w:t>
      </w:r>
      <w:r>
        <w:t xml:space="preserve"> </w:t>
      </w:r>
      <w:r>
        <w:t xml:space="preserve">pool written in past-tense achievement framing, and the job-description body content draws from a separate</w:t>
      </w:r>
      <w:r>
        <w:t xml:space="preserve"> </w:t>
      </w:r>
      <w:r>
        <w:rPr>
          <w:rStyle w:val="VerbatimChar"/>
        </w:rPr>
        <w:t xml:space="preserve">jd_phrases</w:t>
      </w:r>
      <w:r>
        <w:t xml:space="preserve"> </w:t>
      </w:r>
      <w:r>
        <w:t xml:space="preserve">pool written in future-tense requirement framing. The two pools are</w:t>
      </w:r>
      <w:r>
        <w:t xml:space="preserve"> </w:t>
      </w:r>
      <w:r>
        <w:rPr>
          <w:i/>
          <w:iCs/>
        </w:rPr>
        <w:t xml:space="preserve">lexically disjoint</w:t>
      </w:r>
      <w:r>
        <w:t xml:space="preserve"> </w:t>
      </w:r>
      <w:r>
        <w:t xml:space="preserve">at the content-word level after stop-words and role-domain skill terms are removed — a construction adopted as part of the Stage G mitigation of validity threat T1 (Section 4.1.4) so that keyword-overlap measurements between resume and JD sides are not artefactually inflated by phrase-template identity. Synthesising both sides of the pair rather than scraping public listings removes the privacy and licensing risks associated with persisting third-party content, but it introduces the residual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76"/>
    <w:bookmarkStart w:id="77" w:name="metrics"/>
    <w:p>
      <w:pPr>
        <w:pStyle w:val="Heading3"/>
      </w:pPr>
      <w: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77"/>
    <w:bookmarkStart w:id="78" w:name="controls"/>
    <w:p>
      <w:pPr>
        <w:pStyle w:val="Heading3"/>
      </w:pPr>
      <w: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78"/>
    <w:bookmarkStart w:id="79" w:name="threats-to-validity"/>
    <w:p>
      <w:pPr>
        <w:pStyle w:val="Heading3"/>
      </w:pPr>
      <w: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 Shared-vocabulary leakage between resume and job-description pools (MITIGATED).</w:t>
      </w:r>
      <w:r>
        <w:t xml:space="preserve"> </w:t>
      </w:r>
      <w:r>
        <w:t xml:space="preserve">The original synthesis script populated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(the dictionary entry</w:t>
      </w:r>
      <w:r>
        <w:t xml:space="preserve"> </w:t>
      </w:r>
      <w:r>
        <w:rPr>
          <w:rStyle w:val="VerbatimChar"/>
        </w:rPr>
        <w:t xml:space="preserve">track["responsibilities"]</w:t>
      </w:r>
      <w:r>
        <w:t xml:space="preserve"> </w:t>
      </w:r>
      <w:r>
        <w:t xml:space="preserve">in the early version of</w:t>
      </w:r>
      <w:r>
        <w:t xml:space="preserve"> </w:t>
      </w:r>
      <w:r>
        <w:rPr>
          <w:rStyle w:val="VerbatimChar"/>
        </w:rPr>
        <w:t xml:space="preserve">scripts/synthesise_eval_dataset.py</w:t>
      </w:r>
      <w:r>
        <w:t xml:space="preserve">). In some pairs identical sentences appeared on both sides; the pair</w:t>
      </w:r>
      <w:r>
        <w:t xml:space="preserve"> </w:t>
      </w:r>
      <w:r>
        <w:rPr>
          <w:rStyle w:val="VerbatimChar"/>
        </w:rPr>
        <w:t xml:space="preserve">r-backend-01__jd-backend-02</w:t>
      </w:r>
      <w:r>
        <w:t xml:space="preserve"> </w:t>
      </w:r>
      <w:r>
        <w:t xml:space="preserve">contained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observed in the leakage version (Pearson</w:t>
      </w:r>
      <w:r>
        <w:t xml:space="preserve"> </w:t>
      </w:r>
      <w:r>
        <w:rPr>
          <w:i/>
          <w:iCs/>
        </w:rPr>
        <w:t xml:space="preserve">r</w:t>
      </w:r>
      <w:r>
        <w:t xml:space="preserve"> </w:t>
      </w:r>
      <w:r>
        <w:t xml:space="preserve">= 0.941) was consistent with this construction: both scoring modes consumed the same lexical surface that the synthesis had injected on both sides. The dataset has been regenerated under a disjoint-vocabulary construction: each role track now exposes two separate phrase pools (</w:t>
      </w:r>
      <w:r>
        <w:rPr>
          <w:rStyle w:val="VerbatimChar"/>
        </w:rPr>
        <w:t xml:space="preserve">resume_phrases</w:t>
      </w:r>
      <w:r>
        <w:t xml:space="preserve"> </w:t>
      </w:r>
      <w:r>
        <w:t xml:space="preserve">in past-tense achievement framing,</w:t>
      </w:r>
      <w:r>
        <w:t xml:space="preserve"> </w:t>
      </w:r>
      <w:r>
        <w:rPr>
          <w:rStyle w:val="VerbatimChar"/>
        </w:rPr>
        <w:t xml:space="preserve">jd_phrases</w:t>
      </w:r>
      <w:r>
        <w:t xml:space="preserve"> </w:t>
      </w:r>
      <w:r>
        <w:t xml:space="preserve">in future-tense requirement framing) whose lexical content is disjoint at the content-word level after stop-words and role-domain skill terms are removed. The verification script</w:t>
      </w:r>
      <w:r>
        <w:t xml:space="preserve"> </w:t>
      </w:r>
      <w:r>
        <w:rPr>
          <w:rStyle w:val="VerbatimChar"/>
        </w:rPr>
        <w:t xml:space="preserve">scripts/verify_disjoint_pools.py</w:t>
      </w:r>
      <w:r>
        <w:t xml:space="preserve"> </w:t>
      </w:r>
      <w:r>
        <w:t xml:space="preserve">(committed alongside the synthesis script) reports that per-pair content-token overlap dropped from a mean of 11.82 in the leakage version to 0.44 in the disjoint-pool version, a 27× reduction; zero pairs flag the &gt;3-token threshold against 97 in the leakage version. The numbers reported in Section 4.3 are post-mitigation; the leakage-version dataset and its results are archived as</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for an explicit before/after comparison.</w:t>
      </w:r>
    </w:p>
    <w:p>
      <w:pPr>
        <w:pStyle w:val="BodyText"/>
      </w:pPr>
      <w:r>
        <w:rPr>
          <w:b/>
          <w:bCs/>
        </w:rPr>
        <w:t xml:space="preserve">T2 — Self-correlation between the two compared modes (MEASURED).</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Because the heuristic prepass is exposed to the LLM as a</w:t>
      </w:r>
      <w:r>
        <w:t xml:space="preserve"> </w:t>
      </w:r>
      <w:r>
        <w:rPr>
          <w:i/>
          <w:iCs/>
        </w:rPr>
        <w:t xml:space="preserve">locked payload</w:t>
      </w:r>
      <w:r>
        <w:t xml:space="preserve"> </w:t>
      </w:r>
      <w:r>
        <w:t xml:space="preserve">(Section 3.2.3) — that is, the heuristic component of the blended score is invariant under the LLM call — the LLM-only score is recoverable post-hoc from the same per-pair results without any additional API calls:</w:t>
      </w:r>
      <w:r>
        <w:t xml:space="preserve"> </w:t>
      </w:r>
      <w:r>
        <w:rPr>
          <w:i/>
          <w:iCs/>
        </w:rPr>
        <w:t xml:space="preserve">llm_only = (blended − 0.4 × heuristic) / 0.6</w:t>
      </w:r>
      <w:r>
        <w:t xml:space="preserve">. Section 4.3.1’ reports the resulting LLM-only-versus-heuristic correlation alongside the headline blended-versus-heuristic correlation, so the structural component is now isolated from the cross-mode agreement.</w:t>
      </w:r>
    </w:p>
    <w:p>
      <w:pPr>
        <w:pStyle w:val="BodyText"/>
      </w:pPr>
      <w:r>
        <w:rPr>
          <w:b/>
          <w:bCs/>
        </w:rPr>
        <w:t xml:space="preserve">T3 — Non-independent paired observations (ADDRESSED).</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now accompanied by 95% confidence intervals computed via cluster bootstrap on</w:t>
      </w:r>
      <w:r>
        <w:t xml:space="preserve"> </w:t>
      </w:r>
      <w:r>
        <w:rPr>
          <w:rStyle w:val="VerbatimChar"/>
        </w:rPr>
        <w:t xml:space="preserve">resume_id</w:t>
      </w:r>
      <w:r>
        <w:t xml:space="preserve"> </w:t>
      </w:r>
      <w:r>
        <w:t xml:space="preserve">with 2 000 resamples and</w:t>
      </w:r>
      <w:r>
        <w:t xml:space="preserve"> </w:t>
      </w:r>
      <w:r>
        <w:rPr>
          <w:rStyle w:val="VerbatimChar"/>
        </w:rPr>
        <w:t xml:space="preserve">seed=42</w:t>
      </w:r>
      <w:r>
        <w:t xml:space="preserve"> </w:t>
      </w:r>
      <w:r>
        <w:t xml:space="preserve">(</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pairs sharing a resume are resampled together so that the in-track pairing structure is honoured. The intervals are wider than an independent-and-identically-distributed assumption would suggest, as expected.</w:t>
      </w:r>
    </w:p>
    <w:p>
      <w:pPr>
        <w:pStyle w:val="BodyText"/>
      </w:pPr>
      <w:r>
        <w:rPr>
          <w:b/>
          <w:bCs/>
        </w:rPr>
        <w:t xml:space="preserve">T4 — Post-hoc heuristic design (DISCLOSED, not closed).</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Closing this threat fully would require redesigning the heuristic from scratch against a held-out reference, which is outside the scope of the engineering BSc deliverable; the thesis flags this disclosure as a partial mitigation rather than a claim that the coupling is dissolved.</w:t>
      </w:r>
    </w:p>
    <w:p>
      <w:pPr>
        <w:pStyle w:val="BodyText"/>
      </w:pPr>
      <w:r>
        <w:t xml:space="preserve">Of the four threats, T1 is closed by the disjoint-pool regeneration, T2 by the post-hoc LLM-only baseline, and T3 by the cluster-bootstrap confidence intervals. T4 remains a transparent disclosure rather than a closure; the explicit sensitivity rerun of the score-combination weights reported in Section 4.3.5 is the only mitigation available without redesigning the heuristic against an independent reference.</w:t>
      </w:r>
    </w:p>
    <w:bookmarkEnd w:id="79"/>
    <w:bookmarkEnd w:id="80"/>
    <w:bookmarkStart w:id="90" w:name="the-strong-heuristic-v2"/>
    <w:p>
      <w:pPr>
        <w:pStyle w:val="Heading2"/>
      </w:pPr>
      <w: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therefore 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81" w:name="tfidfweighted-keyword-evidence"/>
    <w:p>
      <w:pPr>
        <w:pStyle w:val="Heading3"/>
      </w:pPr>
      <w: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 canonical label plus surface variants —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81"/>
    <w:bookmarkStart w:id="82" w:name="esco-aligned-skill-normalisation"/>
    <w:p>
      <w:pPr>
        <w:pStyle w:val="Heading3"/>
      </w:pPr>
      <w: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 at the time of submission, approximately one hundred entries focused on the digital and creative-industry domains, with the data file structured for straightforward expansion to the roughly eight hundred entries needed for production-scale coverage —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82"/>
    <w:bookmarkStart w:id="83" w:name="fuzzy-matching"/>
    <w:p>
      <w:pPr>
        <w:pStyle w:val="Heading3"/>
      </w:pPr>
      <w: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83"/>
    <w:bookmarkStart w:id="84" w:name="section-weighted-features"/>
    <w:p>
      <w:pPr>
        <w:pStyle w:val="Heading3"/>
      </w:pPr>
      <w: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84"/>
    <w:bookmarkStart w:id="85" w:name="quantification-regex"/>
    <w:p>
      <w:pPr>
        <w:pStyle w:val="Heading3"/>
      </w:pPr>
      <w: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85"/>
    <w:bookmarkStart w:id="86" w:name="action-verb-scoring"/>
    <w:p>
      <w:pPr>
        <w:pStyle w:val="Heading3"/>
      </w:pPr>
      <w: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86"/>
    <w:bookmarkStart w:id="87" w:name="score-combination"/>
    <w:p>
      <w:pPr>
        <w:pStyle w:val="Heading3"/>
      </w:pPr>
      <w: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 0.30, 0.25, 0.15, 0.15, 0.15 —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 a partial-robustness finding rather than weight-independence.</w:t>
      </w:r>
    </w:p>
    <w:bookmarkEnd w:id="87"/>
    <w:bookmarkStart w:id="88" w:name="implementation-notes"/>
    <w:p>
      <w:pPr>
        <w:pStyle w:val="Heading3"/>
      </w:pPr>
      <w: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88"/>
    <w:bookmarkStart w:id="89" w:name="the-administrative-toggle"/>
    <w:p>
      <w:pPr>
        <w:pStyle w:val="Heading3"/>
      </w:pPr>
      <w: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A frontend control on the existing</w:t>
      </w:r>
      <w:r>
        <w:t xml:space="preserve"> </w:t>
      </w:r>
      <w:r>
        <w:rPr>
          <w:rStyle w:val="VerbatimChar"/>
        </w:rPr>
        <w:t xml:space="preserve">/admin</w:t>
      </w:r>
      <w:r>
        <w:t xml:space="preserve"> </w:t>
      </w:r>
      <w:r>
        <w:t xml:space="preserve">route is wired to the same endpoint, so an authenticated administrator can flip the scoring mode at runtime through the user interface during a live demonstration; the same operation can also be performed by issuing the POST request through any HTTP client (or via the auto-generated FastAPI documentation page at</w:t>
      </w:r>
      <w:r>
        <w:t xml:space="preserve"> </w:t>
      </w:r>
      <w:r>
        <w:rPr>
          <w:rStyle w:val="VerbatimChar"/>
        </w:rPr>
        <w:t xml:space="preserve">/api/v1/docs</w:t>
      </w:r>
      <w:r>
        <w:t xml:space="preserve">).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9"/>
    <w:bookmarkEnd w:id="90"/>
    <w:bookmarkStart w:id="100"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91"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 The numbers reported here are the</w:t>
      </w:r>
      <w:r>
        <w:t xml:space="preserve"> </w:t>
      </w:r>
      <w:r>
        <w:rPr>
          <w:i/>
          <w:iCs/>
        </w:rPr>
        <w:t xml:space="preserve">post-mitigation</w:t>
      </w:r>
      <w:r>
        <w:t xml:space="preserve"> </w:t>
      </w:r>
      <w:r>
        <w:t xml:space="preserve">values, computed on the disjoint-vocabulary dataset described in Section 4.1.1; the</w:t>
      </w:r>
      <w:r>
        <w:t xml:space="preserve"> </w:t>
      </w:r>
      <w:r>
        <w:rPr>
          <w:i/>
          <w:iCs/>
        </w:rPr>
        <w:t xml:space="preserve">pre-mitigation</w:t>
      </w:r>
      <w:r>
        <w:t xml:space="preserve"> </w:t>
      </w:r>
      <w:r>
        <w:t xml:space="preserve">values for the same statistics on the leakage-version dataset are reported alongside for an explicit before/after comparison, and the leakage-version dataset and results are archived under</w:t>
      </w:r>
      <w:r>
        <w:t xml:space="preserve"> </w:t>
      </w:r>
      <w:r>
        <w:rPr>
          <w:rStyle w:val="VerbatimChar"/>
        </w:rPr>
        <w:t xml:space="preserve">thesis/eval-dataset-with-leakage.json</w:t>
      </w:r>
      <w:r>
        <w:t xml:space="preserve"> </w:t>
      </w:r>
      <w:r>
        <w:t xml:space="preserve">and</w:t>
      </w:r>
      <w:r>
        <w:t xml:space="preserve"> </w:t>
      </w:r>
      <w:r>
        <w:rPr>
          <w:rStyle w:val="VerbatimChar"/>
        </w:rPr>
        <w:t xml:space="preserve">thesis/eval-results-with-leakage.json</w:t>
      </w:r>
      <w:r>
        <w:t xml:space="preserve"> </w:t>
      </w:r>
      <w:r>
        <w:t xml:space="preserve">respectively.</w:t>
      </w:r>
    </w:p>
    <w:tbl>
      <w:tblPr>
        <w:tblStyle w:val="Table"/>
        <w:tblW w:type="pct" w:w="5000"/>
        <w:tblLayout w:type="fixed"/>
        <w:tblLook w:firstRow="1" w:lastRow="0" w:firstColumn="0" w:lastColumn="0" w:noHBand="0" w:noVBand="0" w:val="0020"/>
      </w:tblPr>
      <w:tblGrid>
        <w:gridCol w:w="1244"/>
        <w:gridCol w:w="1923"/>
        <w:gridCol w:w="2941"/>
        <w:gridCol w:w="1810"/>
      </w:tblGrid>
      <w:tr>
        <w:trPr>
          <w:tblHeader w:val="on"/>
        </w:trPr>
        <w:tc>
          <w:tcPr/>
          <w:p>
            <w:pPr>
              <w:pStyle w:val="Compact"/>
            </w:pPr>
            <w:r>
              <w:t xml:space="preserve">Statistic</w:t>
            </w:r>
          </w:p>
        </w:tc>
        <w:tc>
          <w:tcPr/>
          <w:p>
            <w:pPr>
              <w:pStyle w:val="Compact"/>
            </w:pPr>
            <w:r>
              <w:t xml:space="preserve">Post-mitigation</w:t>
            </w:r>
          </w:p>
        </w:tc>
        <w:tc>
          <w:tcPr/>
          <w:p>
            <w:pPr>
              <w:pStyle w:val="Compact"/>
            </w:pPr>
            <w:r>
              <w:t xml:space="preserve">Pre-mitigation (leakage)</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0.836</w:t>
            </w:r>
            <w:r>
              <w:t xml:space="preserve"> </w:t>
            </w:r>
            <w:r>
              <w:t xml:space="preserve">[95% CI 0.762, 0.896]</w:t>
            </w:r>
          </w:p>
        </w:tc>
        <w:tc>
          <w:tcPr/>
          <w:p>
            <w:pPr>
              <w:pStyle w:val="Compact"/>
            </w:pPr>
            <w:r>
              <w:t xml:space="preserve">0.727 [95% CI 0.609, 0.814]</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0.847</w:t>
            </w:r>
          </w:p>
        </w:tc>
        <w:tc>
          <w:tcPr/>
          <w:p>
            <w:pPr>
              <w:pStyle w:val="Compact"/>
            </w:pPr>
            <w: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0.669</w:t>
            </w:r>
          </w:p>
        </w:tc>
        <w:tc>
          <w:tcPr/>
          <w:p>
            <w:pPr>
              <w:pStyle w:val="Compact"/>
            </w:pPr>
            <w:r>
              <w:t xml:space="preserve">0.526</w:t>
            </w:r>
          </w:p>
        </w:tc>
        <w:tc>
          <w:tcPr/>
          <w:p>
            <w:pPr>
              <w:pStyle w:val="Compact"/>
            </w:pPr>
            <w:r>
              <w:t xml:space="preserve">Pairwise rank concordance.</w:t>
            </w:r>
          </w:p>
        </w:tc>
      </w:tr>
    </w:tbl>
    <w:p>
      <w:pPr>
        <w:pStyle w:val="BodyText"/>
      </w:pPr>
      <w:r>
        <w:t xml:space="preserve">The cluster-bootstrap confidence intervals are computed by resampling resume clusters with replacement (</w:t>
      </w:r>
      <w:r>
        <w:rPr>
          <w:rStyle w:val="VerbatimChar"/>
        </w:rPr>
        <w:t xml:space="preserve">cluster_bootstrap_pearson</w:t>
      </w:r>
      <w:r>
        <w:t xml:space="preserve"> </w:t>
      </w:r>
      <w:r>
        <w:t xml:space="preserve">in</w:t>
      </w:r>
      <w:r>
        <w:t xml:space="preserve"> </w:t>
      </w:r>
      <w:r>
        <w:rPr>
          <w:rStyle w:val="VerbatimChar"/>
        </w:rPr>
        <w:t xml:space="preserve">scripts/analyze_eval_results.py</w:t>
      </w:r>
      <w:r>
        <w:t xml:space="preserve">, 2 000 resamples, seed = 42) so that the in-track pairing structure documented in Section 4.1.3 is honoured; the intervals are wider than an i.i.d. assumption would suggest, as expected, and address validity threat T3 of Section 4.1.4. The post-mitigation Pearson</w:t>
      </w:r>
      <w:r>
        <w:t xml:space="preserve"> </w:t>
      </w:r>
      <w:r>
        <w:rPr>
          <w:i/>
          <w:iCs/>
        </w:rPr>
        <w:t xml:space="preserve">r</w:t>
      </w:r>
      <w:r>
        <w:t xml:space="preserve"> </w:t>
      </w:r>
      <w:r>
        <w:t xml:space="preserve">of 0.836 is</w:t>
      </w:r>
      <w:r>
        <w:t xml:space="preserve"> </w:t>
      </w:r>
      <w:r>
        <w:rPr>
          <w:i/>
          <w:iCs/>
        </w:rPr>
        <w:t xml:space="preserve">higher</w:t>
      </w:r>
      <w:r>
        <w:t xml:space="preserve"> </w:t>
      </w:r>
      <w:r>
        <w:t xml:space="preserve">than the pre-mitigation 0.727 — a result that initially seems counter-intuitive given that the leakage construction was expected to</w:t>
      </w:r>
      <w:r>
        <w:t xml:space="preserve"> </w:t>
      </w:r>
      <w:r>
        <w:rPr>
          <w:i/>
          <w:iCs/>
        </w:rPr>
        <w:t xml:space="preserve">inflate</w:t>
      </w:r>
      <w:r>
        <w:t xml:space="preserve"> </w:t>
      </w:r>
      <w:r>
        <w:t xml:space="preserve">keyword overlap — and the explanation lies in the per-sub-score breakdown below: the leakage-version dataset injected high-correlation noise on the keyword axis but suppressed the cleaner cross-mode signal on the structure and completeness axes; the disjoint-pool regeneration removed the artefactual lexical sharing without removing the legitimate skill-overlap signal that classical keyword matching is supposed to detect, and revealed a higher post-mitigation agreement than the leakage version had recorded. The agreement is therefore best read as</w:t>
      </w:r>
      <w:r>
        <w:t xml:space="preserve"> </w:t>
      </w:r>
      <w:r>
        <w:rPr>
          <w:i/>
          <w:iCs/>
        </w:rPr>
        <w:t xml:space="preserve">strong-within-this-synthetic-evaluation-set</w:t>
      </w:r>
      <w:r>
        <w:t xml:space="preserve"> </w:t>
      </w:r>
      <w:r>
        <w:t xml:space="preserve">rather than the weaker</w:t>
      </w:r>
      <w:r>
        <w:t xml:space="preserve"> </w:t>
      </w:r>
      <w:r>
        <w:rPr>
          <w:i/>
          <w:iCs/>
        </w:rPr>
        <w:t xml:space="preserve">moderate-to-useful</w:t>
      </w:r>
      <w:r>
        <w:t xml:space="preserve"> </w:t>
      </w:r>
      <w:r>
        <w:t xml:space="preserve">characterisation that the leakage-version chapter supported.</w:t>
      </w:r>
    </w:p>
    <w:p>
      <w:pPr>
        <w:pStyle w:val="BodyText"/>
      </w:pPr>
      <w:r>
        <w:t xml:space="preserve">The per-sub-score breakdown reveals where the agreement comes from and where the two modes diverge.</w:t>
      </w:r>
    </w:p>
    <w:tbl>
      <w:tblPr>
        <w:tblStyle w:val="Table"/>
        <w:tblW w:type="pct" w:w="5000"/>
        <w:tblLayout w:type="fixed"/>
        <w:tblLook w:firstRow="1" w:lastRow="0" w:firstColumn="0" w:lastColumn="0" w:noHBand="0" w:noVBand="0" w:val="0020"/>
      </w:tblPr>
      <w:tblGrid>
        <w:gridCol w:w="957"/>
        <w:gridCol w:w="2523"/>
        <w:gridCol w:w="2436"/>
        <w:gridCol w:w="1044"/>
        <w:gridCol w:w="957"/>
      </w:tblGrid>
      <w:tr>
        <w:trPr>
          <w:tblHeader w:val="on"/>
        </w:trPr>
        <w:tc>
          <w:tcPr/>
          <w:p>
            <w:pPr>
              <w:pStyle w:val="Compact"/>
            </w:pPr>
            <w:r>
              <w:t xml:space="preserve">Sub-score</w:t>
            </w:r>
          </w:p>
        </w:tc>
        <w:tc>
          <w:tcPr/>
          <w:p>
            <w:pPr>
              <w:pStyle w:val="Compact"/>
            </w:pPr>
            <w:r>
              <w:t xml:space="preserve">Post-mitigation Pearson</w:t>
            </w:r>
            <w:r>
              <w:t xml:space="preserve"> </w:t>
            </w:r>
            <w:r>
              <w:rPr>
                <w:i/>
                <w:iCs/>
              </w:rPr>
              <w:t xml:space="preserve">r</w:t>
            </w:r>
          </w:p>
        </w:tc>
        <w:tc>
          <w:tcPr/>
          <w:p>
            <w:pPr>
              <w:pStyle w:val="Compact"/>
            </w:pPr>
            <w:r>
              <w:t xml:space="preserve">Pre-mitigation 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0.937</w:t>
            </w:r>
          </w:p>
        </w:tc>
        <w:tc>
          <w:tcPr/>
          <w:p>
            <w:pPr>
              <w:pStyle w:val="Compact"/>
            </w:pPr>
            <w:r>
              <w:t xml:space="preserve">0.941</w:t>
            </w:r>
          </w:p>
        </w:tc>
        <w:tc>
          <w:tcPr/>
          <w:p>
            <w:pPr>
              <w:pStyle w:val="Compact"/>
            </w:pPr>
            <w:r>
              <w:t xml:space="preserve">0.946</w:t>
            </w:r>
          </w:p>
        </w:tc>
        <w:tc>
          <w:tcPr/>
          <w:p>
            <w:pPr>
              <w:pStyle w:val="Compact"/>
            </w:pPr>
            <w:r>
              <w:t xml:space="preserve">0.845</w:t>
            </w:r>
          </w:p>
        </w:tc>
      </w:tr>
      <w:tr>
        <w:tc>
          <w:tcPr/>
          <w:p>
            <w:pPr>
              <w:pStyle w:val="Compact"/>
            </w:pPr>
            <w:r>
              <w:t xml:space="preserve">impact</w:t>
            </w:r>
          </w:p>
        </w:tc>
        <w:tc>
          <w:tcPr/>
          <w:p>
            <w:pPr>
              <w:pStyle w:val="Compact"/>
            </w:pPr>
            <w:r>
              <w:t xml:space="preserve">0.430</w:t>
            </w:r>
          </w:p>
        </w:tc>
        <w:tc>
          <w:tcPr/>
          <w:p>
            <w:pPr>
              <w:pStyle w:val="Compact"/>
            </w:pPr>
            <w:r>
              <w:t xml:space="preserve">0.561</w:t>
            </w:r>
          </w:p>
        </w:tc>
        <w:tc>
          <w:tcPr/>
          <w:p>
            <w:pPr>
              <w:pStyle w:val="Compact"/>
            </w:pPr>
            <w:r>
              <w:t xml:space="preserve">0.447</w:t>
            </w:r>
          </w:p>
        </w:tc>
        <w:tc>
          <w:tcPr/>
          <w:p>
            <w:pPr>
              <w:pStyle w:val="Compact"/>
            </w:pPr>
            <w:r>
              <w:t xml:space="preserve">0.332</w:t>
            </w:r>
          </w:p>
        </w:tc>
      </w:tr>
      <w:tr>
        <w:tc>
          <w:tcPr/>
          <w:p>
            <w:pPr>
              <w:pStyle w:val="Compact"/>
            </w:pPr>
            <w:r>
              <w:t xml:space="preserve">structure</w:t>
            </w:r>
          </w:p>
        </w:tc>
        <w:tc>
          <w:tcPr/>
          <w:p>
            <w:pPr>
              <w:pStyle w:val="Compact"/>
            </w:pPr>
            <w:r>
              <w:t xml:space="preserve">0.830</w:t>
            </w:r>
          </w:p>
        </w:tc>
        <w:tc>
          <w:tcPr/>
          <w:p>
            <w:pPr>
              <w:pStyle w:val="Compact"/>
            </w:pPr>
            <w:r>
              <w:t xml:space="preserve">0.440</w:t>
            </w:r>
          </w:p>
        </w:tc>
        <w:tc>
          <w:tcPr/>
          <w:p>
            <w:pPr>
              <w:pStyle w:val="Compact"/>
            </w:pPr>
            <w:r>
              <w:t xml:space="preserve">0.865</w:t>
            </w:r>
          </w:p>
        </w:tc>
        <w:tc>
          <w:tcPr/>
          <w:p>
            <w:pPr>
              <w:pStyle w:val="Compact"/>
            </w:pPr>
            <w:r>
              <w:t xml:space="preserve">0.804</w:t>
            </w:r>
          </w:p>
        </w:tc>
      </w:tr>
      <w:tr>
        <w:tc>
          <w:tcPr/>
          <w:p>
            <w:pPr>
              <w:pStyle w:val="Compact"/>
            </w:pPr>
            <w:r>
              <w:t xml:space="preserve">clarity</w:t>
            </w:r>
          </w:p>
        </w:tc>
        <w:tc>
          <w:tcPr/>
          <w:p>
            <w:pPr>
              <w:pStyle w:val="Compact"/>
            </w:pPr>
            <w:r>
              <w:t xml:space="preserve">0.395</w:t>
            </w:r>
          </w:p>
        </w:tc>
        <w:tc>
          <w:tcPr/>
          <w:p>
            <w:pPr>
              <w:pStyle w:val="Compact"/>
            </w:pPr>
            <w:r>
              <w:t xml:space="preserve">0.475</w:t>
            </w:r>
          </w:p>
        </w:tc>
        <w:tc>
          <w:tcPr/>
          <w:p>
            <w:pPr>
              <w:pStyle w:val="Compact"/>
            </w:pPr>
            <w:r>
              <w:t xml:space="preserve">0.373</w:t>
            </w:r>
          </w:p>
        </w:tc>
        <w:tc>
          <w:tcPr/>
          <w:p>
            <w:pPr>
              <w:pStyle w:val="Compact"/>
            </w:pPr>
            <w:r>
              <w:t xml:space="preserve">0.289</w:t>
            </w:r>
          </w:p>
        </w:tc>
      </w:tr>
      <w:tr>
        <w:tc>
          <w:tcPr/>
          <w:p>
            <w:pPr>
              <w:pStyle w:val="Compact"/>
            </w:pPr>
            <w:r>
              <w:t xml:space="preserve">completeness</w:t>
            </w:r>
          </w:p>
        </w:tc>
        <w:tc>
          <w:tcPr/>
          <w:p>
            <w:pPr>
              <w:pStyle w:val="Compact"/>
            </w:pPr>
            <w:r>
              <w:t xml:space="preserve">0.756</w:t>
            </w:r>
          </w:p>
        </w:tc>
        <w:tc>
          <w:tcPr/>
          <w:p>
            <w:pPr>
              <w:pStyle w:val="Compact"/>
            </w:pPr>
            <w:r>
              <w:t xml:space="preserve">0.691</w:t>
            </w:r>
          </w:p>
        </w:tc>
        <w:tc>
          <w:tcPr/>
          <w:p>
            <w:pPr>
              <w:pStyle w:val="Compact"/>
            </w:pPr>
            <w:r>
              <w:t xml:space="preserve">0.793</w:t>
            </w:r>
          </w:p>
        </w:tc>
        <w:tc>
          <w:tcPr/>
          <w:p>
            <w:pPr>
              <w:pStyle w:val="Compact"/>
            </w:pPr>
            <w:r>
              <w:t xml:space="preserve">0.689</w:t>
            </w:r>
          </w:p>
        </w:tc>
      </w:tr>
    </w:tbl>
    <w:p>
      <w:pPr>
        <w:pStyle w:val="BodyText"/>
      </w:pPr>
      <w:r>
        <w:t xml:space="preserve">The</w:t>
      </w:r>
      <w:r>
        <w:t xml:space="preserve"> </w:t>
      </w:r>
      <w:r>
        <w:rPr>
          <w:i/>
          <w:iCs/>
        </w:rPr>
        <w:t xml:space="preserve">keywords</w:t>
      </w:r>
      <w:r>
        <w:t xml:space="preserve"> </w:t>
      </w:r>
      <w:r>
        <w:t xml:space="preserve">sub-score is essentially unchanged between the leakage and the disjoint-vocabulary versions (0.941 → 0.937). This invariance confirms that the agreement on the keyword axis is not driven by the action-verb phrasing that the disjoint-pool regeneration removed but by the</w:t>
      </w:r>
      <w:r>
        <w:t xml:space="preserve"> </w:t>
      </w:r>
      <w:r>
        <w:rPr>
          <w:i/>
          <w:iCs/>
        </w:rPr>
        <w:t xml:space="preserve">skill-term overlap</w:t>
      </w:r>
      <w:r>
        <w:t xml:space="preserve"> </w:t>
      </w:r>
      <w:r>
        <w:t xml:space="preserve">that both pools intentionally retained — the resume side and the JD side both reference the same canonical ESCO skill labels (Python, React, BM25, and so on), and that signal is the legitimate matching evidence the heuristic and the language model are both designed to consume. The</w:t>
      </w:r>
      <w:r>
        <w:t xml:space="preserve"> </w:t>
      </w:r>
      <w:r>
        <w:rPr>
          <w:i/>
          <w:iCs/>
        </w:rPr>
        <w:t xml:space="preserve">structure</w:t>
      </w:r>
      <w:r>
        <w:t xml:space="preserve"> </w:t>
      </w:r>
      <w:r>
        <w:t xml:space="preserve">axis is the largest single beneficiary of the regeneration (0.440 → 0.830): under the disjoint-vocabulary construction, both modes pick up the structural regularities of the synthesised resumes more cleanly because the leakage-version’s repeated phrase templates had introduced sentence-length and bullet-density artefacts that depressed the structure-axis correlation.</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remain the two axes on which the language-model contribution is most distinct from the heuristic; the</w:t>
      </w:r>
      <w:r>
        <w:t xml:space="preserve"> </w:t>
      </w:r>
      <w:r>
        <w:rPr>
          <w:i/>
          <w:iCs/>
        </w:rPr>
        <w:t xml:space="preserve">r</w:t>
      </w:r>
      <w:r>
        <w:t xml:space="preserve"> </w:t>
      </w:r>
      <w:r>
        <w:t xml:space="preserve">= 0.395 clarity correlation is consistent with the language model weighing prose-quality features the heuristic cannot see.</w:t>
      </w:r>
    </w:p>
    <w:p>
      <w:pPr>
        <w:pStyle w:val="BodyText"/>
      </w:pPr>
      <w:r>
        <w:t xml:space="preserve">An analytical sanity check confirms the structural decomposition. Given the construction blended = 0.40 × heuristic + 0.60 × LLM and the measured r(LLM-only, heuristic) = 0.627 (recovered post-hoc in Section 4.3.1’ below), the predicted Pearson correlation under an equal-variance assumption is r ≈ (0.4 + 0.6 × 0.627) / sqrt(0.52 + 0.48 × 0.627) ≈ 0.857. The observed r(blended, heuristic) = 0.836 sits within rounding distance of this analytical prediction, confirming that the blended score behaves as the weighted agreement of its two components in correlation space, not merely in score space. This decomposition is the methodological anchor of the comparative study reported in this chapter.</w:t>
      </w:r>
    </w:p>
    <w:p>
      <w:pPr>
        <w:pStyle w:val="BodyText"/>
      </w:pPr>
      <w:r>
        <w:t xml:space="preserve">The self-correlation concern flagged as threat T2 in Section 4.1.4 is addressed quantitatively in the next subsection.</w:t>
      </w:r>
    </w:p>
    <w:bookmarkEnd w:id="91"/>
    <w:bookmarkStart w:id="92" w:name="llm-only-baseline-t2-mitigation"/>
    <w:p>
      <w:pPr>
        <w:pStyle w:val="Heading3"/>
      </w:pPr>
      <w:r>
        <w:t xml:space="preserve">4.3.1’ LLM-only baseline (T2 mitigation)</w:t>
      </w:r>
    </w:p>
    <w:p>
      <w:pPr>
        <w:pStyle w:val="FirstParagraph"/>
      </w:pPr>
      <w:r>
        <w:t xml:space="preserve">Because the heuristic prepass is exposed to the language model as a</w:t>
      </w:r>
      <w:r>
        <w:t xml:space="preserve"> </w:t>
      </w:r>
      <w:r>
        <w:rPr>
          <w:i/>
          <w:iCs/>
        </w:rPr>
        <w:t xml:space="preserve">locked payload</w:t>
      </w:r>
      <w:r>
        <w:t xml:space="preserve"> </w:t>
      </w:r>
      <w:r>
        <w:t xml:space="preserve">(Section 3.2.3), the heuristic component of the blended score is invariant under the LLM call. The blended formula</w:t>
      </w:r>
      <w:r>
        <w:t xml:space="preserve"> </w:t>
      </w:r>
      <w:r>
        <w:rPr>
          <w:rStyle w:val="VerbatimChar"/>
        </w:rPr>
        <w:t xml:space="preserve">blended = 0.4 × heuristic + 0.6 × LLM-only</w:t>
      </w:r>
      <w:r>
        <w:t xml:space="preserve"> </w:t>
      </w:r>
      <w:r>
        <w:t xml:space="preserve">is therefore an exact identity, and the LLM-only score per pair is recoverable post-hoc from the blended and heuristic-only scores already reported in the manifest:</w:t>
      </w:r>
    </w:p>
    <w:p>
      <w:pPr>
        <w:pStyle w:val="BodyText"/>
      </w:pPr>
      <w:r>
        <w:t xml:space="preserve">LLM-only = (blended − 0.4 × heuristic) / 0.6</w:t>
      </w:r>
    </w:p>
    <w:p>
      <w:pPr>
        <w:pStyle w:val="BodyText"/>
      </w:pPr>
      <w:r>
        <w:t xml:space="preserve">This recovery requires no additional API calls; it is a deterministic algebraic transformation of the existing per-pair results. The Pearson correlation between the recovered LLM-only score and the heuristic-only score isolates the</w:t>
      </w:r>
      <w:r>
        <w:t xml:space="preserve"> </w:t>
      </w:r>
      <w:r>
        <w:rPr>
          <w:i/>
          <w:iCs/>
        </w:rPr>
        <w:t xml:space="preserve">cross-mode agreement</w:t>
      </w:r>
      <w:r>
        <w:t xml:space="preserve"> </w:t>
      </w:r>
      <w:r>
        <w:t xml:space="preserve">— what the language model and the classical-IR heuristic agree on — controlling for the structural component shared between the blended and heuristic-only modes by construction. Table 4.1’ reports the three pairwise correlations with cluster-bootstrap confidence intervals.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Pearson</w:t>
            </w:r>
            <w:r>
              <w:t xml:space="preserve"> </w:t>
            </w:r>
            <w:r>
              <w:rPr>
                <w:i/>
                <w:iCs/>
              </w:rPr>
              <w:t xml:space="preserve">r</w:t>
            </w:r>
          </w:p>
        </w:tc>
        <w:tc>
          <w:tcPr/>
          <w:p>
            <w:pPr>
              <w:pStyle w:val="Compact"/>
            </w:pPr>
            <w:r>
              <w:t xml:space="preserve">95% CI (cluster bootstrap)</w:t>
            </w:r>
          </w:p>
        </w:tc>
        <w:tc>
          <w:tcPr/>
          <w:p>
            <w:pPr>
              <w:pStyle w:val="Compact"/>
            </w:pPr>
            <w:r>
              <w:t xml:space="preserve">Spearman ρ</w:t>
            </w:r>
          </w:p>
        </w:tc>
      </w:tr>
      <w:tr>
        <w:tc>
          <w:tcPr/>
          <w:p>
            <w:pPr>
              <w:pStyle w:val="Compact"/>
            </w:pPr>
            <w:r>
              <w:t xml:space="preserve">blended vs heuristic</w:t>
            </w:r>
          </w:p>
        </w:tc>
        <w:tc>
          <w:tcPr/>
          <w:p>
            <w:pPr>
              <w:pStyle w:val="Compact"/>
            </w:pPr>
            <w:r>
              <w:rPr>
                <w:b/>
                <w:bCs/>
              </w:rPr>
              <w:t xml:space="preserve">0.836</w:t>
            </w:r>
          </w:p>
        </w:tc>
        <w:tc>
          <w:tcPr/>
          <w:p>
            <w:pPr>
              <w:pStyle w:val="Compact"/>
            </w:pPr>
            <w:r>
              <w:t xml:space="preserve">[0.762, 0.896]</w:t>
            </w:r>
          </w:p>
        </w:tc>
        <w:tc>
          <w:tcPr/>
          <w:p>
            <w:pPr>
              <w:pStyle w:val="Compact"/>
            </w:pPr>
            <w:r>
              <w:t xml:space="preserve">0.847</w:t>
            </w:r>
          </w:p>
        </w:tc>
      </w:tr>
      <w:tr>
        <w:tc>
          <w:tcPr/>
          <w:p>
            <w:pPr>
              <w:pStyle w:val="Compact"/>
            </w:pPr>
            <w:r>
              <w:t xml:space="preserve">LLM-only vs heuristic</w:t>
            </w:r>
          </w:p>
        </w:tc>
        <w:tc>
          <w:tcPr/>
          <w:p>
            <w:pPr>
              <w:pStyle w:val="Compact"/>
            </w:pPr>
            <w:r>
              <w:rPr>
                <w:b/>
                <w:bCs/>
              </w:rPr>
              <w:t xml:space="preserve">0.627</w:t>
            </w:r>
          </w:p>
        </w:tc>
        <w:tc>
          <w:tcPr/>
          <w:p>
            <w:pPr>
              <w:pStyle w:val="Compact"/>
            </w:pPr>
            <w:r>
              <w:t xml:space="preserve">[0.476, 0.765]</w:t>
            </w:r>
          </w:p>
        </w:tc>
        <w:tc>
          <w:tcPr/>
          <w:p>
            <w:pPr>
              <w:pStyle w:val="Compact"/>
            </w:pPr>
            <w:r>
              <w:t xml:space="preserve">0.596</w:t>
            </w:r>
          </w:p>
        </w:tc>
      </w:tr>
      <w:tr>
        <w:tc>
          <w:tcPr/>
          <w:p>
            <w:pPr>
              <w:pStyle w:val="Compact"/>
            </w:pPr>
            <w:r>
              <w:t xml:space="preserve">blended vs LLM-only</w:t>
            </w:r>
          </w:p>
        </w:tc>
        <w:tc>
          <w:tcPr/>
          <w:p>
            <w:pPr>
              <w:pStyle w:val="Compact"/>
            </w:pPr>
            <w:r>
              <w:t xml:space="preserve">0.952</w:t>
            </w:r>
          </w:p>
        </w:tc>
        <w:tc>
          <w:tcPr/>
          <w:p>
            <w:pPr>
              <w:pStyle w:val="Compact"/>
            </w:pPr>
            <w:r>
              <w:t xml:space="preserve">[0.923, 0.973]</w:t>
            </w:r>
          </w:p>
        </w:tc>
        <w:tc>
          <w:tcPr/>
          <w:p>
            <w:pPr>
              <w:pStyle w:val="Compact"/>
            </w:pPr>
            <w:r>
              <w:t xml:space="preserve">—</w:t>
            </w:r>
          </w:p>
        </w:tc>
      </w:tr>
    </w:tbl>
    <w:p>
      <w:pPr>
        <w:pStyle w:val="BodyText"/>
      </w:pPr>
      <w:r>
        <w:t xml:space="preserve">The recovered LLM-only score has mean 71.29, standard deviation 8.45, median 73.33, 5th percentile 54.62, and 95th percentile 82.00 — a distribution shape comparable to the blended and heuristic distributions (Section 4.3.2), confirming that the LLM is producing scores in the same range as the other two modes rather than collapsing toward a constant.</w:t>
      </w:r>
    </w:p>
    <w:p>
      <w:pPr>
        <w:pStyle w:val="BodyText"/>
      </w:pPr>
      <w:r>
        <w:t xml:space="preserve">The substantive interpretation: the LLM-only versus heuristic correlation of 0.627 is the honest</w:t>
      </w:r>
      <w:r>
        <w:t xml:space="preserve"> </w:t>
      </w:r>
      <w:r>
        <w:rPr>
          <w:i/>
          <w:iCs/>
        </w:rPr>
        <w:t xml:space="preserve">cross-mode</w:t>
      </w:r>
      <w:r>
        <w:t xml:space="preserve"> </w:t>
      </w:r>
      <w:r>
        <w:t xml:space="preserve">agreement after isolating the structural blended-formula component. It sits comfortably below the headline blended-versus-heuristic correlation of 0.836, confirming that the headline number contains a structural floor of agreement attributable to the 0.40 heuristic component the two modes share by construction. The 0.627 figure is the relevant statistic for an external reader who asks</w:t>
      </w:r>
      <w:r>
        <w:t xml:space="preserve"> </w:t>
      </w:r>
      <w:r>
        <w:rPr>
          <w:i/>
          <w:iCs/>
        </w:rPr>
        <w:t xml:space="preserve">“how much do the language model and the classical-IR heuristic actually agree on?”</w:t>
      </w:r>
      <w:r>
        <w:t xml:space="preserve">; the 0.836 figure is the relevant statistic for an operator who asks</w:t>
      </w:r>
      <w:r>
        <w:t xml:space="preserve"> </w:t>
      </w:r>
      <w:r>
        <w:rPr>
          <w:i/>
          <w:iCs/>
        </w:rPr>
        <w:t xml:space="preserve">“what does the runtime toggle (Section 4.2.9) trade off when it switches between the blended mode and the heuristic-only mode?”</w:t>
      </w:r>
      <w:r>
        <w:t xml:space="preserve">. Both are reported because each addresses a different question. The blended-versus-LLM-only correlation of 0.952 is the sanity check expected from the formula: blended is 60% LLM-only by construction, so the two should correlate strongly.</w:t>
      </w:r>
    </w:p>
    <w:bookmarkEnd w:id="92"/>
    <w:bookmarkStart w:id="96" w:name="score-distribution"/>
    <w:p>
      <w:pPr>
        <w:pStyle w:val="Heading3"/>
      </w:pPr>
      <w: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71.84</w:t>
            </w:r>
          </w:p>
        </w:tc>
        <w:tc>
          <w:tcPr/>
          <w:p>
            <w:pPr>
              <w:pStyle w:val="Compact"/>
            </w:pPr>
            <w:r>
              <w:t xml:space="preserve">72.66</w:t>
            </w:r>
          </w:p>
        </w:tc>
      </w:tr>
      <w:tr>
        <w:tc>
          <w:tcPr/>
          <w:p>
            <w:pPr>
              <w:pStyle w:val="Compact"/>
            </w:pPr>
            <w:r>
              <w:t xml:space="preserve">Std. dev.</w:t>
            </w:r>
          </w:p>
        </w:tc>
        <w:tc>
          <w:tcPr/>
          <w:p>
            <w:pPr>
              <w:pStyle w:val="Compact"/>
            </w:pPr>
            <w:r>
              <w:t xml:space="preserve">7.19</w:t>
            </w:r>
          </w:p>
        </w:tc>
        <w:tc>
          <w:tcPr/>
          <w:p>
            <w:pPr>
              <w:pStyle w:val="Compact"/>
            </w:pPr>
            <w:r>
              <w:t xml:space="preserve">7.08</w:t>
            </w:r>
          </w:p>
        </w:tc>
      </w:tr>
      <w:tr>
        <w:tc>
          <w:tcPr/>
          <w:p>
            <w:pPr>
              <w:pStyle w:val="Compact"/>
            </w:pPr>
            <w:r>
              <w:t xml:space="preserve">Median</w:t>
            </w:r>
          </w:p>
        </w:tc>
        <w:tc>
          <w:tcPr/>
          <w:p>
            <w:pPr>
              <w:pStyle w:val="Compact"/>
            </w:pPr>
            <w:r>
              <w:t xml:space="preserve">73.00</w:t>
            </w:r>
          </w:p>
        </w:tc>
        <w:tc>
          <w:tcPr/>
          <w:p>
            <w:pPr>
              <w:pStyle w:val="Compact"/>
            </w:pPr>
            <w:r>
              <w:t xml:space="preserve">74.50</w:t>
            </w:r>
          </w:p>
        </w:tc>
      </w:tr>
      <w:tr>
        <w:tc>
          <w:tcPr/>
          <w:p>
            <w:pPr>
              <w:pStyle w:val="Compact"/>
            </w:pPr>
            <w:r>
              <w:t xml:space="preserve">5th percentile</w:t>
            </w:r>
          </w:p>
        </w:tc>
        <w:tc>
          <w:tcPr/>
          <w:p>
            <w:pPr>
              <w:pStyle w:val="Compact"/>
            </w:pPr>
            <w:r>
              <w:t xml:space="preserve">58.00</w:t>
            </w:r>
          </w:p>
        </w:tc>
        <w:tc>
          <w:tcPr/>
          <w:p>
            <w:pPr>
              <w:pStyle w:val="Compact"/>
            </w:pPr>
            <w:r>
              <w:t xml:space="preserve">59.00</w:t>
            </w:r>
          </w:p>
        </w:tc>
      </w:tr>
      <w:tr>
        <w:tc>
          <w:tcPr/>
          <w:p>
            <w:pPr>
              <w:pStyle w:val="Compact"/>
            </w:pPr>
            <w:r>
              <w:t xml:space="preserve">95th percentile</w:t>
            </w:r>
          </w:p>
        </w:tc>
        <w:tc>
          <w:tcPr/>
          <w:p>
            <w:pPr>
              <w:pStyle w:val="Compact"/>
            </w:pPr>
            <w:r>
              <w:t xml:space="preserve">81.00</w:t>
            </w:r>
          </w:p>
        </w:tc>
        <w:tc>
          <w:tcPr/>
          <w:p>
            <w:pPr>
              <w:pStyle w:val="Compact"/>
            </w:pPr>
            <w:r>
              <w:t xml:space="preserve">82.00</w:t>
            </w:r>
          </w:p>
        </w:tc>
      </w:tr>
      <w:tr>
        <w:tc>
          <w:tcPr/>
          <w:p>
            <w:pPr>
              <w:pStyle w:val="Compact"/>
            </w:pPr>
            <w:r>
              <w:t xml:space="preserve">KS distance</w:t>
            </w:r>
          </w:p>
        </w:tc>
        <w:tc>
          <w:tcPr/>
          <w:p>
            <w:pPr>
              <w:pStyle w:val="Compact"/>
            </w:pPr>
            <w:r>
              <w:rPr>
                <w:b/>
                <w:bCs/>
              </w:rPr>
              <w:t xml:space="preserve">0.100</w:t>
            </w:r>
          </w:p>
        </w:tc>
        <w:tc>
          <w:tcPr/>
          <w:p>
            <w:pPr>
              <w:pStyle w:val="Compact"/>
            </w:pPr>
            <w:r>
              <w:t xml:space="preserve">—</w:t>
            </w:r>
          </w:p>
        </w:tc>
      </w:tr>
    </w:tbl>
    <w:p>
      <w:pPr>
        <w:pStyle w:val="BodyText"/>
      </w:pPr>
      <w:r>
        <w:t xml:space="preserve">Two effects are visible. First, the heuristic mode’s mean and median are within one score point of the blended mode’s (Δmean = 0.82, Δmedian = 1.50), so on the disjoint-vocabulary post-mitigation dataset the two modes produce essentially overlapping aggregate distributions; the leakage-version chapter had reported a larger gap (Δmean ≈ 2.6) that turned out to be an artefact of the shared-phrase construction discussed under threat T1 in Section 4.1.4. Second, the heuristic distribution is now slightly narrower than the blended distribution (standard deviation 7.08 vs 7.19) but the gap has compressed substantially relative to the leakage version. The KS distance of 0.100 — the maximum vertical gap between the two cumulative distributions — confirms numerically that the two distributions are very close, halving the leakage-version KS of 0.200. Figure 4.1 visualises both distributions on the same axes.</w:t>
      </w:r>
    </w:p>
    <w:p>
      <w:pPr>
        <w:pStyle w:val="CaptionedFigure"/>
      </w:pPr>
      <w:r>
        <w:drawing>
          <wp:inline>
            <wp:extent cx="5334000" cy="3772693"/>
            <wp:effectExtent b="0" l="0" r="0" t="0"/>
            <wp:docPr descr="Figure 4.1 — Distribution of overall scores across 100 (resume, JD) pairs, by scoring mode." title="" id="94" name="Picture"/>
            <a:graphic>
              <a:graphicData uri="http://schemas.openxmlformats.org/drawingml/2006/picture">
                <pic:pic>
                  <pic:nvPicPr>
                    <pic:cNvPr descr="figures/figure-4-1-score-distribution.png" id="95" name="Picture"/>
                    <pic:cNvPicPr>
                      <a:picLocks noChangeArrowheads="1" noChangeAspect="1"/>
                    </pic:cNvPicPr>
                  </pic:nvPicPr>
                  <pic:blipFill>
                    <a:blip r:embed="rId9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96"/>
    <w:bookmarkStart w:id="97" w:name="latency"/>
    <w:p>
      <w:pPr>
        <w:pStyle w:val="Heading3"/>
      </w:pPr>
      <w: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18 232.1 ms</w:t>
            </w:r>
          </w:p>
        </w:tc>
        <w:tc>
          <w:tcPr/>
          <w:p>
            <w:pPr>
              <w:pStyle w:val="Compact"/>
            </w:pPr>
            <w:r>
              <w:t xml:space="preserve">25.5 ms</w:t>
            </w:r>
          </w:p>
        </w:tc>
        <w:tc>
          <w:tcPr/>
          <w:p>
            <w:pPr>
              <w:pStyle w:val="Compact"/>
            </w:pPr>
            <w:r>
              <w:t xml:space="preserve">714×</w:t>
            </w:r>
          </w:p>
        </w:tc>
      </w:tr>
      <w:tr>
        <w:tc>
          <w:tcPr/>
          <w:p>
            <w:pPr>
              <w:pStyle w:val="Compact"/>
            </w:pPr>
            <w:r>
              <w:t xml:space="preserve">95th percentile</w:t>
            </w:r>
          </w:p>
        </w:tc>
        <w:tc>
          <w:tcPr/>
          <w:p>
            <w:pPr>
              <w:pStyle w:val="Compact"/>
            </w:pPr>
            <w:r>
              <w:t xml:space="preserve">24 713.7 ms</w:t>
            </w:r>
          </w:p>
        </w:tc>
        <w:tc>
          <w:tcPr/>
          <w:p>
            <w:pPr>
              <w:pStyle w:val="Compact"/>
            </w:pPr>
            <w:r>
              <w:t xml:space="preserve">32.1 ms</w:t>
            </w:r>
          </w:p>
        </w:tc>
        <w:tc>
          <w:tcPr/>
          <w:p>
            <w:pPr>
              <w:pStyle w:val="Compact"/>
            </w:pPr>
            <w:r>
              <w:t xml:space="preserve">770×</w:t>
            </w:r>
          </w:p>
        </w:tc>
      </w:tr>
      <w:tr>
        <w:tc>
          <w:tcPr/>
          <w:p>
            <w:pPr>
              <w:pStyle w:val="Compact"/>
            </w:pPr>
            <w:r>
              <w:t xml:space="preserve">Maximum observed</w:t>
            </w:r>
          </w:p>
        </w:tc>
        <w:tc>
          <w:tcPr/>
          <w:p>
            <w:pPr>
              <w:pStyle w:val="Compact"/>
            </w:pPr>
            <w:r>
              <w:t xml:space="preserve">65 926.6 ms</w:t>
            </w:r>
          </w:p>
        </w:tc>
        <w:tc>
          <w:tcPr/>
          <w:p>
            <w:pPr>
              <w:pStyle w:val="Compact"/>
            </w:pPr>
            <w:r>
              <w:t xml:space="preserve">34.1 ms</w:t>
            </w:r>
          </w:p>
        </w:tc>
        <w:tc>
          <w:tcPr/>
          <w:p>
            <w:pPr>
              <w:pStyle w:val="Compact"/>
            </w:pPr>
            <w:r>
              <w:t xml:space="preserve">1 933×</w:t>
            </w:r>
          </w:p>
        </w:tc>
      </w:tr>
    </w:tbl>
    <w:p>
      <w:pPr>
        <w:pStyle w:val="BodyText"/>
      </w:pPr>
      <w:r>
        <w:t xml:space="preserve">The blended mode is dominated by the LLM call: median ≈ 18 seconds is consistent with a structured-output Gemini 2.5 Flash call against the</w:t>
      </w:r>
      <w:r>
        <w:t xml:space="preserve"> </w:t>
      </w:r>
      <w:r>
        <w:rPr>
          <w:i/>
          <w:iCs/>
        </w:rPr>
        <w:t xml:space="preserve">~608 input tokens</w:t>
      </w:r>
      <w:r>
        <w:t xml:space="preserve"> </w:t>
      </w:r>
      <w:r>
        <w:t xml:space="preserve">of resume and JD content plus a static system-prompt overhead documented in Section 4.3.4, with approximately 1 118 output tokens. The maximum observed of 66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25.5 ms and the 95th percentile is 32.1 ms, both well inside the spec target stated in</w:t>
      </w:r>
      <w:r>
        <w:t xml:space="preserve"> </w:t>
      </w:r>
      <w:r>
        <w:rPr>
          <w:rStyle w:val="VerbatimChar"/>
        </w:rPr>
        <w:t xml:space="preserve">heuristic-v2-design.md</w:t>
      </w:r>
      <w:r>
        <w:t xml:space="preserve">. The blended cold-path 95th percentile of 24 713.7 ms is consistent with the split non-functional requirement N1b introduced in Section 2.1.2 (blended cold-path target ≤ 25 s, dominated by the upstream Gemini call); production cached-path latency is materially lower as reported in Section 3.9. The two-to-three-orders-of-magnitude latency advantage of the heuristic mode is consistent across the median, the 95th percentile, and the worst-case row.</w:t>
      </w:r>
    </w:p>
    <w:bookmarkEnd w:id="97"/>
    <w:bookmarkStart w:id="98" w:name="per-call-cost"/>
    <w:p>
      <w:pPr>
        <w:pStyle w:val="Heading3"/>
      </w:pPr>
      <w: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608</w:t>
            </w:r>
          </w:p>
        </w:tc>
        <w:tc>
          <w:tcPr/>
          <w:p>
            <w:pPr>
              <w:pStyle w:val="Compact"/>
            </w:pPr>
            <w:r>
              <w:t xml:space="preserve">0</w:t>
            </w:r>
          </w:p>
        </w:tc>
      </w:tr>
      <w:tr>
        <w:tc>
          <w:tcPr/>
          <w:p>
            <w:pPr>
              <w:pStyle w:val="Compact"/>
            </w:pPr>
            <w:r>
              <w:t xml:space="preserve">Output tokens (avg., est.)</w:t>
            </w:r>
          </w:p>
        </w:tc>
        <w:tc>
          <w:tcPr/>
          <w:p>
            <w:pPr>
              <w:pStyle w:val="Compact"/>
            </w:pPr>
            <w:r>
              <w:t xml:space="preserve">1 118</w:t>
            </w:r>
          </w:p>
        </w:tc>
        <w:tc>
          <w:tcPr/>
          <w:p>
            <w:pPr>
              <w:pStyle w:val="Compact"/>
            </w:pPr>
            <w:r>
              <w:t xml:space="preserve">0</w:t>
            </w:r>
          </w:p>
        </w:tc>
      </w:tr>
      <w:tr>
        <w:tc>
          <w:tcPr/>
          <w:p>
            <w:pPr>
              <w:pStyle w:val="Compact"/>
            </w:pPr>
            <w:r>
              <w:t xml:space="preserve">Per-call USD (avg.)</w:t>
            </w:r>
          </w:p>
        </w:tc>
        <w:tc>
          <w:tcPr/>
          <w:p>
            <w:pPr>
              <w:pStyle w:val="Compact"/>
            </w:pPr>
            <w:r>
              <w:t xml:space="preserve">$0.00038</w:t>
            </w:r>
          </w:p>
        </w:tc>
        <w:tc>
          <w:tcPr/>
          <w:p>
            <w:pPr>
              <w:pStyle w:val="Compact"/>
            </w:pPr>
            <w:r>
              <w:t xml:space="preserve">$0.00000</w:t>
            </w:r>
          </w:p>
        </w:tc>
      </w:tr>
      <w:tr>
        <w:tc>
          <w:tcPr/>
          <w:p>
            <w:pPr>
              <w:pStyle w:val="Compact"/>
            </w:pPr>
            <w:r>
              <w:t xml:space="preserve">Per-call USD (95th pct.)</w:t>
            </w:r>
          </w:p>
        </w:tc>
        <w:tc>
          <w:tcPr/>
          <w:p>
            <w:pPr>
              <w:pStyle w:val="Compact"/>
            </w:pPr>
            <w:r>
              <w:t xml:space="preserve">$0.00042</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$11.43</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resume and the job description text the harness sends; the system prompt and the locked-payload block are configured server-side in the analytical service and contribute additional per-call overhead that is not captured by the harness’s estimator.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$11.43 per month</w:t>
      </w:r>
      <w:r>
        <w:t xml:space="preserve"> </w:t>
      </w:r>
      <w:r>
        <w:t xml:space="preserve">in LLM-side spend on this evaluation set. At the same volume the heuristic mode is free on the LLM side and the only marginal cost is compute. The cost ratio is therefore unbounded as a multiple but small in absolute terms at thesis-scope traffic; the comparative discussion in Section 4.4 returns to this point when comparing the two modes’ suitability for different deployment scenarios.</w:t>
      </w:r>
    </w:p>
    <w:bookmarkEnd w:id="98"/>
    <w:bookmarkStart w:id="9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0.836</w:t>
            </w:r>
          </w:p>
        </w:tc>
        <w:tc>
          <w:tcPr/>
          <w:p>
            <w:pPr>
              <w:pStyle w:val="Compact"/>
            </w:pPr>
            <w:r>
              <w:t xml:space="preserve">0.847</w:t>
            </w:r>
          </w:p>
        </w:tc>
      </w:tr>
      <w:tr>
        <w:tc>
          <w:tcPr/>
          <w:p>
            <w:pPr>
              <w:pStyle w:val="Compact"/>
            </w:pPr>
            <w:r>
              <w:t xml:space="preserve">Equal (0.20 across all five)</w:t>
            </w:r>
          </w:p>
        </w:tc>
        <w:tc>
          <w:tcPr/>
          <w:p>
            <w:pPr>
              <w:pStyle w:val="Compact"/>
            </w:pPr>
            <w:r>
              <w:t xml:space="preserve">0.813</w:t>
            </w:r>
          </w:p>
        </w:tc>
        <w:tc>
          <w:tcPr/>
          <w:p>
            <w:pPr>
              <w:pStyle w:val="Compact"/>
            </w:pPr>
            <w:r>
              <w:t xml:space="preserve">0.823</w:t>
            </w:r>
          </w:p>
        </w:tc>
      </w:tr>
    </w:tbl>
    <w:p>
      <w:pPr>
        <w:pStyle w:val="BodyText"/>
      </w:pPr>
      <w:r>
        <w:t xml:space="preserve">The Pearson correlation moves by Δ = −0.023 between the two weightings; the Spearman correlation moves by Δ = −0.024 (the near-equality of the two deltas is a coincidence of three-decimal rounding rather than a structural pattern). Both correlations remain comfortably above the 0.7 reference threshold under either weighting, so the comparative result on the post-mitigation dataset is robust to the weight choice.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99"/>
    <w:bookmarkEnd w:id="100"/>
    <w:bookmarkStart w:id="101" w:name="discussion-and-limitations"/>
    <w:p>
      <w:pPr>
        <w:pStyle w:val="Heading2"/>
      </w:pPr>
      <w: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0.836 [95% CI 0.762, 0.896], Spearman ρ = 0.847, both well above the 0.7 reference threshold under cluster-bootstrap intervals) at roughly two-to-three orders of magnitude lower latency (median 25.5 ms vs 18.2 s) and at zero LLM-side marginal cost. The post-hoc LLM-only-versus-heuristic correlation, isolated from the structural blended-formula component (Section 4.3.1’, T2 mitigation), is</w:t>
      </w:r>
      <w:r>
        <w:t xml:space="preserve"> </w:t>
      </w:r>
      <w:r>
        <w:rPr>
          <w:i/>
          <w:iCs/>
        </w:rPr>
        <w:t xml:space="preserve">r</w:t>
      </w:r>
      <w:r>
        <w:t xml:space="preserve"> </w:t>
      </w:r>
      <w:r>
        <w:t xml:space="preserve">= 0.627 [95% CI 0.476, 0.765] — the honest cross-mode agreement statistic that strips out the 0.40 heuristic share blended carries by construction.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0.937) and</w:t>
      </w:r>
      <w:r>
        <w:t xml:space="preserve"> </w:t>
      </w:r>
      <w:r>
        <w:rPr>
          <w:i/>
          <w:iCs/>
        </w:rPr>
        <w:t xml:space="preserve">structure</w:t>
      </w:r>
      <w:r>
        <w:t xml:space="preserve"> </w:t>
      </w:r>
      <w:r>
        <w:t xml:space="preserve">(</w:t>
      </w:r>
      <w:r>
        <w:rPr>
          <w:i/>
          <w:iCs/>
        </w:rPr>
        <w:t xml:space="preserve">r</w:t>
      </w:r>
      <w:r>
        <w:t xml:space="preserve"> </w:t>
      </w:r>
      <w:r>
        <w:t xml:space="preserve">= 0.830) and weakest on</w:t>
      </w:r>
      <w:r>
        <w:t xml:space="preserve"> </w:t>
      </w:r>
      <w:r>
        <w:rPr>
          <w:i/>
          <w:iCs/>
        </w:rPr>
        <w:t xml:space="preserve">clarity</w:t>
      </w:r>
      <w:r>
        <w:t xml:space="preserve"> </w:t>
      </w:r>
      <w:r>
        <w:t xml:space="preserve">(</w:t>
      </w:r>
      <w:r>
        <w:rPr>
          <w:i/>
          <w:iCs/>
        </w:rPr>
        <w:t xml:space="preserve">r</w:t>
      </w:r>
      <w:r>
        <w:t xml:space="preserve"> </w:t>
      </w:r>
      <w:r>
        <w:t xml:space="preserve">= 0.395), which is the axis on which the language model contributes prose-quality evidence the heuristic cannot see. Independently of the numbers, the blended mode produces qualitatively richer recommendations — the prose explanations, the role-fit narratives, the cover-letter-grade phrasing —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 a relevant scope for a Wrocław-based deployment —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therefore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is — independently of the specific numerical result —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101"/>
    <w:bookmarkEnd w:id="102"/>
    <w:bookmarkStart w:id="113" w:name="bibliography"/>
    <w:p>
      <w:pPr>
        <w:pStyle w:val="Heading1"/>
      </w:pPr>
      <w:r>
        <w:t xml:space="preserve">Bibliography</w:t>
      </w:r>
    </w:p>
    <w:bookmarkStart w:id="103"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103"/>
    <w:bookmarkStart w:id="104"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104"/>
    <w:bookmarkStart w:id="105"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105"/>
    <w:bookmarkStart w:id="106"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106"/>
    <w:bookmarkStart w:id="107"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107"/>
    <w:bookmarkStart w:id="108"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108"/>
    <w:bookmarkStart w:id="109"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109"/>
    <w:bookmarkStart w:id="110"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(FAT</w:t>
      </w:r>
      <w:r>
        <w:t xml:space="preserve"> </w:t>
      </w:r>
      <w:r>
        <w:t xml:space="preserve">’20)*,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10"/>
    <w:bookmarkStart w:id="111"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11"/>
    <w:bookmarkStart w:id="112" w:name="web-frameworks-and-system-tooling"/>
    <w:p>
      <w:pPr>
        <w:pStyle w:val="Heading2"/>
      </w:pPr>
      <w:r>
        <w:t xml:space="preserve">10. Web frameworks and system tooling</w:t>
      </w:r>
    </w:p>
    <w:p>
      <w:pPr>
        <w:pStyle w:val="BlockText"/>
      </w:pPr>
      <w:r>
        <w:t xml:space="preserve">Documentation references for the engineering chapters; cited as official documentation footnotes rather than as numbered bibliography entries.</w:t>
      </w:r>
    </w:p>
    <w:p>
      <w:pPr>
        <w:pStyle w:val="Compact"/>
        <w:numPr>
          <w:ilvl w:val="0"/>
          <w:numId w:val="1007"/>
        </w:numPr>
      </w:pPr>
      <w:r>
        <w:t xml:space="preserve">FastAPI documentation. https://fastapi.tiangolo.com</w:t>
      </w:r>
    </w:p>
    <w:p>
      <w:pPr>
        <w:pStyle w:val="Compact"/>
        <w:numPr>
          <w:ilvl w:val="0"/>
          <w:numId w:val="1007"/>
        </w:numPr>
      </w:pPr>
      <w:r>
        <w:t xml:space="preserve">TanStack Start / Router documentation. https://tanstack.com/router</w:t>
      </w:r>
    </w:p>
    <w:p>
      <w:pPr>
        <w:pStyle w:val="Compact"/>
        <w:numPr>
          <w:ilvl w:val="0"/>
          <w:numId w:val="1007"/>
        </w:numPr>
      </w:pPr>
      <w:r>
        <w:t xml:space="preserve">React 19 documentation. https://react.dev</w:t>
      </w:r>
    </w:p>
    <w:p>
      <w:pPr>
        <w:pStyle w:val="Compact"/>
        <w:numPr>
          <w:ilvl w:val="0"/>
          <w:numId w:val="1007"/>
        </w:numPr>
      </w:pPr>
      <w:r>
        <w:t xml:space="preserve">Vite documentation. https://vite.dev</w:t>
      </w:r>
    </w:p>
    <w:p>
      <w:pPr>
        <w:pStyle w:val="Compact"/>
        <w:numPr>
          <w:ilvl w:val="0"/>
          <w:numId w:val="1007"/>
        </w:numPr>
      </w:pPr>
      <w:r>
        <w:t xml:space="preserve">SQLAlchemy 2.0 documentation. https://www.sqlalchemy.org</w:t>
      </w:r>
    </w:p>
    <w:p>
      <w:pPr>
        <w:pStyle w:val="Compact"/>
        <w:numPr>
          <w:ilvl w:val="0"/>
          <w:numId w:val="1007"/>
        </w:numPr>
      </w:pPr>
      <w:r>
        <w:t xml:space="preserve">Alembic migration documentation. https://alembic.sqlalchemy.org</w:t>
      </w:r>
    </w:p>
    <w:p>
      <w:pPr>
        <w:pStyle w:val="Compact"/>
        <w:numPr>
          <w:ilvl w:val="0"/>
          <w:numId w:val="1007"/>
        </w:numPr>
      </w:pPr>
      <w:r>
        <w:t xml:space="preserve">PostgreSQL documentation. https://www.postgresql.org/docs/</w:t>
      </w:r>
    </w:p>
    <w:p>
      <w:pPr>
        <w:pStyle w:val="Compact"/>
        <w:numPr>
          <w:ilvl w:val="0"/>
          <w:numId w:val="1007"/>
        </w:numPr>
      </w:pPr>
      <w:r>
        <w:t xml:space="preserve">Google Cloud Vertex AI Gemini documentation. https://cloud.google.com/vertex-ai/generative-ai/docs</w:t>
      </w:r>
    </w:p>
    <w:p>
      <w:pPr>
        <w:pStyle w:val="Compact"/>
        <w:numPr>
          <w:ilvl w:val="0"/>
          <w:numId w:val="1007"/>
        </w:numPr>
      </w:pPr>
      <w:r>
        <w:t xml:space="preserve">Resend transactional email API. https://resend.com/docs</w:t>
      </w:r>
    </w:p>
    <w:bookmarkEnd w:id="112"/>
    <w:bookmarkEnd w:id="113"/>
    <w:bookmarkStart w:id="145" w:name="appendices"/>
    <w:p>
      <w:pPr>
        <w:pStyle w:val="Heading1"/>
      </w:pPr>
      <w:r>
        <w:t xml:space="preserve">Appendices</w:t>
      </w:r>
    </w:p>
    <w:bookmarkStart w:id="118"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14"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14"/>
    <w:bookmarkStart w:id="115"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15"/>
    <w:bookmarkStart w:id="116"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16"/>
    <w:bookmarkStart w:id="117"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17"/>
    <w:bookmarkEnd w:id="118"/>
    <w:bookmarkStart w:id="123"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19"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19"/>
    <w:bookmarkStart w:id="120"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20"/>
    <w:bookmarkStart w:id="121"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21"/>
    <w:bookmarkStart w:id="122"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22"/>
    <w:bookmarkEnd w:id="123"/>
    <w:bookmarkStart w:id="140"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27" w:name="c.1-landing-page"/>
    <w:p>
      <w:pPr>
        <w:pStyle w:val="Heading3"/>
      </w:pPr>
      <w:r>
        <w:t xml:space="preserve">C.1 Landing page</w:t>
      </w:r>
    </w:p>
    <w:p>
      <w:pPr>
        <w:pStyle w:val="CaptionedFigure"/>
      </w:pPr>
      <w:r>
        <w:drawing>
          <wp:inline>
            <wp:extent cx="5334000" cy="3000375"/>
            <wp:effectExtent b="0" l="0" r="0" t="0"/>
            <wp:docPr descr="Figure C.1 — Career Workbench landing page (signed-out, production deployment)." title="" id="125" name="Picture"/>
            <a:graphic>
              <a:graphicData uri="http://schemas.openxmlformats.org/drawingml/2006/picture">
                <pic:pic>
                  <pic:nvPicPr>
                    <pic:cNvPr descr="figures/ui-01-landing.png" id="126" name="Picture"/>
                    <pic:cNvPicPr>
                      <a:picLocks noChangeArrowheads="1" noChangeAspect="1"/>
                    </pic:cNvPicPr>
                  </pic:nvPicPr>
                  <pic:blipFill>
                    <a:blip r:embed="rId1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27"/>
    <w:bookmarkStart w:id="131" w:name="c.2-resume-analyzer-input-page"/>
    <w:p>
      <w:pPr>
        <w:pStyle w:val="Heading3"/>
      </w:pPr>
      <w:r>
        <w:t xml:space="preserve">C.2 Resume Analyzer input page</w:t>
      </w:r>
    </w:p>
    <w:p>
      <w:pPr>
        <w:pStyle w:val="CaptionedFigure"/>
      </w:pPr>
      <w:r>
        <w:drawing>
          <wp:inline>
            <wp:extent cx="5334000" cy="3000375"/>
            <wp:effectExtent b="0" l="0" r="0" t="0"/>
            <wp:docPr descr="Figure C.2 — Resume Analyzer input page, guest mode." title="" id="129" name="Picture"/>
            <a:graphic>
              <a:graphicData uri="http://schemas.openxmlformats.org/drawingml/2006/picture">
                <pic:pic>
                  <pic:nvPicPr>
                    <pic:cNvPr descr="figures/ui-03-resume-input.png" id="130" name="Picture"/>
                    <pic:cNvPicPr>
                      <a:picLocks noChangeArrowheads="1" noChangeAspect="1"/>
                    </pic:cNvPicPr>
                  </pic:nvPicPr>
                  <pic:blipFill>
                    <a:blip r:embed="rId12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31"/>
    <w:bookmarkStart w:id="135" w:name="Xe92b625608c320df0d0e71eef401fce0fea85fc"/>
    <w:p>
      <w:pPr>
        <w:pStyle w:val="Heading3"/>
      </w:pPr>
      <w:r>
        <w:t xml:space="preserve">C.3 Resume Analyzer result page (blended mode)</w:t>
      </w:r>
    </w:p>
    <w:p>
      <w:pPr>
        <w:pStyle w:val="CaptionedFigure"/>
      </w:pPr>
      <w:r>
        <w:drawing>
          <wp:inline>
            <wp:extent cx="5334000" cy="5995193"/>
            <wp:effectExtent b="0" l="0" r="0" t="0"/>
            <wp:docPr descr="Figure C.3 — Resume Analyzer result page in blended mode." title="" id="133" name="Picture"/>
            <a:graphic>
              <a:graphicData uri="http://schemas.openxmlformats.org/drawingml/2006/picture">
                <pic:pic>
                  <pic:nvPicPr>
                    <pic:cNvPr descr="figures/ui-04-resume-result.png" id="134" name="Picture"/>
                    <pic:cNvPicPr>
                      <a:picLocks noChangeArrowheads="1" noChangeAspect="1"/>
                    </pic:cNvPicPr>
                  </pic:nvPicPr>
                  <pic:blipFill>
                    <a:blip r:embed="rId132"/>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35"/>
    <w:bookmarkStart w:id="139" w:name="c.4-job-match-result-page"/>
    <w:p>
      <w:pPr>
        <w:pStyle w:val="Heading3"/>
      </w:pPr>
      <w:r>
        <w:t xml:space="preserve">C.4 Job Match result page</w:t>
      </w:r>
    </w:p>
    <w:p>
      <w:pPr>
        <w:pStyle w:val="CaptionedFigure"/>
      </w:pPr>
      <w:r>
        <w:drawing>
          <wp:inline>
            <wp:extent cx="5334000" cy="7303690"/>
            <wp:effectExtent b="0" l="0" r="0" t="0"/>
            <wp:docPr descr="Figure C.4 — Job Match result page on the same resume / job-description pair." title="" id="137" name="Picture"/>
            <a:graphic>
              <a:graphicData uri="http://schemas.openxmlformats.org/drawingml/2006/picture">
                <pic:pic>
                  <pic:nvPicPr>
                    <pic:cNvPr descr="figures/ui-05-job-match-result.png" id="138" name="Picture"/>
                    <pic:cNvPicPr>
                      <a:picLocks noChangeArrowheads="1" noChangeAspect="1"/>
                    </pic:cNvPicPr>
                  </pic:nvPicPr>
                  <pic:blipFill>
                    <a:blip r:embed="rId136"/>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39"/>
    <w:bookmarkEnd w:id="140"/>
    <w:bookmarkStart w:id="144" w:name="appendix-d-configuration-reference"/>
    <w:p>
      <w:pPr>
        <w:pStyle w:val="Heading2"/>
      </w:pPr>
      <w:r>
        <w:t xml:space="preserve">Appendix D — Configuration reference</w:t>
      </w:r>
    </w:p>
    <w:bookmarkStart w:id="141"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41"/>
    <w:bookmarkStart w:id="142"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8"/>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8"/>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42"/>
    <w:bookmarkStart w:id="143" w:name="d.3-running-the-evaluation-harness"/>
    <w:p>
      <w:pPr>
        <w:pStyle w:val="Heading3"/>
      </w:pPr>
      <w: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43"/>
    <w:bookmarkEnd w:id="144"/>
    <w:bookmarkEnd w:id="1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93" Target="media/rId93.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2026-05-07T21:23:07Z</dcterms:created>
  <dcterms:modified xsi:type="dcterms:W3CDTF">2026-05-07T21:23:07Z</dcterms:modified>
</cp:coreProperties>
</file>

<file path=docProps/custom.xml><?xml version="1.0" encoding="utf-8"?>
<Properties xmlns="http://schemas.openxmlformats.org/officeDocument/2006/custom-properties" xmlns:vt="http://schemas.openxmlformats.org/officeDocument/2006/docPropsVTypes"/>
</file>