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45.png" ContentType="image/png"/>
  <Override PartName="/word/media/rId93.png" ContentType="image/png"/>
  <Override PartName="/word/media/rId130.png" ContentType="image/png"/>
  <Override PartName="/word/media/rId134.png" ContentType="image/png"/>
  <Override PartName="/word/media/rId138.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10" w:name="bachelor-thesis"/>
    <w:p>
      <w:pPr>
        <w:pStyle w:val="Heading1"/>
      </w:pPr>
      <w:r>
        <w:t xml:space="preserve">Bachelor Thesis</w:t>
      </w:r>
    </w:p>
    <w:bookmarkStart w:id="9" w:name="Xd478063726b65b0452c9321f694361eb6c13481"/>
    <w:p>
      <w:pPr>
        <w:pStyle w:val="Heading2"/>
      </w:pPr>
      <w: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9"/>
    <w:bookmarkEnd w:id="10"/>
    <w:bookmarkStart w:id="13" w:name="abstract-streszczenie-abstract"/>
    <w:p>
      <w:pPr>
        <w:pStyle w:val="Heading1"/>
      </w:pPr>
      <w:r>
        <w:t xml:space="preserve">Abstract — Streszczenie / Abstract</w:t>
      </w:r>
    </w:p>
    <w:p>
      <w:r>
        <w:pict>
          <v:rect style="width:0;height:1.5pt" o:hralign="center" o:hrstd="t" o:hr="t"/>
        </w:pict>
      </w:r>
    </w:p>
    <w:bookmarkStart w:id="11" w:name="streszczenie"/>
    <w:p>
      <w:pPr>
        <w:pStyle w:val="Heading2"/>
      </w:pPr>
      <w:r>
        <w:rPr>
          <w:lang w:val="pl"/>
        </w:rPr>
        <w:t xml:space="preserve">Streszczenie</w:t>
      </w:r>
    </w:p>
    <w:p>
      <w:pPr>
        <w:pStyle w:val="FirstParagraph"/>
      </w:pPr>
      <w:r>
        <w:rPr>
          <w:lang w:va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lang w:val="pl"/>
        </w:rPr>
        <w:t xml:space="preserve"> </w:t>
      </w:r>
      <w:r>
        <w:rPr>
          <w:i/>
          <w:iCs/>
          <w:lang w:val="pl"/>
        </w:rPr>
        <w:t xml:space="preserve">tryb mieszany</w:t>
      </w:r>
      <w:r>
        <w:rPr>
          <w:lang w:val="pl"/>
        </w:rPr>
        <w:t xml:space="preserve"> </w:t>
      </w:r>
      <w:r>
        <w:rPr>
          <w:lang w:val="pl"/>
        </w:rPr>
        <w:t xml:space="preserve">łączący deterministyczną heurystykę ze strukturalnym wyjściem modelu językowego (40% / 60%), oraz</w:t>
      </w:r>
      <w:r>
        <w:rPr>
          <w:lang w:val="pl"/>
        </w:rPr>
        <w:t xml:space="preserve"> </w:t>
      </w:r>
      <w:r>
        <w:rPr>
          <w:i/>
          <w:iCs/>
          <w:lang w:val="pl"/>
        </w:rPr>
        <w:t xml:space="preserve">tryb w pełni heurystyczny</w:t>
      </w:r>
      <w:r>
        <w:rPr>
          <w:lang w:val="pl"/>
        </w:rPr>
        <w:t xml:space="preserve"> </w:t>
      </w:r>
      <w:r>
        <w:rPr>
          <w:lang w:val="pl"/>
        </w:rPr>
        <w:t xml:space="preserve">oparty na klasycznych metodach wyszukiwania informacji: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lang w:val="pl"/>
        </w:rPr>
        <w:t xml:space="preserve"> </w:t>
      </w:r>
      <w:r>
        <w:rPr>
          <w:i/>
          <w:iCs/>
          <w:lang w:val="pl"/>
        </w:rPr>
        <w:t xml:space="preserve">syntetyczne CV oraz syntetyczne opisy stanowisk</w:t>
      </w:r>
      <w:r>
        <w:rPr>
          <w:lang w:val="pl"/>
        </w:rPr>
        <w:t xml:space="preserve"> </w:t>
      </w:r>
      <w:r>
        <w:rPr>
          <w:lang w:val="pl"/>
        </w:rPr>
        <w:t xml:space="preserve">skonstruowane z rozłącznych słownikowo pul fraz, w których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lang w:val="pl"/>
        </w:rPr>
        <w:t xml:space="preserve"> </w:t>
      </w:r>
      <w:r>
        <w:rPr>
          <w:i/>
          <w:iCs/>
          <w:lang w:val="pl"/>
        </w:rPr>
        <w:t xml:space="preserve">r</w:t>
      </w:r>
      <w:r>
        <w:rPr>
          <w:lang w:val="pl"/>
        </w:rPr>
        <w:t xml:space="preserve"> </w:t>
      </w:r>
      <w:r>
        <w:rPr>
          <w:lang w:val="pl"/>
        </w:rPr>
        <w:t xml:space="preserve">=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lang w:val="pl"/>
        </w:rPr>
        <w:t xml:space="preserve"> </w:t>
      </w:r>
      <w:r>
        <w:rPr>
          <w:i/>
          <w:iCs/>
          <w:lang w:val="pl"/>
        </w:rPr>
        <w:t xml:space="preserve">r</w:t>
      </w:r>
      <w:r>
        <w:rPr>
          <w:lang w:val="pl"/>
        </w:rPr>
        <w:t xml:space="preserve"> </w:t>
      </w:r>
      <w:r>
        <w:rPr>
          <w:lang w:val="pl"/>
        </w:rPr>
        <w:t xml:space="preserve">= 0,627 [95% CI 0,476, 0,765]; jest to zgodność krzyżowa po wyłączeniu 0,40-składnika heurystycznego, który tryb mieszany zawiera z definicji. Tryb mieszany zachowuje nieredukowalną przewagę w zakresie dowodów jakości prozy (podwynik</w:t>
      </w:r>
      <w:r>
        <w:rPr>
          <w:lang w:val="pl"/>
        </w:rPr>
        <w:t xml:space="preserve"> </w:t>
      </w:r>
      <w:r>
        <w:rPr>
          <w:i/>
          <w:iCs/>
          <w:lang w:val="pl"/>
        </w:rPr>
        <w:t xml:space="preserve">clarity</w:t>
      </w:r>
      <w:r>
        <w:rPr>
          <w:lang w:val="pl"/>
        </w:rPr>
        <w:t xml:space="preserve"> </w:t>
      </w:r>
      <w:r>
        <w:rPr>
          <w:i/>
          <w:iCs/>
          <w:lang w:val="pl"/>
        </w:rPr>
        <w:t xml:space="preserve">r</w:t>
      </w:r>
      <w:r>
        <w:rPr>
          <w:lang w:val="pl"/>
        </w:rPr>
        <w:t xml:space="preserve"> </w:t>
      </w:r>
      <w:r>
        <w:rPr>
          <w:lang w:val="pl"/>
        </w:rPr>
        <w:t xml:space="preserve">=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pPr>
      <w:r>
        <w:rPr>
          <w:b/>
          <w:bCs/>
          <w:lang w:val="pl"/>
        </w:rPr>
        <w:t xml:space="preserve">Słowa kluczowe:</w:t>
      </w:r>
      <w:r>
        <w:rPr>
          <w:lang w:val="pl"/>
        </w:rPr>
        <w:t xml:space="preserve"> </w:t>
      </w:r>
      <w:r>
        <w:rPr>
          <w:lang w:val="pl"/>
        </w:rPr>
        <w:t xml:space="preserve">doradztwo zawodowe, analiza CV, duże modele językowe, wyszukiwanie informacji, taksonomia ESCO, ocena hybrydowa, FastAPI, React.</w:t>
      </w:r>
    </w:p>
    <w:bookmarkEnd w:id="11"/>
    <w:bookmarkStart w:id="12" w:name="abstract-english"/>
    <w:p>
      <w:pPr>
        <w:pStyle w:val="Heading2"/>
      </w:pPr>
      <w:r>
        <w:t xml:space="preserve">Abstract (English)</w:t>
      </w:r>
    </w:p>
    <w:p>
      <w:pPr>
        <w:pStyle w:val="FirstParagraph"/>
      </w:pPr>
      <w:r>
        <w:t xml:space="preserve">This thesis presents the design, implementation, and evaluation of an AI-based system for personalized career recommendation. The system, deployed as a web application on a managed cloud platform, integrates six complementary tools (resume analysis, job-description matching, career-path suggestion, cover-letter generation, interview preparation, and portfolio planning)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t xml:space="preserve"> </w:t>
      </w:r>
      <w:r>
        <w:rPr>
          <w:i/>
          <w:iCs/>
        </w:rPr>
        <w:t xml:space="preserve">blended mode</w:t>
      </w:r>
      <w:r>
        <w:t xml:space="preserve"> </w:t>
      </w:r>
      <w:r>
        <w:t xml:space="preserve">that combines a deterministic heuristic with the language model’s structured output (40% / 60% weighting), and a</w:t>
      </w:r>
      <w:r>
        <w:t xml:space="preserve"> </w:t>
      </w:r>
      <w:r>
        <w:rPr>
          <w:i/>
          <w:iCs/>
        </w:rPr>
        <w:t xml:space="preserve">fully heuristic mode</w:t>
      </w:r>
      <w:r>
        <w:t xml:space="preserve"> </w:t>
      </w:r>
      <w:r>
        <w:t xml:space="preserve">grounded in classical information-retrieval methods: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t xml:space="preserve"> </w:t>
      </w:r>
      <w:r>
        <w:rPr>
          <w:i/>
          <w:iCs/>
        </w:rPr>
        <w:t xml:space="preserve">template-synthesised resumes and template-synthesised job descriptions</w:t>
      </w:r>
      <w:r>
        <w:t xml:space="preserve"> </w:t>
      </w:r>
      <w:r>
        <w:t xml:space="preserve">under a</w:t>
      </w:r>
      <w:r>
        <w:t xml:space="preserve"> </w:t>
      </w:r>
      <w:r>
        <w:rPr>
          <w:i/>
          <w:iCs/>
        </w:rPr>
        <w:t xml:space="preserve">disjoint-vocabulary</w:t>
      </w:r>
      <w:r>
        <w:t xml:space="preserve"> </w:t>
      </w:r>
      <w: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t xml:space="preserve"> </w:t>
      </w:r>
      <w:r>
        <w:rPr>
          <w:i/>
          <w:iCs/>
        </w:rPr>
        <w:t xml:space="preserve">r</w:t>
      </w:r>
      <w:r>
        <w:t xml:space="preserve"> </w:t>
      </w:r>
      <w: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t xml:space="preserve"> </w:t>
      </w:r>
      <w:r>
        <w:rPr>
          <w:i/>
          <w:iCs/>
        </w:rPr>
        <w:t xml:space="preserve">r</w:t>
      </w:r>
      <w:r>
        <w:t xml:space="preserve"> </w:t>
      </w:r>
      <w:r>
        <w:t xml:space="preserve">= 0.627 [95% CI 0.476, 0.765]; this is the cross-mode agreement after controlling for the 0.40 heuristic share that the blended mode carries by construction. The blended mode retains an irreducible advantage on prose-quality evidence (clarity sub-score</w:t>
      </w:r>
      <w:r>
        <w:t xml:space="preserve"> </w:t>
      </w:r>
      <w:r>
        <w:rPr>
          <w:i/>
          <w:iCs/>
        </w:rPr>
        <w:t xml:space="preserve">r</w:t>
      </w:r>
      <w:r>
        <w:t xml:space="preserve"> </w:t>
      </w:r>
      <w: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12"/>
    <w:bookmarkEnd w:id="13"/>
    <w:bookmarkStart w:id="14" w:name="acknowledgements"/>
    <w:p>
      <w:pPr>
        <w:pStyle w:val="Heading1"/>
      </w:pPr>
      <w: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14"/>
    <w:bookmarkStart w:id="16" w:name="list-of-abbreviations-and-symbols"/>
    <w:p>
      <w:pPr>
        <w:pStyle w:val="Heading1"/>
      </w:pPr>
      <w: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APA</w:t>
            </w:r>
          </w:p>
        </w:tc>
        <w:tc>
          <w:tcPr/>
          <w:p>
            <w:pPr>
              <w:pStyle w:val="Compact"/>
            </w:pPr>
            <w:r>
              <w:t xml:space="preserve">American Psychological Association (citation style)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BERT</w:t>
            </w:r>
          </w:p>
        </w:tc>
        <w:tc>
          <w:tcPr/>
          <w:p>
            <w:pPr>
              <w:pStyle w:val="Compact"/>
            </w:pPr>
            <w:r>
              <w:t xml:space="preserve">Bidirectional Encoder Representations from Transformers</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BS4</w:t>
            </w:r>
          </w:p>
        </w:tc>
        <w:tc>
          <w:tcPr/>
          <w:p>
            <w:pPr>
              <w:pStyle w:val="Compact"/>
            </w:pPr>
            <w:r>
              <w:t xml:space="preserve">BeautifulSoup 4 (HTML parsing library)</w:t>
            </w:r>
          </w:p>
        </w:tc>
      </w:tr>
      <w:tr>
        <w:tc>
          <w:tcPr/>
          <w:p>
            <w:pPr>
              <w:pStyle w:val="Compact"/>
            </w:pPr>
            <w:r>
              <w:t xml:space="preserve">CC</w:t>
            </w:r>
          </w:p>
        </w:tc>
        <w:tc>
          <w:tcPr/>
          <w:p>
            <w:pPr>
              <w:pStyle w:val="Compact"/>
            </w:pPr>
            <w:r>
              <w:t xml:space="preserve">Creative Commons</w:t>
            </w:r>
          </w:p>
        </w:tc>
      </w:tr>
      <w:tr>
        <w:tc>
          <w:tcPr/>
          <w:p>
            <w:pPr>
              <w:pStyle w:val="Compact"/>
            </w:pPr>
            <w:r>
              <w:t xml:space="preserve">CDN</w:t>
            </w:r>
          </w:p>
        </w:tc>
        <w:tc>
          <w:tcPr/>
          <w:p>
            <w:pPr>
              <w:pStyle w:val="Compact"/>
            </w:pPr>
            <w:r>
              <w:t xml:space="preserve">Content Delivery Network</w:t>
            </w:r>
          </w:p>
        </w:tc>
      </w:tr>
      <w:tr>
        <w:tc>
          <w:tcPr/>
          <w:p>
            <w:pPr>
              <w:pStyle w:val="Compact"/>
            </w:pPr>
            <w:r>
              <w:t xml:space="preserve">CI / CD</w:t>
            </w:r>
          </w:p>
        </w:tc>
        <w:tc>
          <w:tcPr/>
          <w:p>
            <w:pPr>
              <w:pStyle w:val="Compact"/>
            </w:pPr>
            <w:r>
              <w:t xml:space="preserve">Continuous Integration / Continuous Deployment</w:t>
            </w:r>
          </w:p>
        </w:tc>
      </w:tr>
      <w:tr>
        <w:tc>
          <w:tcPr/>
          <w:p>
            <w:pPr>
              <w:pStyle w:val="Compact"/>
            </w:pPr>
            <w:r>
              <w:t xml:space="preserve">CLI</w:t>
            </w:r>
          </w:p>
        </w:tc>
        <w:tc>
          <w:tcPr/>
          <w:p>
            <w:pPr>
              <w:pStyle w:val="Compact"/>
            </w:pPr>
            <w:r>
              <w:t xml:space="preserve">Command-Line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CSS</w:t>
            </w:r>
          </w:p>
        </w:tc>
        <w:tc>
          <w:tcPr/>
          <w:p>
            <w:pPr>
              <w:pStyle w:val="Compact"/>
            </w:pPr>
            <w:r>
              <w:t xml:space="preserve">Cascading Style Sheets</w:t>
            </w:r>
          </w:p>
        </w:tc>
      </w:tr>
      <w:tr>
        <w:tc>
          <w:tcPr/>
          <w:p>
            <w:pPr>
              <w:pStyle w:val="Compact"/>
            </w:pPr>
            <w:r>
              <w:t xml:space="preserve">CSV</w:t>
            </w:r>
          </w:p>
        </w:tc>
        <w:tc>
          <w:tcPr/>
          <w:p>
            <w:pPr>
              <w:pStyle w:val="Compact"/>
            </w:pPr>
            <w:r>
              <w:t xml:space="preserve">Comma-Separated Values</w:t>
            </w:r>
          </w:p>
        </w:tc>
      </w:tr>
      <w:tr>
        <w:tc>
          <w:tcPr/>
          <w:p>
            <w:pPr>
              <w:pStyle w:val="Compact"/>
            </w:pPr>
            <w:r>
              <w:t xml:space="preserve">DOM</w:t>
            </w:r>
          </w:p>
        </w:tc>
        <w:tc>
          <w:tcPr/>
          <w:p>
            <w:pPr>
              <w:pStyle w:val="Compact"/>
            </w:pPr>
            <w:r>
              <w:t xml:space="preserve">Document Object Model</w:t>
            </w:r>
          </w:p>
        </w:tc>
      </w:tr>
      <w:tr>
        <w:tc>
          <w:tcPr/>
          <w:p>
            <w:pPr>
              <w:pStyle w:val="Compact"/>
            </w:pPr>
            <w:r>
              <w:t xml:space="preserve">ECE</w:t>
            </w:r>
          </w:p>
        </w:tc>
        <w:tc>
          <w:tcPr/>
          <w:p>
            <w:pPr>
              <w:pStyle w:val="Compact"/>
            </w:pPr>
            <w:r>
              <w:t xml:space="preserve">Electronic and Computer Engineering</w:t>
            </w:r>
          </w:p>
        </w:tc>
      </w:tr>
      <w:tr>
        <w:tc>
          <w:tcPr/>
          <w:p>
            <w:pPr>
              <w:pStyle w:val="Compact"/>
            </w:pPr>
            <w:r>
              <w:t xml:space="preserve">EN</w:t>
            </w:r>
          </w:p>
        </w:tc>
        <w:tc>
          <w:tcPr/>
          <w:p>
            <w:pPr>
              <w:pStyle w:val="Compact"/>
            </w:pPr>
            <w:r>
              <w:t xml:space="preserve">English</w:t>
            </w:r>
          </w:p>
        </w:tc>
      </w:tr>
      <w:tr>
        <w:tc>
          <w:tcPr/>
          <w:p>
            <w:pPr>
              <w:pStyle w:val="Compact"/>
            </w:pPr>
            <w:r>
              <w:t xml:space="preserve">ESCO</w:t>
            </w:r>
          </w:p>
        </w:tc>
        <w:tc>
          <w:tcPr/>
          <w:p>
            <w:pPr>
              <w:pStyle w:val="Compact"/>
            </w:pPr>
            <w:r>
              <w:t xml:space="preserve">European Skills, Competences, Qualifications and Occupations (EU multilingual taxonomy)</w:t>
            </w:r>
          </w:p>
        </w:tc>
      </w:tr>
      <w:tr>
        <w:tc>
          <w:tcPr/>
          <w:p>
            <w:pPr>
              <w:pStyle w:val="Compact"/>
            </w:pPr>
            <w:r>
              <w:t xml:space="preserve">EU</w:t>
            </w:r>
          </w:p>
        </w:tc>
        <w:tc>
          <w:tcPr/>
          <w:p>
            <w:pPr>
              <w:pStyle w:val="Compact"/>
            </w:pPr>
            <w:r>
              <w:t xml:space="preserve">European Union</w:t>
            </w:r>
          </w:p>
        </w:tc>
      </w:tr>
      <w:tr>
        <w:tc>
          <w:tcPr/>
          <w:p>
            <w:pPr>
              <w:pStyle w:val="Compact"/>
            </w:pPr>
            <w:r>
              <w:t xml:space="preserve">FAS</w:t>
            </w:r>
          </w:p>
        </w:tc>
        <w:tc>
          <w:tcPr/>
          <w:p>
            <w:pPr>
              <w:pStyle w:val="Compact"/>
            </w:pPr>
            <w:r>
              <w:t xml:space="preserve">Faculty of Arts and Sciences (Harvard, source of action-verb list)</w:t>
            </w:r>
          </w:p>
        </w:tc>
      </w:tr>
      <w:tr>
        <w:tc>
          <w:tcPr/>
          <w:p>
            <w:pPr>
              <w:pStyle w:val="Compact"/>
            </w:pPr>
            <w:r>
              <w:t xml:space="preserve">FAT*</w:t>
            </w:r>
          </w:p>
        </w:tc>
        <w:tc>
          <w:tcPr/>
          <w:p>
            <w:pPr>
              <w:pStyle w:val="Compact"/>
            </w:pPr>
            <w:r>
              <w:t xml:space="preserve">Fairness, Accountability, and Transparency (ACM conference series)</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Google’s family of large language models (2.5 Flash used here)</w:t>
            </w:r>
          </w:p>
        </w:tc>
      </w:tr>
      <w:tr>
        <w:tc>
          <w:tcPr/>
          <w:p>
            <w:pPr>
              <w:pStyle w:val="Compact"/>
            </w:pPr>
            <w:r>
              <w:t xml:space="preserve">GPT</w:t>
            </w:r>
          </w:p>
        </w:tc>
        <w:tc>
          <w:tcPr/>
          <w:p>
            <w:pPr>
              <w:pStyle w:val="Compact"/>
            </w:pPr>
            <w:r>
              <w:t xml:space="preserve">Generative Pre-trained Transformer</w:t>
            </w:r>
          </w:p>
        </w:tc>
      </w:tr>
      <w:tr>
        <w:tc>
          <w:tcPr/>
          <w:p>
            <w:pPr>
              <w:pStyle w:val="Compact"/>
            </w:pPr>
            <w:r>
              <w:t xml:space="preserve">GraphQL</w:t>
            </w:r>
          </w:p>
        </w:tc>
        <w:tc>
          <w:tcPr/>
          <w:p>
            <w:pPr>
              <w:pStyle w:val="Compact"/>
            </w:pPr>
            <w:r>
              <w:t xml:space="preserve">Query language for APIs</w:t>
            </w:r>
          </w:p>
        </w:tc>
      </w:tr>
      <w:tr>
        <w:tc>
          <w:tcPr/>
          <w:p>
            <w:pPr>
              <w:pStyle w:val="Compact"/>
            </w:pPr>
            <w:r>
              <w:t xml:space="preserve">GUI</w:t>
            </w:r>
          </w:p>
        </w:tc>
        <w:tc>
          <w:tcPr/>
          <w:p>
            <w:pPr>
              <w:pStyle w:val="Compact"/>
            </w:pPr>
            <w:r>
              <w:t xml:space="preserve">Graphical User Interface</w:t>
            </w:r>
          </w:p>
        </w:tc>
      </w:tr>
      <w:tr>
        <w:tc>
          <w:tcPr/>
          <w:p>
            <w:pPr>
              <w:pStyle w:val="Compact"/>
            </w:pPr>
            <w:r>
              <w:t xml:space="preserve">HR</w:t>
            </w:r>
          </w:p>
        </w:tc>
        <w:tc>
          <w:tcPr/>
          <w:p>
            <w:pPr>
              <w:pStyle w:val="Compact"/>
            </w:pPr>
            <w:r>
              <w:t xml:space="preserve">Human Resources</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HttpOnly</w:t>
            </w:r>
          </w:p>
        </w:tc>
        <w:tc>
          <w:tcPr/>
          <w:p>
            <w:pPr>
              <w:pStyle w:val="Compact"/>
            </w:pPr>
            <w:r>
              <w:t xml:space="preserve">Cookie attribute preventing JavaScript access</w:t>
            </w:r>
          </w:p>
        </w:tc>
      </w:tr>
      <w:tr>
        <w:tc>
          <w:tcPr/>
          <w:p>
            <w:pPr>
              <w:pStyle w:val="Compact"/>
            </w:pPr>
            <w:r>
              <w:t xml:space="preserve">ID</w:t>
            </w:r>
          </w:p>
        </w:tc>
        <w:tc>
          <w:tcPr/>
          <w:p>
            <w:pPr>
              <w:pStyle w:val="Compact"/>
            </w:pPr>
            <w:r>
              <w:t xml:space="preserve">Identifier</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ISCO</w:t>
            </w:r>
          </w:p>
        </w:tc>
        <w:tc>
          <w:tcPr/>
          <w:p>
            <w:pPr>
              <w:pStyle w:val="Compact"/>
            </w:pPr>
            <w:r>
              <w:t xml:space="preserve">International Standard Classification of Occupations</w:t>
            </w:r>
          </w:p>
        </w:tc>
      </w:tr>
      <w:tr>
        <w:tc>
          <w:tcPr/>
          <w:p>
            <w:pPr>
              <w:pStyle w:val="Compact"/>
            </w:pPr>
            <w:r>
              <w:t xml:space="preserve">JD</w:t>
            </w:r>
          </w:p>
        </w:tc>
        <w:tc>
          <w:tcPr/>
          <w:p>
            <w:pPr>
              <w:pStyle w:val="Compact"/>
            </w:pPr>
            <w:r>
              <w:t xml:space="preserve">Job Description</w:t>
            </w:r>
          </w:p>
        </w:tc>
      </w:tr>
      <w:tr>
        <w:tc>
          <w:tcPr/>
          <w:p>
            <w:pPr>
              <w:pStyle w:val="Compact"/>
            </w:pPr>
            <w:r>
              <w:t xml:space="preserve">JS</w:t>
            </w:r>
          </w:p>
        </w:tc>
        <w:tc>
          <w:tcPr/>
          <w:p>
            <w:pPr>
              <w:pStyle w:val="Compact"/>
            </w:pPr>
            <w:r>
              <w:t xml:space="preserve">JavaScript</w:t>
            </w:r>
          </w:p>
        </w:tc>
      </w:tr>
      <w:tr>
        <w:tc>
          <w:tcPr/>
          <w:p>
            <w:pPr>
              <w:pStyle w:val="Compact"/>
            </w:pPr>
            <w:r>
              <w:t xml:space="preserve">JSA</w:t>
            </w:r>
          </w:p>
        </w:tc>
        <w:tc>
          <w:tcPr/>
          <w:p>
            <w:pPr>
              <w:pStyle w:val="Compact"/>
            </w:pPr>
            <w:r>
              <w:t xml:space="preserve">Jednolity System Antyplagiatowy (Polish national anti-plagiarism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MIT</w:t>
            </w:r>
          </w:p>
        </w:tc>
        <w:tc>
          <w:tcPr/>
          <w:p>
            <w:pPr>
              <w:pStyle w:val="Compact"/>
            </w:pPr>
            <w:r>
              <w:t xml:space="preserve">Massachusetts Institute of Technology</w:t>
            </w:r>
          </w:p>
        </w:tc>
      </w:tr>
      <w:tr>
        <w:tc>
          <w:tcPr/>
          <w:p>
            <w:pPr>
              <w:pStyle w:val="Compact"/>
            </w:pPr>
            <w:r>
              <w:t xml:space="preserve">ML</w:t>
            </w:r>
          </w:p>
        </w:tc>
        <w:tc>
          <w:tcPr/>
          <w:p>
            <w:pPr>
              <w:pStyle w:val="Compact"/>
            </w:pPr>
            <w:r>
              <w:t xml:space="preserve">Machine Learning</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Authorization (federated-identity protocol)</w:t>
            </w:r>
          </w:p>
        </w:tc>
      </w:tr>
      <w:tr>
        <w:tc>
          <w:tcPr/>
          <w:p>
            <w:pPr>
              <w:pStyle w:val="Compact"/>
            </w:pPr>
            <w:r>
              <w:t xml:space="preserve">OECD</w:t>
            </w:r>
          </w:p>
        </w:tc>
        <w:tc>
          <w:tcPr/>
          <w:p>
            <w:pPr>
              <w:pStyle w:val="Compact"/>
            </w:pPr>
            <w:r>
              <w:t xml:space="preserve">Organisation for Economic Co-operation and Development</w:t>
            </w:r>
          </w:p>
        </w:tc>
      </w:tr>
      <w:tr>
        <w:tc>
          <w:tcPr/>
          <w:p>
            <w:pPr>
              <w:pStyle w:val="Compact"/>
            </w:pPr>
            <w:r>
              <w:t xml:space="preserve">O*NET</w:t>
            </w:r>
          </w:p>
        </w:tc>
        <w:tc>
          <w:tcPr/>
          <w:p>
            <w:pPr>
              <w:pStyle w:val="Compact"/>
            </w:pPr>
            <w:r>
              <w:t xml:space="preserve">Occupational Information Network (US Department of Labor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PL</w:t>
            </w:r>
          </w:p>
        </w:tc>
        <w:tc>
          <w:tcPr/>
          <w:p>
            <w:pPr>
              <w:pStyle w:val="Compact"/>
            </w:pPr>
            <w:r>
              <w:t xml:space="preserve">Polish (language)</w:t>
            </w:r>
          </w:p>
        </w:tc>
      </w:tr>
      <w:tr>
        <w:tc>
          <w:tcPr/>
          <w:p>
            <w:pPr>
              <w:pStyle w:val="Compact"/>
            </w:pPr>
            <w:r>
              <w:t xml:space="preserve">PR</w:t>
            </w:r>
          </w:p>
        </w:tc>
        <w:tc>
          <w:tcPr/>
          <w:p>
            <w:pPr>
              <w:pStyle w:val="Compact"/>
            </w:pPr>
            <w:r>
              <w:t xml:space="preserve">Pull Request / Pattern Recognition (latter in example thesis)</w:t>
            </w:r>
          </w:p>
        </w:tc>
      </w:tr>
      <w:tr>
        <w:tc>
          <w:tcPr/>
          <w:p>
            <w:pPr>
              <w:pStyle w:val="Compact"/>
            </w:pPr>
            <w:r>
              <w:t xml:space="preserve">PWr</w:t>
            </w:r>
          </w:p>
        </w:tc>
        <w:tc>
          <w:tcPr/>
          <w:p>
            <w:pPr>
              <w:pStyle w:val="Compact"/>
            </w:pPr>
            <w:r>
              <w:t xml:space="preserve">Politechnika Wrocławska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RBO</w:t>
            </w:r>
          </w:p>
        </w:tc>
        <w:tc>
          <w:tcPr/>
          <w:p>
            <w:pPr>
              <w:pStyle w:val="Compact"/>
            </w:pPr>
            <w:r>
              <w:t xml:space="preserve">Ranked Biased Overlap</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RPM</w:t>
            </w:r>
          </w:p>
        </w:tc>
        <w:tc>
          <w:tcPr/>
          <w:p>
            <w:pPr>
              <w:pStyle w:val="Compact"/>
            </w:pPr>
            <w:r>
              <w:t xml:space="preserve">Requests Per Minute</w:t>
            </w:r>
          </w:p>
        </w:tc>
      </w:tr>
      <w:tr>
        <w:tc>
          <w:tcPr/>
          <w:p>
            <w:pPr>
              <w:pStyle w:val="Compact"/>
            </w:pPr>
            <w:r>
              <w:t xml:space="preserve">SaaS</w:t>
            </w:r>
          </w:p>
        </w:tc>
        <w:tc>
          <w:tcPr/>
          <w:p>
            <w:pPr>
              <w:pStyle w:val="Compact"/>
            </w:pPr>
            <w:r>
              <w:t xml:space="preserve">Software as a Service</w:t>
            </w:r>
          </w:p>
        </w:tc>
      </w:tr>
      <w:tr>
        <w:tc>
          <w:tcPr/>
          <w:p>
            <w:pPr>
              <w:pStyle w:val="Compact"/>
            </w:pPr>
            <w:r>
              <w:t xml:space="preserve">SBERT</w:t>
            </w:r>
          </w:p>
        </w:tc>
        <w:tc>
          <w:tcPr/>
          <w:p>
            <w:pPr>
              <w:pStyle w:val="Compact"/>
            </w:pPr>
            <w:r>
              <w:t xml:space="preserve">Sentence-BERT</w:t>
            </w:r>
          </w:p>
        </w:tc>
      </w:tr>
      <w:tr>
        <w:tc>
          <w:tcPr/>
          <w:p>
            <w:pPr>
              <w:pStyle w:val="Compact"/>
            </w:pPr>
            <w:r>
              <w:t xml:space="preserve">SDK</w:t>
            </w:r>
          </w:p>
        </w:tc>
        <w:tc>
          <w:tcPr/>
          <w:p>
            <w:pPr>
              <w:pStyle w:val="Compact"/>
            </w:pPr>
            <w:r>
              <w:t xml:space="preserve">Software Development Kit</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Time-To-Live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w:t>
            </w:r>
          </w:p>
        </w:tc>
        <w:tc>
          <w:tcPr/>
          <w:p>
            <w:pPr>
              <w:pStyle w:val="Compact"/>
            </w:pPr>
            <w:r>
              <w:t xml:space="preserve">Uniwersytecki System Obsługi Studiów (PWr student information system)</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V1 / V1.1</w:t>
            </w:r>
          </w:p>
        </w:tc>
        <w:tc>
          <w:tcPr/>
          <w:p>
            <w:pPr>
              <w:pStyle w:val="Compact"/>
            </w:pPr>
            <w:r>
              <w:t xml:space="preserve">Version 1 / Version 1.1 (release-numbering convention used in this thesis)</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WEFiM</w:t>
            </w:r>
          </w:p>
        </w:tc>
        <w:tc>
          <w:tcPr/>
          <w:p>
            <w:pPr>
              <w:pStyle w:val="Compact"/>
            </w:pPr>
            <w:r>
              <w:t xml:space="preserve">Wydział Elektroniki, Fotoniki i Mikrosystemów (Faculty of Electronics, Photonics and Microsystems)</w:t>
            </w:r>
          </w:p>
        </w:tc>
      </w:tr>
      <w:tr>
        <w:tc>
          <w:tcPr/>
          <w:p>
            <w:pPr>
              <w:pStyle w:val="Compact"/>
            </w:pPr>
            <w:r>
              <w:t xml:space="preserve">XML</w:t>
            </w:r>
          </w:p>
        </w:tc>
        <w:tc>
          <w:tcPr/>
          <w:p>
            <w:pPr>
              <w:pStyle w:val="Compact"/>
            </w:pPr>
            <w:r>
              <w:t xml:space="preserve">eXtensible Markup Language</w:t>
            </w:r>
          </w:p>
        </w:tc>
      </w:tr>
      <w:tr>
        <w:tc>
          <w:tcPr/>
          <w:p>
            <w:pPr>
              <w:pStyle w:val="Compact"/>
            </w:pPr>
            <w:r>
              <w:t xml:space="preserve">Zod</w:t>
            </w:r>
          </w:p>
        </w:tc>
        <w:tc>
          <w:tcPr/>
          <w:p>
            <w:pPr>
              <w:pStyle w:val="Compact"/>
            </w:pPr>
            <w:r>
              <w:t xml:space="preserve">Runtime schema-validation library for TypeScript</w:t>
            </w:r>
          </w:p>
        </w:tc>
      </w:tr>
    </w:tbl>
    <w:bookmarkStart w:id="15" w:name="symbols-used-in-formulas-in-chapter-4"/>
    <w:p>
      <w:pPr>
        <w:pStyle w:val="Heading2"/>
      </w:pPr>
      <w: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hyperparameters (term-frequency saturation and document-length normalisation)</w:t>
            </w:r>
          </w:p>
        </w:tc>
      </w:tr>
      <w:tr>
        <w:tc>
          <w:tcPr/>
          <w:p>
            <w:pPr>
              <w:pStyle w:val="Compact"/>
            </w:pPr>
            <w:r>
              <w:rPr>
                <w:i/>
                <w:iCs/>
              </w:rPr>
              <w:t xml:space="preserve">τ</w:t>
            </w:r>
          </w:p>
        </w:tc>
        <w:tc>
          <w:tcPr/>
          <w:p>
            <w:pPr>
              <w:pStyle w:val="Compact"/>
            </w:pPr>
            <w:r>
              <w:t xml:space="preserve">Fuzzy-matching threshold (Levenshtein-similarity ratio)</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 in the evaluation set</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 (returns the keyword set of an input)</w:t>
            </w:r>
          </w:p>
        </w:tc>
      </w:tr>
      <w:tr>
        <w:tc>
          <w:tcPr/>
          <w:p>
            <w:pPr>
              <w:pStyle w:val="Compact"/>
            </w:pPr>
            <w:r>
              <w:t xml:space="preserve">dl, avgdl</w:t>
            </w:r>
          </w:p>
        </w:tc>
        <w:tc>
          <w:tcPr/>
          <w:p>
            <w:pPr>
              <w:pStyle w:val="Compact"/>
            </w:pPr>
            <w:r>
              <w:t xml:space="preserve">Document length, average document length (BM25 normalisation)</w:t>
            </w:r>
          </w:p>
        </w:tc>
      </w:tr>
    </w:tbl>
    <w:bookmarkEnd w:id="15"/>
    <w:bookmarkEnd w:id="16"/>
    <w:bookmarkStart w:id="23" w:name="chapter-1-introduction"/>
    <w:p>
      <w:pPr>
        <w:pStyle w:val="Heading1"/>
      </w:pPr>
      <w: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pPr>
      <w:r>
        <w:t xml:space="preserve">A working candidate trying to answer those questions today typically uses a fragmented set of tools: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pPr>
      <w:r>
        <w:t xml:space="preserve">1.1 The career decision problem</w:t>
      </w:r>
    </w:p>
    <w:p>
      <w:pPr>
        <w:pStyle w:val="FirstParagraph"/>
      </w:pPr>
      <w:r>
        <w:t xml:space="preserve">Career decision making sits at the intersection of three difficult sub-problems.</w:t>
      </w:r>
      <w:r>
        <w:t xml:space="preserve"> </w:t>
      </w:r>
      <w:r>
        <w:rPr>
          <w:i/>
          <w:iCs/>
        </w:rPr>
        <w:t xml:space="preserve">Self-assessment</w:t>
      </w:r>
      <w:r>
        <w:t xml:space="preserve"> </w:t>
      </w:r>
      <w:r>
        <w:t xml:space="preserve">asks the candidate to inventory their skills, experience, and preferences in a form that other systems can reason over.</w:t>
      </w:r>
      <w:r>
        <w:t xml:space="preserve"> </w:t>
      </w:r>
      <w:r>
        <w:rPr>
          <w:i/>
          <w:iCs/>
        </w:rPr>
        <w:t xml:space="preserve">Market alignment</w:t>
      </w:r>
      <w:r>
        <w:t xml:space="preserve"> </w:t>
      </w:r>
      <w:r>
        <w:t xml:space="preserve">asks how the candidate’s profile compares to the current demand expressed in job advertisements.</w:t>
      </w:r>
      <w:r>
        <w:t xml:space="preserve"> </w:t>
      </w:r>
      <w:r>
        <w:rPr>
          <w:i/>
          <w:iCs/>
        </w:rPr>
        <w:t xml:space="preserve">Action planning</w:t>
      </w:r>
      <w:r>
        <w:t xml:space="preserve"> </w:t>
      </w:r>
      <w:r>
        <w:t xml:space="preserve">asks what concrete steps (a sharper resume bullet, a portfolio gap to close, a story to rehearse for an interview) would move the candidate from where they are to where they want to be.</w:t>
      </w:r>
    </w:p>
    <w:p>
      <w:pPr>
        <w:pStyle w:val="BodyText"/>
      </w:pPr>
      <w: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and what motivates this thesis,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pPr>
      <w:r>
        <w:t xml:space="preserve">1.2 AI-based recommendation systems for careers</w:t>
      </w:r>
    </w:p>
    <w:p>
      <w:pPr>
        <w:pStyle w:val="FirstParagraph"/>
      </w:pPr>
      <w:r>
        <w:t xml:space="preserve">Recommendation systems were originally developed for content domains in which the</w:t>
      </w:r>
      <w:r>
        <w:t xml:space="preserve"> </w:t>
      </w:r>
      <w:r>
        <w:rPr>
          <w:i/>
          <w:iCs/>
        </w:rPr>
        <w:t xml:space="preserve">items</w:t>
      </w:r>
      <w:r>
        <w:t xml:space="preserve"> </w:t>
      </w:r>
      <w:r>
        <w:t xml:space="preserve">(films, books, songs, products)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(a resume and a job description) projected into a shared representation [6, 8, 9, 10].</w:t>
      </w:r>
    </w:p>
    <w:p>
      <w:pPr>
        <w:pStyle w:val="BodyText"/>
      </w:pPr>
      <w: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(strategic-marketing decision-making and operations research) and confirms that the methodological pattern of</w:t>
      </w:r>
      <w:r>
        <w:t xml:space="preserve"> </w:t>
      </w:r>
      <w:r>
        <w:rPr>
          <w:i/>
          <w:iCs/>
        </w:rPr>
        <w:t xml:space="preserve">learned representations over hand-engineered features</w:t>
      </w:r>
      <w:r>
        <w:t xml:space="preserve"> </w:t>
      </w:r>
      <w: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t xml:space="preserve"> </w:t>
      </w:r>
      <w:r>
        <w:rPr>
          <w:i/>
          <w:iCs/>
        </w:rPr>
        <w:t xml:space="preserve">acting</w:t>
      </w:r>
      <w:r>
        <w:t xml:space="preserve"> </w:t>
      </w:r>
      <w:r>
        <w:t xml:space="preserve">on a recommendation, which is where the present thesis extends the state of the practice.</w:t>
      </w:r>
    </w:p>
    <w:bookmarkEnd w:id="18"/>
    <w:bookmarkStart w:id="19" w:name="X0f507a345d505e2b6b09af5902860f6a3d367ad"/>
    <w:p>
      <w:pPr>
        <w:pStyle w:val="Heading2"/>
      </w:pPr>
      <w:r>
        <w:t xml:space="preserve">1.3 Resume parsing and job-description analysis</w:t>
      </w:r>
    </w:p>
    <w:p>
      <w:pPr>
        <w:pStyle w:val="FirstParagraph"/>
      </w:pPr>
      <w:r>
        <w:t xml:space="preserve">For any of the matching approaches above to work, the first step is to extract structure from a resume that arrives as an unstructured PDF or text file. Resume parsing is an old problem;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pPr>
      <w: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A single token like</w:t>
      </w:r>
      <w:r>
        <w:t xml:space="preserve"> </w:t>
      </w:r>
      <w:r>
        <w:t xml:space="preserve">“Python”</w:t>
      </w:r>
      <w:r>
        <w:t xml:space="preserve"> </w:t>
      </w:r>
      <w: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pPr>
      <w:r>
        <w:t xml:space="preserve">Job-description analysis is the symmetric problem on the demand side. The most consequential recent research direction in this area is the linking of free-text job postings to standardised skill taxonomies, primarily</w:t>
      </w:r>
      <w:r>
        <w:t xml:space="preserve"> </w:t>
      </w:r>
      <w:r>
        <w:rPr>
          <w:i/>
          <w:iCs/>
        </w:rPr>
        <w:t xml:space="preserve">ESCO</w:t>
      </w:r>
      <w: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pPr>
      <w: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most of what a recruiter scans for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(both have well-understood failure modes)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t xml:space="preserve"> </w:t>
      </w:r>
      <w:r>
        <w:rPr>
          <w:i/>
          <w:iCs/>
        </w:rPr>
        <w:t xml:space="preserve">after</w:t>
      </w:r>
      <w:r>
        <w:t xml:space="preserve"> </w:t>
      </w:r>
      <w:r>
        <w:t xml:space="preserve">the blended pipeline already existed; this sequencing shaped the heuristic toward the specific decisions the language model was already making in production rather than toward an idealised retrieval-research baseline.</w:t>
      </w:r>
    </w:p>
    <w:bookmarkEnd w:id="20"/>
    <w:bookmarkStart w:id="21" w:name="purpose-of-the-thesis"/>
    <w:p>
      <w:pPr>
        <w:pStyle w:val="Heading2"/>
      </w:pPr>
      <w: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pPr>
      <w:r>
        <w:t xml:space="preserve">The scope of the thesis follows the application approved in the</w:t>
      </w:r>
      <w:r>
        <w:t xml:space="preserve"> </w:t>
      </w:r>
      <w:r>
        <w:rPr>
          <w:i/>
          <w:iCs/>
        </w:rPr>
        <w:t xml:space="preserve">Archive of Diploma Theses</w:t>
      </w:r>
      <w:r>
        <w:t xml:space="preserve"> </w:t>
      </w:r>
      <w:r>
        <w:t xml:space="preserve">on 3 February 2026 and consists of two parallel aspects.</w:t>
      </w:r>
    </w:p>
    <w:p>
      <w:pPr>
        <w:pStyle w:val="BodyText"/>
      </w:pPr>
      <w:r>
        <w:t xml:space="preserve">The</w:t>
      </w:r>
      <w:r>
        <w:t xml:space="preserve"> </w:t>
      </w:r>
      <w:r>
        <w:rPr>
          <w:b/>
          <w:bCs/>
        </w:rPr>
        <w:t xml:space="preserve">engineering aspect</w:t>
      </w:r>
      <w:r>
        <w:t xml:space="preserve"> </w:t>
      </w:r>
      <w: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pPr>
      <w:r>
        <w:t xml:space="preserve">The</w:t>
      </w:r>
      <w:r>
        <w:t xml:space="preserve"> </w:t>
      </w:r>
      <w:r>
        <w:rPr>
          <w:b/>
          <w:bCs/>
        </w:rPr>
        <w:t xml:space="preserve">research aspect</w:t>
      </w:r>
      <w:r>
        <w:t xml:space="preserve"> </w:t>
      </w:r>
      <w:r>
        <w:t xml:space="preserve">covers a controlled comparative study of two scoring methods. The system supports a</w:t>
      </w:r>
      <w:r>
        <w:t xml:space="preserve"> </w:t>
      </w:r>
      <w:r>
        <w:rPr>
          <w:i/>
          <w:iCs/>
        </w:rPr>
        <w:t xml:space="preserve">blended mode</w:t>
      </w:r>
      <w:r>
        <w:t xml:space="preserve"> </w:t>
      </w:r>
      <w:r>
        <w:t xml:space="preserve">(heuristic 40%, language model 60%) and a</w:t>
      </w:r>
      <w:r>
        <w:t xml:space="preserve"> </w:t>
      </w:r>
      <w:r>
        <w:rPr>
          <w:i/>
          <w:iCs/>
        </w:rPr>
        <w:t xml:space="preserve">fully heuristic mode</w:t>
      </w:r>
      <w:r>
        <w:t xml:space="preserve"> </w:t>
      </w:r>
      <w:r>
        <w:t xml:space="preserve">grounded in TF–IDF–weighted keyword evidence, ESCO-aligned skill normalisation, fuzzy matching against a curated skill list, section-weighted features, and quantification detection. A small evaluation harness runs both modes against a curated</w:t>
      </w:r>
      <w:r>
        <w:t xml:space="preserve"> </w:t>
      </w:r>
      <w:r>
        <w:rPr>
          <w:i/>
          <w:iCs/>
        </w:rPr>
        <w:t xml:space="preserve">synthetic single-author</w:t>
      </w:r>
      <w:r>
        <w:t xml:space="preserve"> </w:t>
      </w:r>
      <w:r>
        <w:t xml:space="preserve">dataset of resumes and job descriptions and reports four metric families (score agreement, score distribution, latency, and per-call cost) with the goal of characterising the trade-offs</w:t>
      </w:r>
      <w:r>
        <w:t xml:space="preserve"> </w:t>
      </w:r>
      <w:r>
        <w:rPr>
          <w:i/>
          <w:iCs/>
        </w:rPr>
        <w:t xml:space="preserve">within that evaluation set</w:t>
      </w:r>
      <w:r>
        <w:t xml:space="preserve"> </w:t>
      </w:r>
      <w:r>
        <w:t xml:space="preserve">in a way that informs both the deployment of this specific system and the design of comparable systems in future research.</w:t>
      </w:r>
    </w:p>
    <w:p>
      <w:pPr>
        <w:pStyle w:val="BodyText"/>
      </w:pPr>
      <w: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pPr>
      <w:r>
        <w:t xml:space="preserve">1.6 Structure of the thesis</w:t>
      </w:r>
    </w:p>
    <w:p>
      <w:pPr>
        <w:pStyle w:val="FirstParagraph"/>
      </w:pPr>
      <w:r>
        <w:t xml:space="preserve">The remainder of the thesis is organised as follows.</w:t>
      </w:r>
    </w:p>
    <w:p>
      <w:pPr>
        <w:pStyle w:val="BodyText"/>
      </w:pPr>
      <w:r>
        <w:rPr>
          <w:b/>
          <w:bCs/>
        </w:rPr>
        <w:t xml:space="preserve">Chapter 2</w:t>
      </w:r>
      <w:r>
        <w:t xml:space="preserve"> </w:t>
      </w:r>
      <w: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pPr>
      <w:r>
        <w:rPr>
          <w:b/>
          <w:bCs/>
        </w:rPr>
        <w:t xml:space="preserve">Chapter 3</w:t>
      </w:r>
      <w:r>
        <w:t xml:space="preserve"> </w:t>
      </w:r>
      <w:r>
        <w:t xml:space="preserve">describes the implementation of each of the six tools, highlighting the cross-cutting concerns that are shared by all of them: the unified</w:t>
      </w:r>
      <w:r>
        <w:t xml:space="preserve"> </w:t>
      </w:r>
      <w:r>
        <w:rPr>
          <w:rStyle w:val="VerbatimChar"/>
        </w:rPr>
        <w:t xml:space="preserve">tool_pipeline</w:t>
      </w:r>
      <w:r>
        <w:t xml:space="preserve"> </w:t>
      </w:r>
      <w: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pPr>
      <w:r>
        <w:rPr>
          <w:b/>
          <w:bCs/>
        </w:rPr>
        <w:t xml:space="preserve">Chapter 4</w:t>
      </w:r>
      <w:r>
        <w:t xml:space="preserve"> </w:t>
      </w:r>
      <w: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single-subject evaluation, English-only resumes, and the dependence of the LLM mode on a single model provider.</w:t>
      </w:r>
    </w:p>
    <w:p>
      <w:pPr>
        <w:pStyle w:val="BodyText"/>
      </w:pPr>
      <w:r>
        <w:rPr>
          <w:b/>
          <w:bCs/>
        </w:rPr>
        <w:t xml:space="preserve">Chapter 5</w:t>
      </w:r>
      <w:r>
        <w:t xml:space="preserve"> </w:t>
      </w:r>
      <w: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pPr>
      <w: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pPr>
      <w: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pPr>
      <w: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pPr>
      <w:r>
        <w:t xml:space="preserve">2.1.1 Functional requirements</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pPr>
      <w: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pPr>
      <w:r>
        <w:t xml:space="preserve">2.2 Technology stack and rationale</w:t>
      </w:r>
    </w:p>
    <w:p>
      <w:pPr>
        <w:pStyle w:val="FirstParagraph"/>
      </w:pPr>
      <w:r>
        <w:t xml:space="preserve">The technology stack is summarised in Table 2.1.</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bookmarkEnd w:id="27"/>
    <w:bookmarkStart w:id="38" w:name="backend-architecture"/>
    <w:p>
      <w:pPr>
        <w:pStyle w:val="Heading2"/>
      </w:pPr>
      <w:r>
        <w:t xml:space="preserve">2.3 Backend architecture</w:t>
      </w:r>
    </w:p>
    <w:p>
      <w:pPr>
        <w:pStyle w:val="FirstParagraph"/>
      </w:pPr>
      <w:r>
        <w:t xml:space="preserve">The backend is structured in four horizontal layers (Figure 2.1).</w:t>
      </w:r>
    </w:p>
    <w:p>
      <w:pPr>
        <w:pStyle w:val="CaptionedFigure"/>
      </w:pPr>
      <w:r>
        <w:drawing>
          <wp:inline>
            <wp:extent cx="5334000" cy="3769267"/>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figure-2-1-architecture.png" id="30" name="Picture"/>
                    <pic:cNvPicPr>
                      <a:picLocks noChangeArrowheads="1" noChangeAspect="1"/>
                    </pic:cNvPicPr>
                  </pic:nvPicPr>
                  <pic:blipFill>
                    <a:blip r:embed="rId28"/>
                    <a:stretch>
                      <a:fillRect/>
                    </a:stretch>
                  </pic:blipFill>
                  <pic:spPr bwMode="auto">
                    <a:xfrm>
                      <a:off x="0" y="0"/>
                      <a:ext cx="5334000" cy="3769267"/>
                    </a:xfrm>
                    <a:prstGeom prst="rect">
                      <a:avLst/>
                    </a:prstGeom>
                    <a:noFill/>
                    <a:ln w="9525">
                      <a:noFill/>
                      <a:headEnd/>
                      <a:tailEnd/>
                    </a:ln>
                  </pic:spPr>
                </pic:pic>
              </a:graphicData>
            </a:graphic>
          </wp:inline>
        </w:drawing>
      </w:r>
    </w:p>
    <w:p>
      <w:pPr>
        <w:pStyle w:val="ImageCaption"/>
      </w:pPr>
      <w:r>
        <w:t xml:space="preserve">Figure 2.1: Backend layered architecture. The FastAPI surface (routers and schemas) delegates to a service layer that runs every analytical tool through the shared</w:t>
      </w:r>
      <w:r>
        <w:t xml:space="preserve"> </w:t>
      </w:r>
      <w:r>
        <w:rPr>
          <w:rStyle w:val="VerbatimChar"/>
        </w:rPr>
        <w:t xml:space="preserve">run_tool_pipeline</w:t>
      </w:r>
      <w:r>
        <w:t xml:space="preserve">, which in turn invokes the heuristic prepass, the LLM gateway (Vertex AI Gemini 2.5 Flash via</w:t>
      </w:r>
      <w:r>
        <w:t xml:space="preserve"> </w:t>
      </w:r>
      <w:r>
        <w:rPr>
          <w:rStyle w:val="VerbatimChar"/>
        </w:rPr>
        <w:t xml:space="preserve">ai_client.py</w:t>
      </w:r>
      <w:r>
        <w:t xml:space="preserve">), and the persistence layer (SQLAlchemy 2.0 + Alembic over PostgreSQL).</w:t>
      </w:r>
    </w:p>
    <w:bookmarkStart w:id="31" w:name="routers"/>
    <w:p>
      <w:pPr>
        <w:pStyle w:val="Heading3"/>
      </w:pPr>
      <w: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pPr>
      <w: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pPr>
      <w:r>
        <w:drawing>
          <wp:inline>
            <wp:extent cx="5334000" cy="1274352"/>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figure-2-2-pipeline.png" id="34" name="Picture"/>
                    <pic:cNvPicPr>
                      <a:picLocks noChangeArrowheads="1" noChangeAspect="1"/>
                    </pic:cNvPicPr>
                  </pic:nvPicPr>
                  <pic:blipFill>
                    <a:blip r:embed="rId32"/>
                    <a:stretch>
                      <a:fillRect/>
                    </a:stretch>
                  </pic:blipFill>
                  <pic:spPr bwMode="auto">
                    <a:xfrm>
                      <a:off x="0" y="0"/>
                      <a:ext cx="5334000" cy="1274352"/>
                    </a:xfrm>
                    <a:prstGeom prst="rect">
                      <a:avLst/>
                    </a:prstGeom>
                    <a:noFill/>
                    <a:ln w="9525">
                      <a:noFill/>
                      <a:headEnd/>
                      <a:tailEnd/>
                    </a:ln>
                  </pic:spPr>
                </pic:pic>
              </a:graphicData>
            </a:graphic>
          </wp:inline>
        </w:drawing>
      </w:r>
    </w:p>
    <w:p>
      <w:pPr>
        <w:pStyle w:val="ImageCaption"/>
      </w:pPr>
      <w:r>
        <w:t xml:space="preserve">Figure 2.2: Tool pipeline (</w:t>
      </w:r>
      <w:r>
        <w:rPr>
          <w:rStyle w:val="VerbatimChar"/>
        </w:rPr>
        <w:t xml:space="preserve">run_tool_pipeline</w:t>
      </w:r>
      <w: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w:t>
      </w:r>
    </w:p>
    <w:bookmarkEnd w:id="35"/>
    <w:bookmarkStart w:id="36" w:name="tool-services-and-prompt-builders"/>
    <w:p>
      <w:pPr>
        <w:pStyle w:val="Heading3"/>
      </w:pPr>
      <w: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pPr>
      <w:r>
        <w:t xml:space="preserve">2.3.4 The heuristic prepass</w:t>
      </w:r>
    </w:p>
    <w:p>
      <w:pPr>
        <w:pStyle w:val="FirstParagraph"/>
      </w:pPr>
      <w: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pPr>
      <w: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39" w:name="route-structure"/>
    <w:p>
      <w:pPr>
        <w:pStyle w:val="Heading3"/>
      </w:pPr>
      <w: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this workspace page contains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w:t>
      </w:r>
    </w:p>
    <w:bookmarkEnd w:id="39"/>
    <w:bookmarkStart w:id="40" w:name="state-management"/>
    <w:p>
      <w:pPr>
        <w:pStyle w:val="Heading3"/>
      </w:pPr>
      <w: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(the resume text being carried between tools and the most recent tool result the user is referencing)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w:t>
      </w:r>
    </w:p>
    <w:p>
      <w:pPr>
        <w:pStyle w:val="Compact"/>
        <w:numPr>
          <w:ilvl w:val="0"/>
          <w:numId w:val="1005"/>
        </w:numPr>
      </w:pPr>
      <w:r>
        <w:rPr>
          <w:b/>
          <w:bCs/>
        </w:rPr>
        <w:t xml:space="preserve">Component state</w:t>
      </w:r>
      <w:r>
        <w:t xml:space="preserve"> </w:t>
      </w:r>
      <w:r>
        <w:t xml:space="preserve">(input values, sheet open/closed flags, animation timing)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40"/>
    <w:bookmarkStart w:id="41" w:name="layout-shell-and-navigation"/>
    <w:p>
      <w:pPr>
        <w:pStyle w:val="Heading3"/>
      </w:pPr>
      <w: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41"/>
    <w:bookmarkEnd w:id="42"/>
    <w:bookmarkStart w:id="43" w:name="data-model-and-persistence"/>
    <w:p>
      <w:pPr>
        <w:pStyle w:val="Heading2"/>
      </w:pPr>
      <w:r>
        <w:t xml:space="preserve">2.5 Data model and persistence</w:t>
      </w:r>
    </w:p>
    <w:p>
      <w:pPr>
        <w:pStyle w:val="FirstParagraph"/>
      </w:pPr>
      <w:r>
        <w:t xml:space="preserve">The persistence model contains three primary tables, summarised in Table 2.2.</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pPr>
      <w: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w:t>
      </w:r>
    </w:p>
    <w:bookmarkEnd w:id="44"/>
    <w:bookmarkStart w:id="48" w:name="deployment-topology"/>
    <w:p>
      <w:pPr>
        <w:pStyle w:val="Heading2"/>
      </w:pPr>
      <w:r>
        <w:t xml:space="preserve">2.7 Deployment topology</w:t>
      </w:r>
    </w:p>
    <w:p>
      <w:pPr>
        <w:pStyle w:val="FirstParagraph"/>
      </w:pPr>
      <w:r>
        <w:t xml:space="preserve">The production deployment runs as a single Railway project containing three services (Figure 2.3).</w:t>
      </w:r>
    </w:p>
    <w:p>
      <w:pPr>
        <w:pStyle w:val="CaptionedFigure"/>
      </w:pPr>
      <w:r>
        <w:drawing>
          <wp:inline>
            <wp:extent cx="5334000" cy="2177691"/>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figure-2-3-deployment.png" id="47" name="Picture"/>
                    <pic:cNvPicPr>
                      <a:picLocks noChangeArrowheads="1" noChangeAspect="1"/>
                    </pic:cNvPicPr>
                  </pic:nvPicPr>
                  <pic:blipFill>
                    <a:blip r:embed="rId45"/>
                    <a:stretch>
                      <a:fillRect/>
                    </a:stretch>
                  </pic:blipFill>
                  <pic:spPr bwMode="auto">
                    <a:xfrm>
                      <a:off x="0" y="0"/>
                      <a:ext cx="5334000" cy="2177691"/>
                    </a:xfrm>
                    <a:prstGeom prst="rect">
                      <a:avLst/>
                    </a:prstGeom>
                    <a:noFill/>
                    <a:ln w="9525">
                      <a:noFill/>
                      <a:headEnd/>
                      <a:tailEnd/>
                    </a:ln>
                  </pic:spPr>
                </pic:pic>
              </a:graphicData>
            </a:graphic>
          </wp:inline>
        </w:drawing>
      </w:r>
    </w:p>
    <w:p>
      <w:pPr>
        <w:pStyle w:val="ImageCaption"/>
      </w:pPr>
      <w:r>
        <w:t xml:space="preserve">Figure 2.3: Production deployment topology. Browser traffic resolves through Cloudflare DNS and TLS into a single Railway hostname; path-based routing at the Railway edge delivers the</w:t>
      </w:r>
      <w:r>
        <w:t xml:space="preserve"> </w:t>
      </w:r>
      <w:r>
        <w:rPr>
          <w:rStyle w:val="VerbatimChar"/>
        </w:rPr>
        <w:t xml:space="preserve">/</w:t>
      </w:r>
      <w:r>
        <w:t xml:space="preserve"> </w:t>
      </w:r>
      <w:r>
        <w:t xml:space="preserve">path to the Vite-built frontend service and the</w:t>
      </w:r>
      <w:r>
        <w:t xml:space="preserve"> </w:t>
      </w:r>
      <w:r>
        <w:rPr>
          <w:rStyle w:val="VerbatimChar"/>
        </w:rPr>
        <w:t xml:space="preserve">/api/v1/*</w:t>
      </w:r>
      <w:r>
        <w:t xml:space="preserve"> </w:t>
      </w:r>
      <w: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next chapter details the implementation of each of the six tools that this architecture supports.</w:t>
      </w:r>
    </w:p>
    <w:bookmarkEnd w:id="48"/>
    <w:bookmarkEnd w:id="49"/>
    <w:bookmarkStart w:id="75" w:name="chapter-3-tool-implementations"/>
    <w:p>
      <w:pPr>
        <w:pStyle w:val="Heading1"/>
      </w:pPr>
      <w: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55" w:name="cross-cutting-design"/>
    <w:p>
      <w:pPr>
        <w:pStyle w:val="Heading2"/>
      </w:pPr>
      <w:r>
        <w:t xml:space="preserve">3.1 Cross-cutting design</w:t>
      </w:r>
    </w:p>
    <w:bookmarkStart w:id="50" w:name="the-structured-output-llm-client"/>
    <w:p>
      <w:pPr>
        <w:pStyle w:val="Heading3"/>
      </w:pPr>
      <w: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(at 5, 10, 20, and 40 seconds, plus a small random offset)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pPr>
      <w: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the heuristic prepass already produces a complete response on its own.</w:t>
      </w:r>
    </w:p>
    <w:bookmarkEnd w:id="51"/>
    <w:bookmarkStart w:id="52" w:name="pydantic-validated-structured-output"/>
    <w:p>
      <w:pPr>
        <w:pStyle w:val="Heading3"/>
      </w:pPr>
      <w:r>
        <w:t xml:space="preserve">3.1.3 Pydantic-validated structured output</w:t>
      </w:r>
    </w:p>
    <w:p>
      <w:pPr>
        <w:pStyle w:val="FirstParagraph"/>
      </w:pPr>
      <w:r>
        <w:t xml:space="preserve">Every LLM response is validated against a Pydantic schema defined in</w:t>
      </w:r>
      <w:r>
        <w:t xml:space="preserve"> </w:t>
      </w:r>
      <w:r>
        <w:rPr>
          <w:rStyle w:val="VerbatimChar"/>
        </w:rPr>
        <w:t xml:space="preserve">app/schemas/tools.py</w:t>
      </w:r>
      <w:r>
        <w:t xml:space="preserve">. The schema is bidirectional: the same definition that constrains the JSON returned by Gemini also defines the Zod schema used by the frontend (</w:t>
      </w:r>
      <w:r>
        <w:rPr>
          <w:rStyle w:val="VerbatimChar"/>
        </w:rPr>
        <w:t xml:space="preserve">frontend/src/lib/api/schemas.ts</w:t>
      </w:r>
      <w: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pPr>
      <w: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53"/>
    <w:bookmarkStart w:id="54" w:name="caching"/>
    <w:p>
      <w:pPr>
        <w:pStyle w:val="Heading3"/>
      </w:pPr>
      <w: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pPr>
      <w: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pPr>
      <w:r>
        <w:t xml:space="preserve">3.2.1 Input contract</w:t>
      </w:r>
    </w:p>
    <w:p>
      <w:pPr>
        <w:pStyle w:val="FirstParagraph"/>
      </w:pPr>
      <w:r>
        <w:t xml:space="preserve">The request body contains the raw resume text (free-form, minimum 80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56"/>
    <w:bookmarkStart w:id="57" w:name="heuristic-prepass"/>
    <w:p>
      <w:pPr>
        <w:pStyle w:val="Heading3"/>
      </w:pPr>
      <w: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(keyword alignment, impact, structure, clarity, and completeness)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57"/>
    <w:bookmarkStart w:id="58" w:name="prompt-and-post-processing"/>
    <w:p>
      <w:pPr>
        <w:pStyle w:val="Heading3"/>
      </w:pPr>
      <w: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by more than 20 points, an explicit</w:t>
      </w:r>
      <w:r>
        <w:t xml:space="preserve"> </w:t>
      </w:r>
      <w:r>
        <w:rPr>
          <w:rStyle w:val="VerbatimChar"/>
        </w:rPr>
        <w:t xml:space="preserve">confidence_note</w:t>
      </w:r>
      <w:r>
        <w:t xml:space="preserve"> </w:t>
      </w:r>
      <w:r>
        <w:t xml:space="preserve">is added to the response surface so that the user understands that two independent estimates disagreed.</w:t>
      </w:r>
    </w:p>
    <w:bookmarkEnd w:id="58"/>
    <w:bookmarkEnd w:id="59"/>
    <w:bookmarkStart w:id="63" w:name="job-match"/>
    <w:p>
      <w:pPr>
        <w:pStyle w:val="Heading2"/>
      </w:pPr>
      <w:r>
        <w:t xml:space="preserve">3.3 Job Match</w:t>
      </w:r>
    </w:p>
    <w:p>
      <w:pPr>
        <w:pStyle w:val="FirstParagraph"/>
      </w:pPr>
      <w:r>
        <w:t xml:space="preserve">The Job Match tool accepts a resume and a job description (provided as text or as a URL) and produces a structured match assessment.</w:t>
      </w:r>
    </w:p>
    <w:bookmarkStart w:id="60" w:name="input-contract-1"/>
    <w:p>
      <w:pPr>
        <w:pStyle w:val="Heading3"/>
      </w:pPr>
      <w: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pPr>
      <w: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61"/>
    <w:bookmarkStart w:id="62" w:name="prompt-and-post-processing-1"/>
    <w:p>
      <w:pPr>
        <w:pStyle w:val="Heading3"/>
      </w:pPr>
      <w: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pPr>
      <w: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64" w:name="heuristic-prepass-2"/>
    <w:p>
      <w:pPr>
        <w:pStyle w:val="Heading3"/>
      </w:pPr>
      <w: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pPr>
      <w: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pPr>
      <w: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pPr>
      <w: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67"/>
    <w:bookmarkEnd w:id="68"/>
    <w:bookmarkStart w:id="70" w:name="interview-qa"/>
    <w:p>
      <w:pPr>
        <w:pStyle w:val="Heading2"/>
      </w:pPr>
      <w:r>
        <w:t xml:space="preserve">3.6 Interview Q&amp;A</w:t>
      </w:r>
    </w:p>
    <w:p>
      <w:pPr>
        <w:pStyle w:val="FirstParagraph"/>
      </w:pPr>
      <w:r>
        <w:t xml:space="preserve">The Interview Q&amp;A tool produces a curated list of likely interview questions for a given resume and job description. It is LLM-only.</w:t>
      </w:r>
    </w:p>
    <w:bookmarkStart w:id="69" w:name="prompt-and-post-processing-4"/>
    <w:p>
      <w:pPr>
        <w:pStyle w:val="Heading3"/>
      </w:pPr>
      <w:r>
        <w:t xml:space="preserve">3.6.1 Prompt and post-processing</w:t>
      </w:r>
    </w:p>
    <w:p>
      <w:pPr>
        <w:pStyle w:val="FirstParagraph"/>
      </w:pPr>
      <w:r>
        <w:t xml:space="preserve">The prompt asks the LLM to cluster the generated questions into three categories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t xml:space="preserve"> </w:t>
      </w:r>
      <w:r>
        <w:rPr>
          <w:rStyle w:val="VerbatimChar"/>
        </w:rPr>
        <w:t xml:space="preserve">LLM_PRACTICE_MODEL</w:t>
      </w:r>
      <w: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pPr>
      <w: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pPr>
      <w: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pPr>
      <w: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pPr>
      <w: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74"/>
    <w:bookmarkEnd w:id="75"/>
    <w:bookmarkStart w:id="104" w:name="chapter-4-conducted-studies-and-results"/>
    <w:p>
      <w:pPr>
        <w:pStyle w:val="Heading1"/>
      </w:pPr>
      <w:r>
        <w:t xml:space="preserve">Chapter 4 — Conducted studies and results</w:t>
      </w:r>
    </w:p>
    <w:p>
      <w:pPr>
        <w:pStyle w:val="FirstParagraph"/>
      </w:pPr>
      <w:r>
        <w:t xml:space="preserve">This chapter reports the empirical work of the thesis. The system described in Chapters 2 and 3 supports two modes for the analytical tools: a</w:t>
      </w:r>
      <w:r>
        <w:t xml:space="preserve"> </w:t>
      </w:r>
      <w:r>
        <w:rPr>
          <w:i/>
          <w:iCs/>
        </w:rPr>
        <w:t xml:space="preserve">blended mode</w:t>
      </w:r>
      <w:r>
        <w:t xml:space="preserve"> </w:t>
      </w:r>
      <w:r>
        <w:t xml:space="preserve">combining a heuristic baseline with the language-model output (40% / 60% weighting) and a</w:t>
      </w:r>
      <w:r>
        <w:t xml:space="preserve"> </w:t>
      </w:r>
      <w:r>
        <w:rPr>
          <w:i/>
          <w:iCs/>
        </w:rPr>
        <w:t xml:space="preserve">fully heuristic mode</w:t>
      </w:r>
      <w:r>
        <w:t xml:space="preserve"> </w:t>
      </w:r>
      <w: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pPr>
      <w:r>
        <w:t xml:space="preserve">The chapter is structured as follows. Section 4.1 specifies the methodology: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pPr>
      <w:r>
        <w:t xml:space="preserve">4.1 Methodology</w:t>
      </w:r>
    </w:p>
    <w:bookmarkStart w:id="76" w:name="evaluation-dataset"/>
    <w:p>
      <w:pPr>
        <w:pStyle w:val="Heading3"/>
      </w:pPr>
      <w:r>
        <w:t xml:space="preserve">4.1.1 Evaluation dataset</w:t>
      </w:r>
    </w:p>
    <w:p>
      <w:pPr>
        <w:pStyle w:val="FirstParagraph"/>
      </w:pPr>
      <w:r>
        <w:t xml:space="preserve">The evaluation dataset consists of</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pPr>
      <w:r>
        <w:t xml:space="preserve">Both the resumes and the job descriptions are deterministically template-synthesised by the script</w:t>
      </w:r>
      <w:r>
        <w:t xml:space="preserve"> </w:t>
      </w:r>
      <w:r>
        <w:rPr>
          <w:rStyle w:val="VerbatimChar"/>
        </w:rPr>
        <w:t xml:space="preserve">scripts/synthesise_eval_dataset.py</w:t>
      </w:r>
      <w:r>
        <w:t xml:space="preserve"> </w:t>
      </w:r>
      <w:r>
        <w:t xml:space="preserve">from a fixed-seed (</w:t>
      </w:r>
      <w:r>
        <w:rPr>
          <w:rStyle w:val="VerbatimChar"/>
        </w:rPr>
        <w:t xml:space="preserve">SEED = 42</w:t>
      </w:r>
      <w: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t xml:space="preserve"> </w:t>
      </w:r>
      <w:r>
        <w:rPr>
          <w:rStyle w:val="VerbatimChar"/>
        </w:rPr>
        <w:t xml:space="preserve">resume_phrases</w:t>
      </w:r>
      <w:r>
        <w:t xml:space="preserve"> </w:t>
      </w:r>
      <w:r>
        <w:t xml:space="preserve">pool written in past-tense achievement framing, and the job-description body content draws from a separate</w:t>
      </w:r>
      <w:r>
        <w:t xml:space="preserve"> </w:t>
      </w:r>
      <w:r>
        <w:rPr>
          <w:rStyle w:val="VerbatimChar"/>
        </w:rPr>
        <w:t xml:space="preserve">jd_phrases</w:t>
      </w:r>
      <w:r>
        <w:t xml:space="preserve"> </w:t>
      </w:r>
      <w:r>
        <w:t xml:space="preserve">pool written in future-tense requirement framing. The two pools are</w:t>
      </w:r>
      <w:r>
        <w:t xml:space="preserve"> </w:t>
      </w:r>
      <w:r>
        <w:rPr>
          <w:i/>
          <w:iCs/>
        </w:rPr>
        <w:t xml:space="preserve">lexically disjoint</w:t>
      </w:r>
      <w:r>
        <w:t xml:space="preserve"> </w:t>
      </w:r>
      <w:r>
        <w:t xml:space="preserve">at the content-word level after stop-words and role-domain skill terms are removed; this construction was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pPr>
      <w: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pPr>
      <w: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t xml:space="preserve"> </w:t>
      </w:r>
      <w:r>
        <w:rPr>
          <w:i/>
          <w:iCs/>
        </w:rPr>
        <w:t xml:space="preserve">blended mode</w:t>
      </w:r>
      <w:r>
        <w:t xml:space="preserve"> </w:t>
      </w:r>
      <w:r>
        <w:t xml:space="preserve">and once in</w:t>
      </w:r>
      <w:r>
        <w:t xml:space="preserve"> </w:t>
      </w:r>
      <w:r>
        <w:rPr>
          <w:i/>
          <w:iCs/>
        </w:rPr>
        <w:t xml:space="preserve">fully heuristic mode</w:t>
      </w:r>
      <w:r>
        <w:t xml:space="preserve">, producing two complete response objects per pair. The resulting dataset of 200 response objects is the basis for all metrics reported in Section 4.3.</w:t>
      </w:r>
    </w:p>
    <w:bookmarkEnd w:id="76"/>
    <w:bookmarkStart w:id="77" w:name="metrics"/>
    <w:p>
      <w:pPr>
        <w:pStyle w:val="Heading3"/>
      </w:pPr>
      <w:r>
        <w:t xml:space="preserve">4.1.2 Metrics</w:t>
      </w:r>
    </w:p>
    <w:p>
      <w:pPr>
        <w:pStyle w:val="FirstParagraph"/>
      </w:pPr>
      <w:r>
        <w:t xml:space="preserve">Four metrics are computed per pair.</w:t>
      </w:r>
    </w:p>
    <w:p>
      <w:pPr>
        <w:pStyle w:val="BodyText"/>
      </w:pPr>
      <w:r>
        <w:rPr>
          <w:b/>
          <w:bCs/>
        </w:rPr>
        <w:t xml:space="preserve">Score agreement.</w:t>
      </w:r>
      <w:r>
        <w:t xml:space="preserve"> </w:t>
      </w:r>
      <w:r>
        <w:t xml:space="preserve">The Pearson product–moment correlation</w:t>
      </w:r>
      <w:r>
        <w:t xml:space="preserve"> </w:t>
      </w:r>
      <w:r>
        <w:rPr>
          <w:i/>
          <w:iCs/>
        </w:rPr>
        <w:t xml:space="preserve">r</w:t>
      </w:r>
      <w:r>
        <w:t xml:space="preserve"> </w:t>
      </w:r>
      <w:r>
        <w:t xml:space="preserve">between the two modes’ overall scores measures linear association across all pairs. The Spearman rank correlation ρ and Kendall τ are also computed: these capture</w:t>
      </w:r>
      <w:r>
        <w:t xml:space="preserve"> </w:t>
      </w:r>
      <w:r>
        <w:rPr>
          <w:i/>
          <w:iCs/>
        </w:rPr>
        <w:t xml:space="preserve">rank</w:t>
      </w:r>
      <w:r>
        <w:t xml:space="preserve"> </w:t>
      </w:r>
      <w:r>
        <w:t xml:space="preserve">agreement, which is the property most relevant to using the heuristic as a screening signal even when its score scale differs from the blended mode. Values around</w:t>
      </w:r>
      <w:r>
        <w:t xml:space="preserve"> </w:t>
      </w:r>
      <w:r>
        <w:rPr>
          <w:i/>
          <w:iCs/>
        </w:rPr>
        <w:t xml:space="preserve">r</w:t>
      </w:r>
      <w:r>
        <w:t xml:space="preserve"> </w:t>
      </w:r>
      <w:r>
        <w:t xml:space="preserve">= 0.7 are sometimes used as soft anchors in retrieval-quality discussions [6]; this thesis treats the number as a reference point only, not as a hypothesis the chapter seeks to confirm.</w:t>
      </w:r>
    </w:p>
    <w:p>
      <w:pPr>
        <w:pStyle w:val="BodyText"/>
      </w:pPr>
      <w:r>
        <w:rPr>
          <w:b/>
          <w:bCs/>
        </w:rPr>
        <w:t xml:space="preserve">Score distribution.</w:t>
      </w:r>
      <w:r>
        <w:t xml:space="preserve"> </w:t>
      </w:r>
      <w: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pPr>
      <w:r>
        <w:rPr>
          <w:b/>
          <w:bCs/>
        </w:rPr>
        <w:t xml:space="preserve">Latency.</w:t>
      </w:r>
      <w:r>
        <w:t xml:space="preserve"> </w:t>
      </w:r>
      <w: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pPr>
      <w:r>
        <w:rPr>
          <w:b/>
          <w:bCs/>
        </w:rPr>
        <w:t xml:space="preserve">Per-call cost.</w:t>
      </w:r>
      <w:r>
        <w:t xml:space="preserve"> </w:t>
      </w:r>
      <w: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pPr>
      <w:r>
        <w:t xml:space="preserve">4.1.3 Controls</w:t>
      </w:r>
    </w:p>
    <w:p>
      <w:pPr>
        <w:pStyle w:val="FirstParagraph"/>
      </w:pPr>
      <w:r>
        <w:t xml:space="preserve">Three controls were applied to ensure the comparison is sound.</w:t>
      </w:r>
    </w:p>
    <w:p>
      <w:pPr>
        <w:pStyle w:val="BodyText"/>
      </w:pPr>
      <w:r>
        <w:t xml:space="preserve">The same content hash is used for both modes per pair, which prevents cache reuse from contaminating the latency numbers. Cache is otherwise disabled for the duration of the experimental run by setting</w:t>
      </w:r>
      <w:r>
        <w:t xml:space="preserve"> </w:t>
      </w:r>
      <w:r>
        <w:rPr>
          <w:rStyle w:val="VerbatimChar"/>
        </w:rPr>
        <w:t xml:space="preserve">RESULT_CACHE_ENABLED=false</w:t>
      </w:r>
      <w:r>
        <w:t xml:space="preserve">.</w:t>
      </w:r>
    </w:p>
    <w:p>
      <w:pPr>
        <w:pStyle w:val="BodyText"/>
      </w:pPr>
      <w:r>
        <w:t xml:space="preserve">The same heuristic implementation (selected through the</w:t>
      </w:r>
      <w:r>
        <w:t xml:space="preserve"> </w:t>
      </w:r>
      <w:r>
        <w:rPr>
          <w:rStyle w:val="VerbatimChar"/>
        </w:rPr>
        <w:t xml:space="preserve">HEURISTIC_VERSION</w:t>
      </w:r>
      <w:r>
        <w:t xml:space="preserve"> </w:t>
      </w:r>
      <w:r>
        <w:t xml:space="preserve">configuration) is used by both modes for the comparative run, so the only difference between the two runs is whether</w:t>
      </w:r>
      <w:r>
        <w:t xml:space="preserve"> </w:t>
      </w:r>
      <w:r>
        <w:rPr>
          <w:rStyle w:val="VerbatimChar"/>
        </w:rPr>
        <w:t xml:space="preserve">complete_structured</w:t>
      </w:r>
      <w:r>
        <w:t xml:space="preserve"> </w:t>
      </w:r>
      <w:r>
        <w:t xml:space="preserve">is invoked. This isolates the LLM contribution rather than confounding it with an upstream change to the prepass.</w:t>
      </w:r>
    </w:p>
    <w:p>
      <w:pPr>
        <w:pStyle w:val="BodyText"/>
      </w:pPr>
      <w: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pPr>
      <w:r>
        <w:t xml:space="preserve">4.1.4 Threats to validity</w:t>
      </w:r>
    </w:p>
    <w:p>
      <w:pPr>
        <w:pStyle w:val="FirstParagraph"/>
      </w:pPr>
      <w:r>
        <w:t xml:space="preserve">Four threats to the validity of the comparative result reported in Section 4.3 are stated explicitly here so that the discussion in Section 4.4 and the limitation framing in Section 5.2 can refer back to them.</w:t>
      </w:r>
    </w:p>
    <w:p>
      <w:pPr>
        <w:pStyle w:val="BodyText"/>
      </w:pPr>
      <w:r>
        <w:rPr>
          <w:b/>
          <w:bCs/>
        </w:rPr>
        <w:t xml:space="preserve">T1 (Shared-vocabulary leakage between resume and job-description pools, MITIGATED).</w:t>
      </w:r>
      <w:r>
        <w:t xml:space="preserve"> </w:t>
      </w:r>
      <w:r>
        <w:t xml:space="preserve">The original synthesis script populated resume bullet content and the</w:t>
      </w:r>
      <w:r>
        <w:t xml:space="preserve"> </w:t>
      </w:r>
      <w:r>
        <w:t xml:space="preserve">“What you’ll do”</w:t>
      </w:r>
      <w:r>
        <w:t xml:space="preserve"> </w:t>
      </w:r>
      <w:r>
        <w:t xml:space="preserve">section of every job description from the</w:t>
      </w:r>
      <w:r>
        <w:t xml:space="preserve"> </w:t>
      </w:r>
      <w:r>
        <w:rPr>
          <w:i/>
          <w:iCs/>
        </w:rPr>
        <w:t xml:space="preserve">same</w:t>
      </w:r>
      <w:r>
        <w:t xml:space="preserve"> </w:t>
      </w:r>
      <w:r>
        <w:t xml:space="preserve">per-track responsibility list (the dictionary entry</w:t>
      </w:r>
      <w:r>
        <w:t xml:space="preserve"> </w:t>
      </w:r>
      <w:r>
        <w:rPr>
          <w:rStyle w:val="VerbatimChar"/>
        </w:rPr>
        <w:t xml:space="preserve">track["responsibilities"]</w:t>
      </w:r>
      <w:r>
        <w:t xml:space="preserve"> </w:t>
      </w:r>
      <w:r>
        <w:t xml:space="preserve">in the early version of</w:t>
      </w:r>
      <w:r>
        <w:t xml:space="preserve"> </w:t>
      </w:r>
      <w:r>
        <w:rPr>
          <w:rStyle w:val="VerbatimChar"/>
        </w:rPr>
        <w:t xml:space="preserve">scripts/synthesise_eval_dataset.py</w:t>
      </w:r>
      <w:r>
        <w:t xml:space="preserve">). In some pairs identical sentences appeared on both sides; the pair</w:t>
      </w:r>
      <w:r>
        <w:t xml:space="preserve"> </w:t>
      </w:r>
      <w:r>
        <w:rPr>
          <w:rStyle w:val="VerbatimChar"/>
        </w:rPr>
        <w:t xml:space="preserve">r-backend-01__jd-backend-02</w:t>
      </w:r>
      <w:r>
        <w:t xml:space="preserve"> </w:t>
      </w:r>
      <w:r>
        <w:t xml:space="preserve">contained the literal sentence</w:t>
      </w:r>
      <w:r>
        <w:t xml:space="preserve"> </w:t>
      </w:r>
      <w:r>
        <w:t xml:space="preserve">“designed and shipped REST APIs serving production traffic”</w:t>
      </w:r>
      <w:r>
        <w:t xml:space="preserve"> </w:t>
      </w:r>
      <w:r>
        <w:t xml:space="preserve">in both the resume bullet list and the job-description responsibilities. The keyword-axis correlation observed in the leakage version (Pearson</w:t>
      </w:r>
      <w:r>
        <w:t xml:space="preserve"> </w:t>
      </w:r>
      <w:r>
        <w:rPr>
          <w:i/>
          <w:iCs/>
        </w:rPr>
        <w:t xml:space="preserve">r</w:t>
      </w:r>
      <w:r>
        <w:t xml:space="preserve"> </w:t>
      </w:r>
      <w: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Pr>
        <w:t xml:space="preserve">resume_phrases</w:t>
      </w:r>
      <w:r>
        <w:t xml:space="preserve"> </w:t>
      </w:r>
      <w:r>
        <w:t xml:space="preserve">in past-tense achievement framing,</w:t>
      </w:r>
      <w:r>
        <w:t xml:space="preserve"> </w:t>
      </w:r>
      <w:r>
        <w:rPr>
          <w:rStyle w:val="VerbatimChar"/>
        </w:rPr>
        <w:t xml:space="preserve">jd_phrases</w:t>
      </w:r>
      <w:r>
        <w:t xml:space="preserve"> </w:t>
      </w:r>
      <w:r>
        <w:t xml:space="preserve">in future-tense requirement framing) whose lexical content is disjoint at the content-word level after stop-words and role-domain skill terms are removed. The verification script</w:t>
      </w:r>
      <w:r>
        <w:t xml:space="preserve"> </w:t>
      </w:r>
      <w:r>
        <w:rPr>
          <w:rStyle w:val="VerbatimChar"/>
        </w:rPr>
        <w:t xml:space="preserve">scripts/verify_disjoint_pools.py</w:t>
      </w:r>
      <w:r>
        <w:t xml:space="preserve"> </w:t>
      </w:r>
      <w: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for an explicit before/after comparison.</w:t>
      </w:r>
    </w:p>
    <w:p>
      <w:pPr>
        <w:pStyle w:val="BodyText"/>
      </w:pPr>
      <w:r>
        <w:rPr>
          <w:b/>
          <w:bCs/>
        </w:rPr>
        <w:t xml:space="preserve">T2 (Self-correlation between the two compared modes, MEASURED).</w:t>
      </w:r>
      <w:r>
        <w:t xml:space="preserve"> </w:t>
      </w:r>
      <w:r>
        <w:t xml:space="preserve">The blended-mode overall score is computed as a weighted mean</w:t>
      </w:r>
      <w:r>
        <w:t xml:space="preserve"> </w:t>
      </w:r>
      <w:r>
        <w:rPr>
          <w:i/>
          <w:iCs/>
        </w:rPr>
        <w:t xml:space="preserve">0.40 × heuristic_score + 0.60 × llm_score</w:t>
      </w:r>
      <w:r>
        <w:t xml:space="preserve"> </w:t>
      </w:r>
      <w:r>
        <w:t xml:space="preserve">(Sections 3.2.3 and 4.2.7); the heuristic-only mode score is the</w:t>
      </w:r>
      <w:r>
        <w:t xml:space="preserve"> </w:t>
      </w:r>
      <w:r>
        <w:rPr>
          <w:i/>
          <w:iCs/>
        </w:rPr>
        <w:t xml:space="preserve">heuristic_score</w:t>
      </w:r>
      <w:r>
        <w:t xml:space="preserve"> </w:t>
      </w:r>
      <w: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t xml:space="preserve"> </w:t>
      </w:r>
      <w:r>
        <w:rPr>
          <w:i/>
          <w:iCs/>
        </w:rPr>
        <w:t xml:space="preserve">locked payload</w:t>
      </w:r>
      <w:r>
        <w:t xml:space="preserve"> </w:t>
      </w:r>
      <w:r>
        <w:t xml:space="preserve">(Section 3.2.3), meaning the heuristic component of the blended score is invariant under the LLM call, the LLM-only score is recoverable post-hoc from the same per-pair results without any additional API calls:</w:t>
      </w:r>
      <w:r>
        <w:t xml:space="preserve"> </w:t>
      </w:r>
      <w:r>
        <w:rPr>
          <w:i/>
          <w:iCs/>
        </w:rPr>
        <w:t xml:space="preserve">llm_only = (blended − 0.4 × heuristic) / 0.6</w:t>
      </w:r>
      <w:r>
        <w:t xml:space="preserve">. Section 4.3.1’ reports the resulting LLM-only-versus-heuristic correlation alongside the headline blended-versus-heuristic correlation, so the structural component is now isolated from the cross-mode agreement.</w:t>
      </w:r>
    </w:p>
    <w:p>
      <w:pPr>
        <w:pStyle w:val="BodyText"/>
      </w:pPr>
      <w:r>
        <w:rPr>
          <w:b/>
          <w:bCs/>
        </w:rPr>
        <w:t xml:space="preserve">T3 (Non-independent paired observations, ADDRESSED).</w:t>
      </w:r>
      <w:r>
        <w:t xml:space="preserve"> </w:t>
      </w:r>
      <w: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t xml:space="preserve"> </w:t>
      </w:r>
      <w:r>
        <w:rPr>
          <w:rStyle w:val="VerbatimChar"/>
        </w:rPr>
        <w:t xml:space="preserve">resume_id</w:t>
      </w:r>
      <w:r>
        <w:t xml:space="preserve"> </w:t>
      </w:r>
      <w:r>
        <w:t xml:space="preserve">with 2 000 resamples and</w:t>
      </w:r>
      <w:r>
        <w:t xml:space="preserve"> </w:t>
      </w:r>
      <w:r>
        <w:rPr>
          <w:rStyle w:val="VerbatimChar"/>
        </w:rPr>
        <w:t xml:space="preserve">seed=42</w:t>
      </w:r>
      <w:r>
        <w:t xml:space="preserve"> </w:t>
      </w:r>
      <w:r>
        <w:t xml:space="preserve">(</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pairs sharing a resume are resampled together so that the in-track pairing structure is honoured. The intervals are wider than an independent-and-identically-distributed assumption would suggest, as expected.</w:t>
      </w:r>
    </w:p>
    <w:p>
      <w:pPr>
        <w:pStyle w:val="BodyText"/>
      </w:pPr>
      <w:r>
        <w:rPr>
          <w:b/>
          <w:bCs/>
        </w:rPr>
        <w:t xml:space="preserve">T4 (Post-hoc heuristic design, DISCLOSED but not closed).</w:t>
      </w:r>
      <w:r>
        <w:t xml:space="preserve"> </w:t>
      </w:r>
      <w:r>
        <w:t xml:space="preserve">The strong heuristic v2 specified in Section 4.2 was designed</w:t>
      </w:r>
      <w:r>
        <w:t xml:space="preserve"> </w:t>
      </w:r>
      <w:r>
        <w:rPr>
          <w:i/>
          <w:iCs/>
        </w:rPr>
        <w:t xml:space="preserve">after</w:t>
      </w:r>
      <w:r>
        <w:t xml:space="preserve"> </w:t>
      </w:r>
      <w: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pPr>
      <w: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pPr>
      <w:r>
        <w:t xml:space="preserve">4.2 The strong heuristic (v2)</w:t>
      </w:r>
    </w:p>
    <w:p>
      <w:pPr>
        <w:pStyle w:val="FirstParagraph"/>
      </w:pPr>
      <w: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t xml:space="preserve"> </w:t>
      </w:r>
      <w:r>
        <w:rPr>
          <w:i/>
          <w:iCs/>
        </w:rPr>
        <w:t xml:space="preserve">strong heuristic v2</w:t>
      </w:r>
      <w:r>
        <w:t xml:space="preserve">, which replaces each of those weak primitives with a published-method counterpart drawn from classical information-retrieval research. By construction, every component of v2 is non-neural; the line between</w:t>
      </w:r>
      <w:r>
        <w:t xml:space="preserve"> </w:t>
      </w:r>
      <w:r>
        <w:t xml:space="preserve">“heuristic”</w:t>
      </w:r>
      <w:r>
        <w:t xml:space="preserve"> </w:t>
      </w:r>
      <w:r>
        <w:t xml:space="preserve">and</w:t>
      </w:r>
      <w:r>
        <w:t xml:space="preserve"> </w:t>
      </w:r>
      <w:r>
        <w:t xml:space="preserve">“language-model”</w:t>
      </w:r>
      <w:r>
        <w:t xml:space="preserve"> </w:t>
      </w:r>
      <w:r>
        <w:t xml:space="preserve">remains clean for the comparison reported in Section 4.3.</w:t>
      </w:r>
    </w:p>
    <w:p>
      <w:pPr>
        <w:pStyle w:val="BodyText"/>
      </w:pPr>
      <w: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t xml:space="preserve"> </w:t>
      </w:r>
      <w:r>
        <w:rPr>
          <w:i/>
          <w:iCs/>
        </w:rPr>
        <w:t xml:space="preserve">language-model reasoning</w:t>
      </w:r>
      <w:r>
        <w:t xml:space="preserve"> </w:t>
      </w:r>
      <w:r>
        <w:t xml:space="preserve">and</w:t>
      </w:r>
      <w:r>
        <w:t xml:space="preserve"> </w:t>
      </w:r>
      <w:r>
        <w:rPr>
          <w:i/>
          <w:iCs/>
        </w:rPr>
        <w:t xml:space="preserve">non-language-model methods</w:t>
      </w:r>
      <w:r>
        <w:t xml:space="preserve"> </w:t>
      </w:r>
      <w: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pPr>
      <w:r>
        <w:t xml:space="preserve">4.2.1 TF–IDF–weighted keyword evidence</w:t>
      </w:r>
    </w:p>
    <w:p>
      <w:pPr>
        <w:pStyle w:val="FirstParagraph"/>
      </w:pPr>
      <w:r>
        <w:t xml:space="preserve">The lightweight prepass described in Chapter 3 reports a binary match/miss for each keyword in a job description. Keywords are not all equally informative: the term</w:t>
      </w:r>
      <w:r>
        <w:t xml:space="preserve"> </w:t>
      </w:r>
      <w:r>
        <w:t xml:space="preserve">“communication”</w:t>
      </w:r>
      <w:r>
        <w:t xml:space="preserve"> </w:t>
      </w:r>
      <w:r>
        <w:t xml:space="preserve">appears in nearly every white-collar job description and contributes little to discriminating between roles, whereas</w:t>
      </w:r>
      <w:r>
        <w:t xml:space="preserve"> </w:t>
      </w:r>
      <w:r>
        <w:t xml:space="preserve">“RAG”</w:t>
      </w:r>
      <w:r>
        <w:t xml:space="preserve"> </w:t>
      </w:r>
      <w:r>
        <w:t xml:space="preserve">or</w:t>
      </w:r>
      <w:r>
        <w:t xml:space="preserve"> </w:t>
      </w:r>
      <w:r>
        <w:t xml:space="preserve">“vector database”</w:t>
      </w:r>
      <w:r>
        <w:t xml:space="preserve"> </w:t>
      </w:r>
      <w:r>
        <w:t xml:space="preserve">appears in a small fraction of postings and is highly discriminative when present. The strong heuristic weights keyword evidence by the inverse document frequency</w:t>
      </w:r>
      <w:r>
        <w:t xml:space="preserve"> </w:t>
      </w:r>
      <w:r>
        <w:rPr>
          <w:i/>
          <w:iCs/>
        </w:rPr>
        <w:t xml:space="preserve">idf</w:t>
      </w:r>
      <w:r>
        <w:t xml:space="preserve"> </w:t>
      </w:r>
      <w:r>
        <w:t xml:space="preserve">of each term, computed over the corpus of job descriptions in the evaluation set [5]. The keyword-alignment sub-score is then defined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w:t>
      </w:r>
      <w:r>
        <w:t xml:space="preserve"> </w:t>
      </w:r>
      <w:r>
        <w:rPr>
          <w:i/>
          <w:iCs/>
        </w:rPr>
        <w:t xml:space="preserve">K</w:t>
      </w:r>
      <w:r>
        <w:t xml:space="preserve">(·) extracts the keyword set, and idf is the corpus-level inverse document frequency. This replaces a count ratio with a weighted-coverage ratio.</w:t>
      </w:r>
    </w:p>
    <w:p>
      <w:pPr>
        <w:pStyle w:val="BodyText"/>
      </w:pPr>
      <w:r>
        <w:t xml:space="preserve">The full BM25 form [6] adds a saturation term that prevents very high keyword frequency in the resume from dominating the score.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the parameters</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are taken from the BM25 defaults that have proven robust across decades of retrieval research. The IDF table is computed in two complementary ways: the production path uses a</w:t>
      </w:r>
      <w:r>
        <w:t xml:space="preserve"> </w:t>
      </w:r>
      <w:r>
        <w:rPr>
          <w:i/>
          <w:iCs/>
        </w:rPr>
        <w:t xml:space="preserve">bundled baseline IDF</w:t>
      </w:r>
      <w:r>
        <w:t xml:space="preserve"> </w:t>
      </w:r>
      <w:r>
        <w:t xml:space="preserve">derived once at import time from the ESCO knowledge base shipped with the application (each ESCO entry, canonical label plus surface variants,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pPr>
      <w:r>
        <w:t xml:space="preserve">4.2.2 ESCO-aligned skill normalisation</w:t>
      </w:r>
    </w:p>
    <w:p>
      <w:pPr>
        <w:pStyle w:val="FirstParagraph"/>
      </w:pPr>
      <w:r>
        <w:t xml:space="preserve">The fixed skill list used by the lightweight prepass cannot reconcile surface variations of the same underlying skill.</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should map to a single ESCO skill identifier; the prior implementation treated them as three independent strings. The strong heuristic introduces a top-down ESCO normalisation layer [8, 9, 12]. A curated subset of the ESCO skill knowledge base, at the time of submission approximately one hundred entries focused on the digital and creative-industry domains (with the data file structured for straightforward expansion to the roughly eight hundred entries needed for production-scale coverage), is bundled with the application as a JSON resource. Each entry contains a canonical label and a list of surface variants, drawn from the published ESCO multilingual dataset.</w:t>
      </w:r>
    </w:p>
    <w:p>
      <w:pPr>
        <w:pStyle w:val="BodyText"/>
      </w:pPr>
      <w: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t xml:space="preserve"> </w:t>
      </w:r>
      <w:r>
        <w:t xml:space="preserve">“PostgreSQL”</w:t>
      </w:r>
      <w:r>
        <w:t xml:space="preserve">.</w:t>
      </w:r>
    </w:p>
    <w:bookmarkEnd w:id="82"/>
    <w:bookmarkStart w:id="83" w:name="fuzzy-matching"/>
    <w:p>
      <w:pPr>
        <w:pStyle w:val="Heading3"/>
      </w:pPr>
      <w:r>
        <w:t xml:space="preserve">4.2.3 Fuzzy matching</w:t>
      </w:r>
    </w:p>
    <w:p>
      <w:pPr>
        <w:pStyle w:val="FirstParagraph"/>
      </w:pPr>
      <w: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t xml:space="preserve"> </w:t>
      </w:r>
      <w:r>
        <w:rPr>
          <w:rStyle w:val="VerbatimChar"/>
        </w:rPr>
        <w:t xml:space="preserve">difflib.SequenceMatcher</w:t>
      </w:r>
      <w:r>
        <w:t xml:space="preserve"> </w:t>
      </w:r>
      <w: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t xml:space="preserve"> </w:t>
      </w:r>
      <w:r>
        <w:rPr>
          <w:i/>
          <w:iCs/>
        </w:rPr>
        <w:t xml:space="preserve">τ</w:t>
      </w:r>
      <w:r>
        <w:t xml:space="preserve"> </w:t>
      </w:r>
      <w:r>
        <w:t xml:space="preserve">with the keyword. The threshold</w:t>
      </w:r>
      <w:r>
        <w:t xml:space="preserve"> </w:t>
      </w:r>
      <w:r>
        <w:rPr>
          <w:i/>
          <w:iCs/>
        </w:rPr>
        <w:t xml:space="preserve">τ</w:t>
      </w:r>
      <w:r>
        <w:t xml:space="preserve"> </w:t>
      </w:r>
      <w:r>
        <w:t xml:space="preserve">= 0.85 was chosen empirically: values below 0.80 admit too many spurious matches (English plurals are at ~0.95 already; below 0.80, unrelated tokens begin to register), and values above 0.90 reject obvious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Choosing the standard-library implementation rather than</w:t>
      </w:r>
      <w:r>
        <w:t xml:space="preserve"> </w:t>
      </w:r>
      <w:r>
        <w:rPr>
          <w:rStyle w:val="VerbatimChar"/>
        </w:rPr>
        <w:t xml:space="preserve">rapidfuzz</w:t>
      </w:r>
      <w:r>
        <w:t xml:space="preserve"> </w:t>
      </w:r>
      <w: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pPr>
      <w:r>
        <w:t xml:space="preserve">4.2.4 Section-weighted features</w:t>
      </w:r>
    </w:p>
    <w:p>
      <w:pPr>
        <w:pStyle w:val="FirstParagraph"/>
      </w:pPr>
      <w:r>
        <w:t xml:space="preserve">A skill listed in a dedicated</w:t>
      </w:r>
      <w:r>
        <w:t xml:space="preserve"> </w:t>
      </w:r>
      <w:r>
        <w:rPr>
          <w:i/>
          <w:iCs/>
        </w:rPr>
        <w:t xml:space="preserve">Skills</w:t>
      </w:r>
      <w:r>
        <w:t xml:space="preserve"> </w:t>
      </w:r>
      <w:r>
        <w:t xml:space="preserve">section carries different evidential weight from the same skill mentioned in a project description. Recruiters read the</w:t>
      </w:r>
      <w:r>
        <w:t xml:space="preserve"> </w:t>
      </w:r>
      <w:r>
        <w:rPr>
          <w:i/>
          <w:iCs/>
        </w:rPr>
        <w:t xml:space="preserve">Skills</w:t>
      </w:r>
      <w:r>
        <w:t xml:space="preserve"> </w:t>
      </w:r>
      <w:r>
        <w:t xml:space="preserve">section as a checklist and the</w:t>
      </w:r>
      <w:r>
        <w:t xml:space="preserve"> </w:t>
      </w:r>
      <w:r>
        <w:rPr>
          <w:i/>
          <w:iCs/>
        </w:rPr>
        <w:t xml:space="preserve">Experience</w:t>
      </w:r>
      <w:r>
        <w:t xml:space="preserve"> </w:t>
      </w:r>
      <w:r>
        <w:t xml:space="preserve">section as a narrative; the two should not contribute equally to a sub-score that is meant to reflect what a recruiter scans for [18]. The strong heuristic applies a per-section weight when computing the matched-keyword set: a match in</w:t>
      </w:r>
      <w:r>
        <w:t xml:space="preserve"> </w:t>
      </w:r>
      <w:r>
        <w:rPr>
          <w:i/>
          <w:iCs/>
        </w:rPr>
        <w:t xml:space="preserve">Skills</w:t>
      </w:r>
      <w:r>
        <w:t xml:space="preserve"> </w:t>
      </w:r>
      <w:r>
        <w:t xml:space="preserve">contributes weight 1.0, a match in</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contributes weight 0.7, a match in</w:t>
      </w:r>
      <w:r>
        <w:t xml:space="preserve"> </w:t>
      </w:r>
      <w:r>
        <w:rPr>
          <w:i/>
          <w:iCs/>
        </w:rPr>
        <w:t xml:space="preserve">Summary</w:t>
      </w:r>
      <w:r>
        <w:t xml:space="preserve"> </w:t>
      </w:r>
      <w:r>
        <w:t xml:space="preserve">contributes weight 0.5, and a match in</w:t>
      </w:r>
      <w:r>
        <w:t xml:space="preserve"> </w:t>
      </w:r>
      <w:r>
        <w:rPr>
          <w:i/>
          <w:iCs/>
        </w:rPr>
        <w:t xml:space="preserve">Education</w:t>
      </w:r>
      <w:r>
        <w:t xml:space="preserve"> </w:t>
      </w:r>
      <w:r>
        <w:t xml:space="preserve">contributes weight 0.3. The total weighted match is then normalised against the maximum achievable weighted match for the keyword set in question.</w:t>
      </w:r>
    </w:p>
    <w:bookmarkEnd w:id="84"/>
    <w:bookmarkStart w:id="85" w:name="quantification-regex"/>
    <w:p>
      <w:pPr>
        <w:pStyle w:val="Heading3"/>
      </w:pPr>
      <w:r>
        <w:t xml:space="preserve">4.2.5 Quantification regex</w:t>
      </w:r>
    </w:p>
    <w:p>
      <w:pPr>
        <w:pStyle w:val="FirstParagraph"/>
      </w:pPr>
      <w: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t xml:space="preserve"> </w:t>
      </w:r>
      <w:r>
        <w:rPr>
          <w:i/>
          <w:iCs/>
        </w:rPr>
        <w:t xml:space="preserve">quantified</w:t>
      </w:r>
      <w:r>
        <w:t xml:space="preserve"> </w:t>
      </w:r>
      <w:r>
        <w:t xml:space="preserve">bullets enters the</w:t>
      </w:r>
      <w:r>
        <w:t xml:space="preserve"> </w:t>
      </w:r>
      <w:r>
        <w:rPr>
          <w:i/>
          <w:iCs/>
        </w:rPr>
        <w:t xml:space="preserve">impact</w:t>
      </w:r>
      <w:r>
        <w:t xml:space="preserve"> </w:t>
      </w:r>
      <w: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pPr>
      <w:r>
        <w:t xml:space="preserve">4.2.6 Action-verb scoring</w:t>
      </w:r>
    </w:p>
    <w:p>
      <w:pPr>
        <w:pStyle w:val="FirstParagraph"/>
      </w:pPr>
      <w:r>
        <w:t xml:space="preserve">A resume bullet that begins with a strong action verb (</w:t>
      </w:r>
      <w:r>
        <w:t xml:space="preserve">“led”</w:t>
      </w:r>
      <w:r>
        <w:t xml:space="preserve">,</w:t>
      </w:r>
      <w:r>
        <w:t xml:space="preserve"> </w:t>
      </w:r>
      <w:r>
        <w:t xml:space="preserve">“shipped”</w:t>
      </w:r>
      <w:r>
        <w:t xml:space="preserve">,</w:t>
      </w:r>
      <w:r>
        <w:t xml:space="preserve"> </w:t>
      </w:r>
      <w:r>
        <w:t xml:space="preserve">“automated”</w:t>
      </w:r>
      <w:r>
        <w:t xml:space="preserve">) communicates ownership more directly than one that begins with a passive construction or a weak filler verb (</w:t>
      </w:r>
      <w:r>
        <w:t xml:space="preserve">“worked on”</w:t>
      </w:r>
      <w:r>
        <w:t xml:space="preserve">,</w:t>
      </w:r>
      <w:r>
        <w:t xml:space="preserve"> </w:t>
      </w:r>
      <w:r>
        <w:t xml:space="preserve">“involved in”</w:t>
      </w:r>
      <w: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t xml:space="preserve"> </w:t>
      </w:r>
      <w:r>
        <w:rPr>
          <w:i/>
          <w:iCs/>
        </w:rPr>
        <w:t xml:space="preserve">clarity</w:t>
      </w:r>
      <w:r>
        <w:t xml:space="preserve"> </w:t>
      </w:r>
      <w:r>
        <w:t xml:space="preserve">sub-score with a linear weight.</w:t>
      </w:r>
    </w:p>
    <w:bookmarkEnd w:id="86"/>
    <w:bookmarkStart w:id="87" w:name="score-combination"/>
    <w:p>
      <w:pPr>
        <w:pStyle w:val="Heading3"/>
      </w:pPr>
      <w:r>
        <w:t xml:space="preserve">4.2.7 Score combination</w:t>
      </w:r>
    </w:p>
    <w:p>
      <w:pPr>
        <w:pStyle w:val="FirstParagraph"/>
      </w:pPr>
      <w:r>
        <w:t xml:space="preserve">The five sub-scores (keyword alignment, impact, structure, clarity, completeness) are combined into the overall score through a weighted mean rather than the simple mean used by the lightweight prepass. The weights (0.30, 0.25, 0.15, 0.15, 0.15) are</w:t>
      </w:r>
      <w:r>
        <w:t xml:space="preserve"> </w:t>
      </w:r>
      <w:r>
        <w:rPr>
          <w:i/>
          <w:iCs/>
        </w:rPr>
        <w:t xml:space="preserve">author-selected</w:t>
      </w:r>
      <w:r>
        <w:t xml:space="preserve"> </w:t>
      </w:r>
      <w: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t xml:space="preserve"> </w:t>
      </w:r>
      <w:r>
        <w:rPr>
          <w:i/>
          <w:iCs/>
        </w:rPr>
        <w:t xml:space="preserve">r</w:t>
      </w:r>
      <w:r>
        <w:t xml:space="preserve">) stays above the 0.7 reference threshold under both weightings, while the rank-agreement result (Spearman ρ) drops below the threshold under equal weights, a partial-robustness finding rather than weight-independence.</w:t>
      </w:r>
    </w:p>
    <w:bookmarkEnd w:id="87"/>
    <w:bookmarkStart w:id="88" w:name="implementation-notes"/>
    <w:p>
      <w:pPr>
        <w:pStyle w:val="Heading3"/>
      </w:pPr>
      <w:r>
        <w:t xml:space="preserve">4.2.8 Implementation notes</w:t>
      </w:r>
    </w:p>
    <w:p>
      <w:pPr>
        <w:pStyle w:val="FirstParagraph"/>
      </w:pPr>
      <w:r>
        <w:t xml:space="preserve">The strong heuristic v2 is implemented in</w:t>
      </w:r>
      <w:r>
        <w:t xml:space="preserve"> </w:t>
      </w:r>
      <w:r>
        <w:rPr>
          <w:rStyle w:val="VerbatimChar"/>
        </w:rPr>
        <w:t xml:space="preserve">app/services/quality_signals_v2.py</w:t>
      </w:r>
      <w:r>
        <w:t xml:space="preserve">, a new module added alongside the existing</w:t>
      </w:r>
      <w:r>
        <w:t xml:space="preserve"> </w:t>
      </w:r>
      <w:r>
        <w:rPr>
          <w:rStyle w:val="VerbatimChar"/>
        </w:rPr>
        <w:t xml:space="preserve">quality_signals.py</w:t>
      </w:r>
      <w:r>
        <w:t xml:space="preserve"> </w:t>
      </w:r>
      <w:r>
        <w:t xml:space="preserve">so that the lightweight version remains available for the production fallback path. A configuration flag selects which version is active:</w:t>
      </w:r>
      <w:r>
        <w:t xml:space="preserve"> </w:t>
      </w:r>
      <w:r>
        <w:rPr>
          <w:rStyle w:val="VerbatimChar"/>
        </w:rPr>
        <w:t xml:space="preserve">HEURISTIC_VERSION=v2</w:t>
      </w:r>
      <w:r>
        <w:t xml:space="preserve"> </w:t>
      </w:r>
      <w: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pPr>
      <w:r>
        <w:t xml:space="preserve">4.2.9 The administrative toggle</w:t>
      </w:r>
    </w:p>
    <w:p>
      <w:pPr>
        <w:pStyle w:val="FirstParagraph"/>
      </w:pPr>
      <w:r>
        <w:t xml:space="preserve">Non-functional requirement N7 of Chapter 2 calls for runtime switchability between the two scoring modes. The implementation introduces three small surfaces.</w:t>
      </w:r>
    </w:p>
    <w:p>
      <w:pPr>
        <w:pStyle w:val="BodyText"/>
      </w:pPr>
      <w:r>
        <w:t xml:space="preserve">A backend configuration flag</w:t>
      </w:r>
      <w:r>
        <w:t xml:space="preserve"> </w:t>
      </w:r>
      <w:r>
        <w:rPr>
          <w:rStyle w:val="VerbatimChar"/>
        </w:rPr>
        <w:t xml:space="preserve">SCORING_MODE</w:t>
      </w:r>
      <w:r>
        <w:t xml:space="preserve"> </w:t>
      </w:r>
      <w:r>
        <w:t xml:space="preserve">accepts the values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the default is</w:t>
      </w:r>
      <w:r>
        <w:t xml:space="preserve"> </w:t>
      </w:r>
      <w:r>
        <w:rPr>
          <w:rStyle w:val="VerbatimChar"/>
        </w:rPr>
        <w:t xml:space="preserve">blended</w:t>
      </w:r>
      <w:r>
        <w:t xml:space="preserve">. When the value is</w:t>
      </w:r>
      <w:r>
        <w:t xml:space="preserve"> </w:t>
      </w:r>
      <w:r>
        <w:rPr>
          <w:rStyle w:val="VerbatimChar"/>
        </w:rPr>
        <w:t xml:space="preserve">heuristic</w:t>
      </w:r>
      <w:r>
        <w:t xml:space="preserve">, the analytical services skip the LLM call entirely and return the response constructed from the strong heuristic v2.</w:t>
      </w:r>
    </w:p>
    <w:p>
      <w:pPr>
        <w:pStyle w:val="BodyText"/>
      </w:pPr>
      <w:r>
        <w:t xml:space="preserve">A runtime-state module</w:t>
      </w:r>
      <w:r>
        <w:t xml:space="preserve"> </w:t>
      </w:r>
      <w:r>
        <w:rPr>
          <w:rStyle w:val="VerbatimChar"/>
        </w:rPr>
        <w:t xml:space="preserve">app/services/runtime_settings.py</w:t>
      </w:r>
      <w:r>
        <w:t xml:space="preserve"> </w:t>
      </w:r>
      <w:r>
        <w:t xml:space="preserve">maintains an in-memory override of the configuration flag. The override is set by a POST request to</w:t>
      </w:r>
      <w:r>
        <w:t xml:space="preserve"> </w:t>
      </w:r>
      <w:r>
        <w:rPr>
          <w:rStyle w:val="VerbatimChar"/>
        </w:rPr>
        <w:t xml:space="preserve">/api/v1/admin/scoring-mode</w:t>
      </w:r>
      <w:r>
        <w:t xml:space="preserve"> </w:t>
      </w:r>
      <w: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pPr>
      <w:r>
        <w:t xml:space="preserve">A frontend control on the existing</w:t>
      </w:r>
      <w:r>
        <w:t xml:space="preserve"> </w:t>
      </w:r>
      <w:r>
        <w:rPr>
          <w:rStyle w:val="VerbatimChar"/>
        </w:rPr>
        <w:t xml:space="preserve">/admin</w:t>
      </w:r>
      <w:r>
        <w:t xml:space="preserve"> </w:t>
      </w:r>
      <w:r>
        <w:t xml:space="preserve">route is wired to the same endpoint, so an authenticated administrator can flip the scoring mode at runtime through the user interface during a live demonstration; the same operation can also be performed by issuing the POST request through any HTTP client (or via the auto-generated FastAPI documentation page at</w:t>
      </w:r>
      <w:r>
        <w:t xml:space="preserve"> </w:t>
      </w:r>
      <w:r>
        <w:rPr>
          <w:rStyle w:val="VerbatimChar"/>
        </w:rPr>
        <w:t xml:space="preserve">/api/v1/docs</w:t>
      </w:r>
      <w:r>
        <w:t xml:space="preserve">).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2" w:name="results"/>
    <w:p>
      <w:pPr>
        <w:pStyle w:val="Heading2"/>
      </w:pPr>
      <w: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on the synthetic evaluation set described in Section 4.1.1. Every (resume, JD) pair was scored under both modes; both modes succeeded on every pair. The numerical results in the tables below are emitted by</w:t>
      </w:r>
      <w:r>
        <w:t xml:space="preserve"> </w:t>
      </w:r>
      <w:r>
        <w:rPr>
          <w:rStyle w:val="VerbatimChar"/>
        </w:rPr>
        <w:t xml:space="preserve">scripts/analyze_eval_results.py</w:t>
      </w:r>
      <w:r>
        <w:t xml:space="preserve"> </w:t>
      </w:r>
      <w:r>
        <w:t xml:space="preserve">from the persisted</w:t>
      </w:r>
      <w:r>
        <w:t xml:space="preserve"> </w:t>
      </w:r>
      <w:r>
        <w:rPr>
          <w:rStyle w:val="VerbatimChar"/>
        </w:rPr>
        <w:t xml:space="preserve">thesis/eval-results.json</w:t>
      </w:r>
      <w:r>
        <w:t xml:space="preserve"> </w:t>
      </w:r>
      <w:r>
        <w:t xml:space="preserve">file. The reference value</w:t>
      </w:r>
      <w:r>
        <w:t xml:space="preserve"> </w:t>
      </w:r>
      <w:r>
        <w:rPr>
          <w:i/>
          <w:iCs/>
        </w:rPr>
        <w:t xml:space="preserve">r</w:t>
      </w:r>
      <w:r>
        <w:t xml:space="preserve"> </w:t>
      </w:r>
      <w:r>
        <w:t xml:space="preserve">≈ 0.7 used by Robertson and Zaragoza [6] in their reliability discussion is taken as a literature anchor for what counts as</w:t>
      </w:r>
      <w:r>
        <w:t xml:space="preserve"> </w:t>
      </w:r>
      <w:r>
        <w:t xml:space="preserve">“comparable”</w:t>
      </w:r>
      <w:r>
        <w:t xml:space="preserve"> </w:t>
      </w:r>
      <w:r>
        <w:t xml:space="preserve">rather than as a research hypothesis to test.</w:t>
      </w:r>
    </w:p>
    <w:bookmarkStart w:id="91" w:name="score-agreement"/>
    <w:p>
      <w:pPr>
        <w:pStyle w:val="Heading3"/>
      </w:pPr>
      <w: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 The numbers reported here are the</w:t>
      </w:r>
      <w:r>
        <w:t xml:space="preserve"> </w:t>
      </w:r>
      <w:r>
        <w:rPr>
          <w:i/>
          <w:iCs/>
        </w:rPr>
        <w:t xml:space="preserve">post-mitigation</w:t>
      </w:r>
      <w:r>
        <w:t xml:space="preserve"> </w:t>
      </w:r>
      <w:r>
        <w:t xml:space="preserve">values, computed on the disjoint-vocabulary dataset described in Section 4.1.1; the</w:t>
      </w:r>
      <w:r>
        <w:t xml:space="preserve"> </w:t>
      </w:r>
      <w:r>
        <w:rPr>
          <w:i/>
          <w:iCs/>
        </w:rPr>
        <w:t xml:space="preserve">pre-mitigation</w:t>
      </w:r>
      <w:r>
        <w:t xml:space="preserve"> </w:t>
      </w:r>
      <w:r>
        <w:t xml:space="preserve">values for the same statistics on the leakage-version dataset are reported alongside for an explicit before/after comparison, and the leakage-version dataset and results are archived under</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respectively.</w:t>
      </w:r>
    </w:p>
    <w:tbl>
      <w:tblPr>
        <w:tblStyle w:val="Table"/>
        <w:tblW w:type="pct" w:w="5000"/>
        <w:tblLayout w:type="fixed"/>
        <w:tblLook w:firstRow="1" w:lastRow="0" w:firstColumn="0" w:lastColumn="0" w:noHBand="0" w:noVBand="0" w:val="0020"/>
      </w:tblPr>
      <w:tblGrid>
        <w:gridCol w:w="1244"/>
        <w:gridCol w:w="1923"/>
        <w:gridCol w:w="2941"/>
        <w:gridCol w:w="1810"/>
      </w:tblGrid>
      <w:tr>
        <w:trPr>
          <w:tblHeader w:val="on"/>
        </w:trPr>
        <w:tc>
          <w:tcPr/>
          <w:p>
            <w:pPr>
              <w:pStyle w:val="Compact"/>
            </w:pPr>
            <w:r>
              <w:t xml:space="preserve">Statistic</w:t>
            </w:r>
          </w:p>
        </w:tc>
        <w:tc>
          <w:tcPr/>
          <w:p>
            <w:pPr>
              <w:pStyle w:val="Compact"/>
            </w:pPr>
            <w:r>
              <w:t xml:space="preserve">Post-mitigation</w:t>
            </w:r>
          </w:p>
        </w:tc>
        <w:tc>
          <w:tcPr/>
          <w:p>
            <w:pPr>
              <w:pStyle w:val="Compact"/>
            </w:pPr>
            <w:r>
              <w:t xml:space="preserve">Pre-mitigation (leakage)</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0.836</w:t>
            </w:r>
            <w:r>
              <w:t xml:space="preserve"> </w:t>
            </w:r>
            <w:r>
              <w:t xml:space="preserve">[95% CI 0.762, 0.896]</w:t>
            </w:r>
          </w:p>
        </w:tc>
        <w:tc>
          <w:tcPr/>
          <w:p>
            <w:pPr>
              <w:pStyle w:val="Compact"/>
            </w:pPr>
            <w:r>
              <w:t xml:space="preserve">0.727 [95% CI 0.609, 0.814]</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0.847</w:t>
            </w:r>
          </w:p>
        </w:tc>
        <w:tc>
          <w:tcPr/>
          <w:p>
            <w:pPr>
              <w:pStyle w:val="Compact"/>
            </w:pPr>
            <w:r>
              <w:t xml:space="preserve">0.708</w:t>
            </w:r>
          </w:p>
        </w:tc>
        <w:tc>
          <w:tcPr/>
          <w:p>
            <w:pPr>
              <w:pStyle w:val="Compact"/>
            </w:pPr>
            <w:r>
              <w:t xml:space="preserve">Rank agreement; the property most relevant to screening use.</w:t>
            </w:r>
          </w:p>
        </w:tc>
      </w:tr>
      <w:tr>
        <w:tc>
          <w:tcPr/>
          <w:p>
            <w:pPr>
              <w:pStyle w:val="Compact"/>
            </w:pPr>
            <w:r>
              <w:t xml:space="preserve">Kendall τ</w:t>
            </w:r>
          </w:p>
        </w:tc>
        <w:tc>
          <w:tcPr/>
          <w:p>
            <w:pPr>
              <w:pStyle w:val="Compact"/>
            </w:pPr>
            <w:r>
              <w:rPr>
                <w:b/>
                <w:bCs/>
              </w:rPr>
              <w:t xml:space="preserve">0.669</w:t>
            </w:r>
          </w:p>
        </w:tc>
        <w:tc>
          <w:tcPr/>
          <w:p>
            <w:pPr>
              <w:pStyle w:val="Compact"/>
            </w:pPr>
            <w:r>
              <w:t xml:space="preserve">0.526</w:t>
            </w:r>
          </w:p>
        </w:tc>
        <w:tc>
          <w:tcPr/>
          <w:p>
            <w:pPr>
              <w:pStyle w:val="Compact"/>
            </w:pPr>
            <w:r>
              <w:t xml:space="preserve">Pairwise rank concordance.</w:t>
            </w:r>
          </w:p>
        </w:tc>
      </w:tr>
    </w:tbl>
    <w:p>
      <w:pPr>
        <w:pStyle w:val="BodyText"/>
      </w:pPr>
      <w:r>
        <w:t xml:space="preserve">The cluster-bootstrap confidence intervals are computed by resampling resume clusters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so that the in-track pairing structure documented in Section 4.1.3 is honoured; the intervals are wider than an i.i.d. assumption would suggest, as expected, and address validity threat T3 of Section 4.1.4. The post-mitigation Pearson</w:t>
      </w:r>
      <w:r>
        <w:t xml:space="preserve"> </w:t>
      </w:r>
      <w:r>
        <w:rPr>
          <w:i/>
          <w:iCs/>
        </w:rPr>
        <w:t xml:space="preserve">r</w:t>
      </w:r>
      <w:r>
        <w:t xml:space="preserve"> </w:t>
      </w:r>
      <w:r>
        <w:t xml:space="preserve">of 0.836 is</w:t>
      </w:r>
      <w:r>
        <w:t xml:space="preserve"> </w:t>
      </w:r>
      <w:r>
        <w:rPr>
          <w:i/>
          <w:iCs/>
        </w:rPr>
        <w:t xml:space="preserve">higher</w:t>
      </w:r>
      <w:r>
        <w:t xml:space="preserve"> </w:t>
      </w:r>
      <w:r>
        <w:t xml:space="preserve">than the pre-mitigation 0.727. This result initially seems counter-intuitive given that the leakage construction was expected to</w:t>
      </w:r>
      <w:r>
        <w:t xml:space="preserve"> </w:t>
      </w:r>
      <w:r>
        <w:rPr>
          <w:i/>
          <w:iCs/>
        </w:rPr>
        <w:t xml:space="preserve">inflate</w:t>
      </w:r>
      <w:r>
        <w:t xml:space="preserve"> </w:t>
      </w:r>
      <w:r>
        <w:t xml:space="preserve">keyword overlap,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best read as</w:t>
      </w:r>
      <w:r>
        <w:t xml:space="preserve"> </w:t>
      </w:r>
      <w:r>
        <w:rPr>
          <w:i/>
          <w:iCs/>
        </w:rPr>
        <w:t xml:space="preserve">strong-within-this-synthetic-evaluation-set</w:t>
      </w:r>
      <w:r>
        <w:t xml:space="preserve"> </w:t>
      </w:r>
      <w:r>
        <w:t xml:space="preserve">rather than the weaker</w:t>
      </w:r>
      <w:r>
        <w:t xml:space="preserve"> </w:t>
      </w:r>
      <w:r>
        <w:rPr>
          <w:i/>
          <w:iCs/>
        </w:rPr>
        <w:t xml:space="preserve">moderate-to-useful</w:t>
      </w:r>
      <w:r>
        <w:t xml:space="preserve"> </w:t>
      </w:r>
      <w:r>
        <w:t xml:space="preserve">characterisation that the leakage-version chapter supported.</w:t>
      </w:r>
    </w:p>
    <w:p>
      <w:pPr>
        <w:pStyle w:val="BodyText"/>
      </w:pPr>
      <w:r>
        <w:t xml:space="preserve">The per-sub-score breakdown reveals where the agreement comes from and where the two modes diverge.</w:t>
      </w:r>
    </w:p>
    <w:tbl>
      <w:tblPr>
        <w:tblStyle w:val="Table"/>
        <w:tblW w:type="pct" w:w="5000"/>
        <w:tblLayout w:type="fixed"/>
        <w:tblLook w:firstRow="1" w:lastRow="0" w:firstColumn="0" w:lastColumn="0" w:noHBand="0" w:noVBand="0" w:val="0020"/>
      </w:tblPr>
      <w:tblGrid>
        <w:gridCol w:w="957"/>
        <w:gridCol w:w="2523"/>
        <w:gridCol w:w="2436"/>
        <w:gridCol w:w="1044"/>
        <w:gridCol w:w="957"/>
      </w:tblGrid>
      <w:tr>
        <w:trPr>
          <w:tblHeader w:val="on"/>
        </w:trPr>
        <w:tc>
          <w:tcPr/>
          <w:p>
            <w:pPr>
              <w:pStyle w:val="Compact"/>
            </w:pPr>
            <w:r>
              <w:t xml:space="preserve">Sub-score</w:t>
            </w:r>
          </w:p>
        </w:tc>
        <w:tc>
          <w:tcPr/>
          <w:p>
            <w:pPr>
              <w:pStyle w:val="Compact"/>
            </w:pPr>
            <w:r>
              <w:t xml:space="preserve">Post-mitigation Pearson</w:t>
            </w:r>
            <w:r>
              <w:t xml:space="preserve"> </w:t>
            </w:r>
            <w:r>
              <w:rPr>
                <w:i/>
                <w:iCs/>
              </w:rPr>
              <w:t xml:space="preserve">r</w:t>
            </w:r>
          </w:p>
        </w:tc>
        <w:tc>
          <w:tcPr/>
          <w:p>
            <w:pPr>
              <w:pStyle w:val="Compact"/>
            </w:pPr>
            <w:r>
              <w:t xml:space="preserve">Pre-mitigation Pearson</w:t>
            </w:r>
            <w:r>
              <w:t xml:space="preserve"> </w:t>
            </w:r>
            <w:r>
              <w:rPr>
                <w:i/>
                <w:iCs/>
              </w:rPr>
              <w:t xml:space="preserve">r</w:t>
            </w:r>
          </w:p>
        </w:tc>
        <w:tc>
          <w:tcPr/>
          <w:p>
            <w:pPr>
              <w:pStyle w:val="Compact"/>
            </w:pPr>
            <w:r>
              <w:t xml:space="preserve">Spearman ρ</w:t>
            </w:r>
          </w:p>
        </w:tc>
        <w:tc>
          <w:tcPr/>
          <w:p>
            <w:pPr>
              <w:pStyle w:val="Compact"/>
            </w:pPr>
            <w:r>
              <w:t xml:space="preserve">Kendall τ</w:t>
            </w:r>
          </w:p>
        </w:tc>
      </w:tr>
      <w:tr>
        <w:tc>
          <w:tcPr/>
          <w:p>
            <w:pPr>
              <w:pStyle w:val="Compact"/>
            </w:pPr>
            <w:r>
              <w:t xml:space="preserve">keywords</w:t>
            </w:r>
          </w:p>
        </w:tc>
        <w:tc>
          <w:tcPr/>
          <w:p>
            <w:pPr>
              <w:pStyle w:val="Compact"/>
            </w:pPr>
            <w:r>
              <w:t xml:space="preserve">0.937</w:t>
            </w:r>
          </w:p>
        </w:tc>
        <w:tc>
          <w:tcPr/>
          <w:p>
            <w:pPr>
              <w:pStyle w:val="Compact"/>
            </w:pPr>
            <w:r>
              <w:t xml:space="preserve">0.941</w:t>
            </w:r>
          </w:p>
        </w:tc>
        <w:tc>
          <w:tcPr/>
          <w:p>
            <w:pPr>
              <w:pStyle w:val="Compact"/>
            </w:pPr>
            <w:r>
              <w:t xml:space="preserve">0.946</w:t>
            </w:r>
          </w:p>
        </w:tc>
        <w:tc>
          <w:tcPr/>
          <w:p>
            <w:pPr>
              <w:pStyle w:val="Compact"/>
            </w:pPr>
            <w:r>
              <w:t xml:space="preserve">0.845</w:t>
            </w:r>
          </w:p>
        </w:tc>
      </w:tr>
      <w:tr>
        <w:tc>
          <w:tcPr/>
          <w:p>
            <w:pPr>
              <w:pStyle w:val="Compact"/>
            </w:pPr>
            <w:r>
              <w:t xml:space="preserve">impact</w:t>
            </w:r>
          </w:p>
        </w:tc>
        <w:tc>
          <w:tcPr/>
          <w:p>
            <w:pPr>
              <w:pStyle w:val="Compact"/>
            </w:pPr>
            <w:r>
              <w:t xml:space="preserve">0.430</w:t>
            </w:r>
          </w:p>
        </w:tc>
        <w:tc>
          <w:tcPr/>
          <w:p>
            <w:pPr>
              <w:pStyle w:val="Compact"/>
            </w:pPr>
            <w:r>
              <w:t xml:space="preserve">0.561</w:t>
            </w:r>
          </w:p>
        </w:tc>
        <w:tc>
          <w:tcPr/>
          <w:p>
            <w:pPr>
              <w:pStyle w:val="Compact"/>
            </w:pPr>
            <w:r>
              <w:t xml:space="preserve">0.447</w:t>
            </w:r>
          </w:p>
        </w:tc>
        <w:tc>
          <w:tcPr/>
          <w:p>
            <w:pPr>
              <w:pStyle w:val="Compact"/>
            </w:pPr>
            <w:r>
              <w:t xml:space="preserve">0.332</w:t>
            </w:r>
          </w:p>
        </w:tc>
      </w:tr>
      <w:tr>
        <w:tc>
          <w:tcPr/>
          <w:p>
            <w:pPr>
              <w:pStyle w:val="Compact"/>
            </w:pPr>
            <w:r>
              <w:t xml:space="preserve">structure</w:t>
            </w:r>
          </w:p>
        </w:tc>
        <w:tc>
          <w:tcPr/>
          <w:p>
            <w:pPr>
              <w:pStyle w:val="Compact"/>
            </w:pPr>
            <w:r>
              <w:t xml:space="preserve">0.830</w:t>
            </w:r>
          </w:p>
        </w:tc>
        <w:tc>
          <w:tcPr/>
          <w:p>
            <w:pPr>
              <w:pStyle w:val="Compact"/>
            </w:pPr>
            <w:r>
              <w:t xml:space="preserve">0.440</w:t>
            </w:r>
          </w:p>
        </w:tc>
        <w:tc>
          <w:tcPr/>
          <w:p>
            <w:pPr>
              <w:pStyle w:val="Compact"/>
            </w:pPr>
            <w:r>
              <w:t xml:space="preserve">0.865</w:t>
            </w:r>
          </w:p>
        </w:tc>
        <w:tc>
          <w:tcPr/>
          <w:p>
            <w:pPr>
              <w:pStyle w:val="Compact"/>
            </w:pPr>
            <w:r>
              <w:t xml:space="preserve">0.804</w:t>
            </w:r>
          </w:p>
        </w:tc>
      </w:tr>
      <w:tr>
        <w:tc>
          <w:tcPr/>
          <w:p>
            <w:pPr>
              <w:pStyle w:val="Compact"/>
            </w:pPr>
            <w:r>
              <w:t xml:space="preserve">clarity</w:t>
            </w:r>
          </w:p>
        </w:tc>
        <w:tc>
          <w:tcPr/>
          <w:p>
            <w:pPr>
              <w:pStyle w:val="Compact"/>
            </w:pPr>
            <w:r>
              <w:t xml:space="preserve">0.395</w:t>
            </w:r>
          </w:p>
        </w:tc>
        <w:tc>
          <w:tcPr/>
          <w:p>
            <w:pPr>
              <w:pStyle w:val="Compact"/>
            </w:pPr>
            <w:r>
              <w:t xml:space="preserve">0.475</w:t>
            </w:r>
          </w:p>
        </w:tc>
        <w:tc>
          <w:tcPr/>
          <w:p>
            <w:pPr>
              <w:pStyle w:val="Compact"/>
            </w:pPr>
            <w:r>
              <w:t xml:space="preserve">0.373</w:t>
            </w:r>
          </w:p>
        </w:tc>
        <w:tc>
          <w:tcPr/>
          <w:p>
            <w:pPr>
              <w:pStyle w:val="Compact"/>
            </w:pPr>
            <w:r>
              <w:t xml:space="preserve">0.289</w:t>
            </w:r>
          </w:p>
        </w:tc>
      </w:tr>
      <w:tr>
        <w:tc>
          <w:tcPr/>
          <w:p>
            <w:pPr>
              <w:pStyle w:val="Compact"/>
            </w:pPr>
            <w:r>
              <w:t xml:space="preserve">completeness</w:t>
            </w:r>
          </w:p>
        </w:tc>
        <w:tc>
          <w:tcPr/>
          <w:p>
            <w:pPr>
              <w:pStyle w:val="Compact"/>
            </w:pPr>
            <w:r>
              <w:t xml:space="preserve">0.756</w:t>
            </w:r>
          </w:p>
        </w:tc>
        <w:tc>
          <w:tcPr/>
          <w:p>
            <w:pPr>
              <w:pStyle w:val="Compact"/>
            </w:pPr>
            <w:r>
              <w:t xml:space="preserve">0.691</w:t>
            </w:r>
          </w:p>
        </w:tc>
        <w:tc>
          <w:tcPr/>
          <w:p>
            <w:pPr>
              <w:pStyle w:val="Compact"/>
            </w:pPr>
            <w:r>
              <w:t xml:space="preserve">0.793</w:t>
            </w:r>
          </w:p>
        </w:tc>
        <w:tc>
          <w:tcPr/>
          <w:p>
            <w:pPr>
              <w:pStyle w:val="Compact"/>
            </w:pPr>
            <w:r>
              <w:t xml:space="preserve">0.689</w:t>
            </w:r>
          </w:p>
        </w:tc>
      </w:tr>
    </w:tbl>
    <w:p>
      <w:pPr>
        <w:pStyle w:val="BodyText"/>
      </w:pPr>
      <w:r>
        <w:t xml:space="preserve">The</w:t>
      </w:r>
      <w:r>
        <w:t xml:space="preserve"> </w:t>
      </w:r>
      <w:r>
        <w:rPr>
          <w:i/>
          <w:iCs/>
        </w:rPr>
        <w:t xml:space="preserve">keywords</w:t>
      </w:r>
      <w:r>
        <w:t xml:space="preserve"> </w:t>
      </w:r>
      <w: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t xml:space="preserve"> </w:t>
      </w:r>
      <w:r>
        <w:rPr>
          <w:i/>
          <w:iCs/>
        </w:rPr>
        <w:t xml:space="preserve">skill-term overlap</w:t>
      </w:r>
      <w:r>
        <w:t xml:space="preserve"> </w:t>
      </w:r>
      <w:r>
        <w:t xml:space="preserve">that both pools intentionally retained: the resume side and the JD side both reference the same canonical ESCO skill labels (Python, React, BM25, and so on), and that signal is the legitimate matching evidence the heuristic and the language model are both designed to consume. The</w:t>
      </w:r>
      <w:r>
        <w:t xml:space="preserve"> </w:t>
      </w:r>
      <w:r>
        <w:rPr>
          <w:i/>
          <w:iCs/>
        </w:rPr>
        <w:t xml:space="preserve">structure</w:t>
      </w:r>
      <w:r>
        <w:t xml:space="preserve"> </w:t>
      </w:r>
      <w: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t xml:space="preserve"> </w:t>
      </w:r>
      <w:r>
        <w:rPr>
          <w:i/>
          <w:iCs/>
        </w:rPr>
        <w:t xml:space="preserve">Impact</w:t>
      </w:r>
      <w:r>
        <w:t xml:space="preserve"> </w:t>
      </w:r>
      <w:r>
        <w:t xml:space="preserve">and</w:t>
      </w:r>
      <w:r>
        <w:t xml:space="preserve"> </w:t>
      </w:r>
      <w:r>
        <w:rPr>
          <w:i/>
          <w:iCs/>
        </w:rPr>
        <w:t xml:space="preserve">clarity</w:t>
      </w:r>
      <w:r>
        <w:t xml:space="preserve"> </w:t>
      </w:r>
      <w:r>
        <w:t xml:space="preserve">remain the two axes on which the language-model contribution is most distinct from the heuristic; the</w:t>
      </w:r>
      <w:r>
        <w:t xml:space="preserve"> </w:t>
      </w:r>
      <w:r>
        <w:rPr>
          <w:i/>
          <w:iCs/>
        </w:rPr>
        <w:t xml:space="preserve">r</w:t>
      </w:r>
      <w:r>
        <w:t xml:space="preserve"> </w:t>
      </w:r>
      <w:r>
        <w:t xml:space="preserve">= 0.395 clarity correlation is consistent with the language model weighing prose-quality features the heuristic cannot see.</w:t>
      </w:r>
    </w:p>
    <w:p>
      <w:pPr>
        <w:pStyle w:val="BodyText"/>
      </w:pPr>
      <w: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pPr>
      <w:r>
        <w:t xml:space="preserve">The self-correlation concern flagged as threat T2 in Section 4.1.4 is addressed quantitatively in the next subsection.</w:t>
      </w:r>
    </w:p>
    <w:bookmarkEnd w:id="91"/>
    <w:bookmarkStart w:id="92" w:name="llm-only-baseline-t2-mitigation"/>
    <w:p>
      <w:pPr>
        <w:pStyle w:val="Heading3"/>
      </w:pPr>
      <w:r>
        <w:t xml:space="preserve">4.3.1’ LLM-only baseline (T2 mitigation)</w:t>
      </w:r>
    </w:p>
    <w:p>
      <w:pPr>
        <w:pStyle w:val="FirstParagraph"/>
      </w:pPr>
      <w:r>
        <w:t xml:space="preserve">Because the heuristic prepass is exposed to the language model as a</w:t>
      </w:r>
      <w:r>
        <w:t xml:space="preserve"> </w:t>
      </w:r>
      <w:r>
        <w:rPr>
          <w:i/>
          <w:iCs/>
        </w:rPr>
        <w:t xml:space="preserve">locked payload</w:t>
      </w:r>
      <w:r>
        <w:t xml:space="preserve"> </w:t>
      </w:r>
      <w:r>
        <w:t xml:space="preserve">(Section 3.2.3), the heuristic component of the blended score is invariant under the LLM call. The blended formula</w:t>
      </w:r>
      <w:r>
        <w:t xml:space="preserve"> </w:t>
      </w:r>
      <w:r>
        <w:rPr>
          <w:rStyle w:val="VerbatimChar"/>
        </w:rPr>
        <w:t xml:space="preserve">blended = 0.4 × heuristic + 0.6 × LLM-only</w:t>
      </w:r>
      <w:r>
        <w:t xml:space="preserve"> </w:t>
      </w:r>
      <w:r>
        <w:t xml:space="preserve">is therefore an exact identity, and the LLM-only score per pair is recoverable post-hoc from the blended and heuristic-only scores already reported in the manifest:</w:t>
      </w:r>
    </w:p>
    <w:p>
      <w:pPr>
        <w:pStyle w:val="BodyText"/>
      </w:pPr>
      <w:r>
        <w:t xml:space="preserve">LLM-only = (blended − 0.4 × heuristic) / 0.6</w:t>
      </w:r>
    </w:p>
    <w:p>
      <w:pPr>
        <w:pStyle w:val="BodyText"/>
      </w:pPr>
      <w:r>
        <w:t xml:space="preserve">This recovery requires no additional API calls; it is a deterministic algebraic transformation of the existing per-pair results. The Pearson correlation between the recovered LLM-only score and the heuristic-only score isolates the</w:t>
      </w:r>
      <w:r>
        <w:t xml:space="preserve"> </w:t>
      </w:r>
      <w:r>
        <w:rPr>
          <w:i/>
          <w:iCs/>
        </w:rPr>
        <w:t xml:space="preserve">cross-mode agreement</w:t>
      </w:r>
      <w:r>
        <w:t xml:space="preserve"> </w:t>
      </w:r>
      <w:r>
        <w:t xml:space="preserve">(what the language model and the classical-IR heuristic agree on) controlling for the structural component shared between the blended and heuristic-only modes by construction. Table 4.1’ reports the three pairwise correlations with cluster-bootstrap confidence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Pearson</w:t>
            </w:r>
            <w:r>
              <w:t xml:space="preserve"> </w:t>
            </w:r>
            <w:r>
              <w:rPr>
                <w:i/>
                <w:iCs/>
              </w:rPr>
              <w:t xml:space="preserve">r</w:t>
            </w:r>
          </w:p>
        </w:tc>
        <w:tc>
          <w:tcPr/>
          <w:p>
            <w:pPr>
              <w:pStyle w:val="Compact"/>
            </w:pPr>
            <w:r>
              <w:t xml:space="preserve">95% CI (cluster bootstrap)</w:t>
            </w:r>
          </w:p>
        </w:tc>
        <w:tc>
          <w:tcPr/>
          <w:p>
            <w:pPr>
              <w:pStyle w:val="Compact"/>
            </w:pPr>
            <w:r>
              <w:t xml:space="preserve">Spearman ρ</w:t>
            </w:r>
          </w:p>
        </w:tc>
      </w:tr>
      <w:tr>
        <w:tc>
          <w:tcPr/>
          <w:p>
            <w:pPr>
              <w:pStyle w:val="Compact"/>
            </w:pPr>
            <w:r>
              <w:t xml:space="preserve">blended vs heuristic</w:t>
            </w:r>
          </w:p>
        </w:tc>
        <w:tc>
          <w:tcPr/>
          <w:p>
            <w:pPr>
              <w:pStyle w:val="Compact"/>
            </w:pPr>
            <w:r>
              <w:rPr>
                <w:b/>
                <w:bCs/>
              </w:rPr>
              <w:t xml:space="preserve">0.836</w:t>
            </w:r>
          </w:p>
        </w:tc>
        <w:tc>
          <w:tcPr/>
          <w:p>
            <w:pPr>
              <w:pStyle w:val="Compact"/>
            </w:pPr>
            <w:r>
              <w:t xml:space="preserve">[0.762, 0.896]</w:t>
            </w:r>
          </w:p>
        </w:tc>
        <w:tc>
          <w:tcPr/>
          <w:p>
            <w:pPr>
              <w:pStyle w:val="Compact"/>
            </w:pPr>
            <w:r>
              <w:t xml:space="preserve">0.847</w:t>
            </w:r>
          </w:p>
        </w:tc>
      </w:tr>
      <w:tr>
        <w:tc>
          <w:tcPr/>
          <w:p>
            <w:pPr>
              <w:pStyle w:val="Compact"/>
            </w:pPr>
            <w:r>
              <w:t xml:space="preserve">LLM-only vs heuristic</w:t>
            </w:r>
          </w:p>
        </w:tc>
        <w:tc>
          <w:tcPr/>
          <w:p>
            <w:pPr>
              <w:pStyle w:val="Compact"/>
            </w:pPr>
            <w:r>
              <w:rPr>
                <w:b/>
                <w:bCs/>
              </w:rPr>
              <w:t xml:space="preserve">0.627</w:t>
            </w:r>
          </w:p>
        </w:tc>
        <w:tc>
          <w:tcPr/>
          <w:p>
            <w:pPr>
              <w:pStyle w:val="Compact"/>
            </w:pPr>
            <w:r>
              <w:t xml:space="preserve">[0.476, 0.765]</w:t>
            </w:r>
          </w:p>
        </w:tc>
        <w:tc>
          <w:tcPr/>
          <w:p>
            <w:pPr>
              <w:pStyle w:val="Compact"/>
            </w:pPr>
            <w:r>
              <w:t xml:space="preserve">0.596</w:t>
            </w:r>
          </w:p>
        </w:tc>
      </w:tr>
      <w:tr>
        <w:tc>
          <w:tcPr/>
          <w:p>
            <w:pPr>
              <w:pStyle w:val="Compact"/>
            </w:pPr>
            <w:r>
              <w:t xml:space="preserve">blended vs LLM-only</w:t>
            </w:r>
          </w:p>
        </w:tc>
        <w:tc>
          <w:tcPr/>
          <w:p>
            <w:pPr>
              <w:pStyle w:val="Compact"/>
            </w:pPr>
            <w:r>
              <w:t xml:space="preserve">0.952</w:t>
            </w:r>
          </w:p>
        </w:tc>
        <w:tc>
          <w:tcPr/>
          <w:p>
            <w:pPr>
              <w:pStyle w:val="Compact"/>
            </w:pPr>
            <w:r>
              <w:t xml:space="preserve">[0.923, 0.973]</w:t>
            </w:r>
          </w:p>
        </w:tc>
        <w:tc>
          <w:tcPr/>
          <w:p>
            <w:pPr>
              <w:pStyle w:val="Compact"/>
            </w:pPr>
            <w:r>
              <w:t xml:space="preserve">n/a</w:t>
            </w:r>
          </w:p>
        </w:tc>
      </w:tr>
    </w:tbl>
    <w:p>
      <w:pPr>
        <w:pStyle w:val="BodyText"/>
      </w:pPr>
      <w:r>
        <w:t xml:space="preserve">The recovered LLM-only score has mean 71.29, standard deviation 8.45, median 73.33, 5th percentile 54.62, and 95th percentile 82.00. This distribution shape is comparable to the blended and heuristic distributions (Section 4.3.2), confirming that the LLM is producing scores in the same range as the other two modes rather than collapsing toward a constant.</w:t>
      </w:r>
    </w:p>
    <w:p>
      <w:pPr>
        <w:pStyle w:val="BodyText"/>
      </w:pPr>
      <w:r>
        <w:t xml:space="preserve">The substantive interpretation: the LLM-only versus heuristic correlation of 0.627 is the honest</w:t>
      </w:r>
      <w:r>
        <w:t xml:space="preserve"> </w:t>
      </w:r>
      <w:r>
        <w:rPr>
          <w:i/>
          <w:iCs/>
        </w:rPr>
        <w:t xml:space="preserve">cross-mode</w:t>
      </w:r>
      <w:r>
        <w:t xml:space="preserve"> </w:t>
      </w:r>
      <w: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t xml:space="preserve"> </w:t>
      </w:r>
      <w:r>
        <w:rPr>
          <w:i/>
          <w:iCs/>
        </w:rPr>
        <w:t xml:space="preserve">“how much do the language model and the classical-IR heuristic actually agree on?”</w:t>
      </w:r>
      <w:r>
        <w:t xml:space="preserve">; the 0.836 figure is the relevant statistic for an operator who asks</w:t>
      </w:r>
      <w:r>
        <w:t xml:space="preserve"> </w:t>
      </w:r>
      <w:r>
        <w:rPr>
          <w:i/>
          <w:iCs/>
        </w:rPr>
        <w:t xml:space="preserve">“what does the runtime toggle (Section 4.2.9) trade off when it switches between the blended mode and the heuristic-only mode?”</w:t>
      </w:r>
      <w: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pPr>
      <w:r>
        <w:t xml:space="preserve">4.3.2 Score distribution</w:t>
      </w:r>
    </w:p>
    <w:p>
      <w:pPr>
        <w:pStyle w:val="FirstParagraph"/>
      </w:pPr>
      <w:r>
        <w:t xml:space="preserve">Table 4.2 reports the mean, standard deviation, median, 5th and 95th percentiles, and Kolmogorov–Smirnov distance of the overall score across all 100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71.84</w:t>
            </w:r>
          </w:p>
        </w:tc>
        <w:tc>
          <w:tcPr/>
          <w:p>
            <w:pPr>
              <w:pStyle w:val="Compact"/>
            </w:pPr>
            <w:r>
              <w:t xml:space="preserve">72.66</w:t>
            </w:r>
          </w:p>
        </w:tc>
      </w:tr>
      <w:tr>
        <w:tc>
          <w:tcPr/>
          <w:p>
            <w:pPr>
              <w:pStyle w:val="Compact"/>
            </w:pPr>
            <w:r>
              <w:t xml:space="preserve">Std. dev.</w:t>
            </w:r>
          </w:p>
        </w:tc>
        <w:tc>
          <w:tcPr/>
          <w:p>
            <w:pPr>
              <w:pStyle w:val="Compact"/>
            </w:pPr>
            <w:r>
              <w:t xml:space="preserve">7.19</w:t>
            </w:r>
          </w:p>
        </w:tc>
        <w:tc>
          <w:tcPr/>
          <w:p>
            <w:pPr>
              <w:pStyle w:val="Compact"/>
            </w:pPr>
            <w:r>
              <w:t xml:space="preserve">7.08</w:t>
            </w:r>
          </w:p>
        </w:tc>
      </w:tr>
      <w:tr>
        <w:tc>
          <w:tcPr/>
          <w:p>
            <w:pPr>
              <w:pStyle w:val="Compact"/>
            </w:pPr>
            <w:r>
              <w:t xml:space="preserve">Median</w:t>
            </w:r>
          </w:p>
        </w:tc>
        <w:tc>
          <w:tcPr/>
          <w:p>
            <w:pPr>
              <w:pStyle w:val="Compact"/>
            </w:pPr>
            <w:r>
              <w:t xml:space="preserve">73.00</w:t>
            </w:r>
          </w:p>
        </w:tc>
        <w:tc>
          <w:tcPr/>
          <w:p>
            <w:pPr>
              <w:pStyle w:val="Compact"/>
            </w:pPr>
            <w:r>
              <w:t xml:space="preserve">74.50</w:t>
            </w:r>
          </w:p>
        </w:tc>
      </w:tr>
      <w:tr>
        <w:tc>
          <w:tcPr/>
          <w:p>
            <w:pPr>
              <w:pStyle w:val="Compact"/>
            </w:pPr>
            <w:r>
              <w:t xml:space="preserve">5th percentile</w:t>
            </w:r>
          </w:p>
        </w:tc>
        <w:tc>
          <w:tcPr/>
          <w:p>
            <w:pPr>
              <w:pStyle w:val="Compact"/>
            </w:pPr>
            <w:r>
              <w:t xml:space="preserve">58.00</w:t>
            </w:r>
          </w:p>
        </w:tc>
        <w:tc>
          <w:tcPr/>
          <w:p>
            <w:pPr>
              <w:pStyle w:val="Compact"/>
            </w:pPr>
            <w:r>
              <w:t xml:space="preserve">59.00</w:t>
            </w:r>
          </w:p>
        </w:tc>
      </w:tr>
      <w:tr>
        <w:tc>
          <w:tcPr/>
          <w:p>
            <w:pPr>
              <w:pStyle w:val="Compact"/>
            </w:pPr>
            <w:r>
              <w:t xml:space="preserve">95th percentile</w:t>
            </w:r>
          </w:p>
        </w:tc>
        <w:tc>
          <w:tcPr/>
          <w:p>
            <w:pPr>
              <w:pStyle w:val="Compact"/>
            </w:pPr>
            <w:r>
              <w:t xml:space="preserve">81.00</w:t>
            </w:r>
          </w:p>
        </w:tc>
        <w:tc>
          <w:tcPr/>
          <w:p>
            <w:pPr>
              <w:pStyle w:val="Compact"/>
            </w:pPr>
            <w:r>
              <w:t xml:space="preserve">82.00</w:t>
            </w:r>
          </w:p>
        </w:tc>
      </w:tr>
      <w:tr>
        <w:tc>
          <w:tcPr/>
          <w:p>
            <w:pPr>
              <w:pStyle w:val="Compact"/>
            </w:pPr>
            <w:r>
              <w:t xml:space="preserve">KS distance</w:t>
            </w:r>
          </w:p>
        </w:tc>
        <w:tc>
          <w:tcPr/>
          <w:p>
            <w:pPr>
              <w:pStyle w:val="Compact"/>
            </w:pPr>
            <w:r>
              <w:rPr>
                <w:b/>
                <w:bCs/>
              </w:rPr>
              <w:t xml:space="preserve">0.100</w:t>
            </w:r>
          </w:p>
        </w:tc>
        <w:tc>
          <w:tcPr/>
          <w:p>
            <w:pPr>
              <w:pStyle w:val="Compact"/>
            </w:pPr>
            <w:r>
              <w:t xml:space="preserve">n/a</w:t>
            </w:r>
          </w:p>
        </w:tc>
      </w:tr>
    </w:tbl>
    <w:p>
      <w:pPr>
        <w:pStyle w:val="BodyText"/>
      </w:pPr>
      <w: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(the maximum vertical gap between the two cumulative distributions) confirms numerically that the two distributions are very close, halving the leakage-version KS of 0.200. Figure 4.1 visualises both distributions on the same axes.</w:t>
      </w:r>
    </w:p>
    <w:p>
      <w:pPr>
        <w:pStyle w:val="CaptionedFigure"/>
      </w:pPr>
      <w:r>
        <w:drawing>
          <wp:inline>
            <wp:extent cx="5334000" cy="3772693"/>
            <wp:effectExtent b="0" l="0" r="0" t="0"/>
            <wp:docPr descr="Figure 4.1: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pPr>
      <w:r>
        <w:t xml:space="preserve">Figure 4.1: Distribution of overall scores across 100 (resume, JD) pairs, by scoring mode.</w:t>
      </w:r>
    </w:p>
    <w:p>
      <w:pPr>
        <w:pStyle w:val="BodyText"/>
      </w:pPr>
      <w:r>
        <w:rPr>
          <w:i/>
          <w:iCs/>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pPr>
      <w:r>
        <w:t xml:space="preserve">4.3.3 Latency</w:t>
      </w:r>
    </w:p>
    <w:p>
      <w:pPr>
        <w:pStyle w:val="FirstParagraph"/>
      </w:pPr>
      <w: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w:t>
            </w:r>
          </w:p>
        </w:tc>
        <w:tc>
          <w:tcPr/>
          <w:p>
            <w:pPr>
              <w:pStyle w:val="Compact"/>
            </w:pPr>
            <w:r>
              <w:t xml:space="preserve">Blended mode</w:t>
            </w:r>
          </w:p>
        </w:tc>
        <w:tc>
          <w:tcPr/>
          <w:p>
            <w:pPr>
              <w:pStyle w:val="Compact"/>
            </w:pPr>
            <w:r>
              <w:t xml:space="preserve">Heuristic v2 mode</w:t>
            </w:r>
          </w:p>
        </w:tc>
        <w:tc>
          <w:tcPr/>
          <w:p>
            <w:pPr>
              <w:pStyle w:val="Compact"/>
            </w:pPr>
            <w:r>
              <w:t xml:space="preserve">Ratio</w:t>
            </w:r>
          </w:p>
        </w:tc>
      </w:tr>
      <w:tr>
        <w:tc>
          <w:tcPr/>
          <w:p>
            <w:pPr>
              <w:pStyle w:val="Compact"/>
            </w:pPr>
            <w:r>
              <w:t xml:space="preserve">Median</w:t>
            </w:r>
          </w:p>
        </w:tc>
        <w:tc>
          <w:tcPr/>
          <w:p>
            <w:pPr>
              <w:pStyle w:val="Compact"/>
            </w:pPr>
            <w:r>
              <w:t xml:space="preserve">18 232.1 ms</w:t>
            </w:r>
          </w:p>
        </w:tc>
        <w:tc>
          <w:tcPr/>
          <w:p>
            <w:pPr>
              <w:pStyle w:val="Compact"/>
            </w:pPr>
            <w:r>
              <w:t xml:space="preserve">25.5 ms</w:t>
            </w:r>
          </w:p>
        </w:tc>
        <w:tc>
          <w:tcPr/>
          <w:p>
            <w:pPr>
              <w:pStyle w:val="Compact"/>
            </w:pPr>
            <w:r>
              <w:t xml:space="preserve">714×</w:t>
            </w:r>
          </w:p>
        </w:tc>
      </w:tr>
      <w:tr>
        <w:tc>
          <w:tcPr/>
          <w:p>
            <w:pPr>
              <w:pStyle w:val="Compact"/>
            </w:pPr>
            <w:r>
              <w:t xml:space="preserve">95th percentile</w:t>
            </w:r>
          </w:p>
        </w:tc>
        <w:tc>
          <w:tcPr/>
          <w:p>
            <w:pPr>
              <w:pStyle w:val="Compact"/>
            </w:pPr>
            <w:r>
              <w:t xml:space="preserve">24 713.7 ms</w:t>
            </w:r>
          </w:p>
        </w:tc>
        <w:tc>
          <w:tcPr/>
          <w:p>
            <w:pPr>
              <w:pStyle w:val="Compact"/>
            </w:pPr>
            <w:r>
              <w:t xml:space="preserve">32.1 ms</w:t>
            </w:r>
          </w:p>
        </w:tc>
        <w:tc>
          <w:tcPr/>
          <w:p>
            <w:pPr>
              <w:pStyle w:val="Compact"/>
            </w:pPr>
            <w:r>
              <w:t xml:space="preserve">770×</w:t>
            </w:r>
          </w:p>
        </w:tc>
      </w:tr>
      <w:tr>
        <w:tc>
          <w:tcPr/>
          <w:p>
            <w:pPr>
              <w:pStyle w:val="Compact"/>
            </w:pPr>
            <w:r>
              <w:t xml:space="preserve">Maximum observed</w:t>
            </w:r>
          </w:p>
        </w:tc>
        <w:tc>
          <w:tcPr/>
          <w:p>
            <w:pPr>
              <w:pStyle w:val="Compact"/>
            </w:pPr>
            <w:r>
              <w:t xml:space="preserve">65 926.6 ms</w:t>
            </w:r>
          </w:p>
        </w:tc>
        <w:tc>
          <w:tcPr/>
          <w:p>
            <w:pPr>
              <w:pStyle w:val="Compact"/>
            </w:pPr>
            <w:r>
              <w:t xml:space="preserve">34.1 ms</w:t>
            </w:r>
          </w:p>
        </w:tc>
        <w:tc>
          <w:tcPr/>
          <w:p>
            <w:pPr>
              <w:pStyle w:val="Compact"/>
            </w:pPr>
            <w:r>
              <w:t xml:space="preserve">1 933×</w:t>
            </w:r>
          </w:p>
        </w:tc>
      </w:tr>
    </w:tbl>
    <w:p>
      <w:pPr>
        <w:pStyle w:val="BodyText"/>
      </w:pPr>
      <w:r>
        <w:t xml:space="preserve">The blended mode is dominated by the LLM call: median ≈ 18 seconds is consistent with a structured-output Gemini 2.5 Flash call against the</w:t>
      </w:r>
      <w:r>
        <w:t xml:space="preserve"> </w:t>
      </w:r>
      <w:r>
        <w:rPr>
          <w:i/>
          <w:iCs/>
        </w:rPr>
        <w:t xml:space="preserve">~608 input tokens</w:t>
      </w:r>
      <w:r>
        <w:t xml:space="preserve"> </w:t>
      </w:r>
      <w:r>
        <w:t xml:space="preserve">of resume and JD content plus a static system-prompt overhead documented in Section 4.3.4, with approximately 1 118 output tokens. The maximum observed of 66 seconds reflects a single retry-after-timeout case absorbed by the</w:t>
      </w:r>
      <w:r>
        <w:t xml:space="preserve"> </w:t>
      </w:r>
      <w:r>
        <w:rPr>
          <w:i/>
          <w:iCs/>
        </w:rPr>
        <w:t xml:space="preserve">retry-with-jitter</w:t>
      </w:r>
      <w:r>
        <w:t xml:space="preserve"> </w:t>
      </w:r>
      <w:r>
        <w:t xml:space="preserve">policy described in Section 3.1.1. The heuristic v2 mode runs in tens of milliseconds: the median is 25.5 ms and the 95th percentile is 32.1 ms, both well inside the spec target stated in</w:t>
      </w:r>
      <w:r>
        <w:t xml:space="preserve"> </w:t>
      </w:r>
      <w:r>
        <w:rPr>
          <w:rStyle w:val="VerbatimChar"/>
        </w:rPr>
        <w:t xml:space="preserve">heuristic-v2-design.md</w:t>
      </w:r>
      <w: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pPr>
      <w:r>
        <w:t xml:space="preserve">4.3.4 Per-call cost</w:t>
      </w:r>
    </w:p>
    <w:p>
      <w:pPr>
        <w:pStyle w:val="FirstParagraph"/>
      </w:pPr>
      <w: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Blended mode</w:t>
            </w:r>
          </w:p>
        </w:tc>
        <w:tc>
          <w:tcPr/>
          <w:p>
            <w:pPr>
              <w:pStyle w:val="Compact"/>
            </w:pPr>
            <w:r>
              <w:t xml:space="preserve">Heuristic v2 mode</w:t>
            </w:r>
          </w:p>
        </w:tc>
      </w:tr>
      <w:tr>
        <w:tc>
          <w:tcPr/>
          <w:p>
            <w:pPr>
              <w:pStyle w:val="Compact"/>
            </w:pPr>
            <w:r>
              <w:t xml:space="preserve">Input tokens (avg., est.)</w:t>
            </w:r>
          </w:p>
        </w:tc>
        <w:tc>
          <w:tcPr/>
          <w:p>
            <w:pPr>
              <w:pStyle w:val="Compact"/>
            </w:pPr>
            <w:r>
              <w:t xml:space="preserve">608</w:t>
            </w:r>
          </w:p>
        </w:tc>
        <w:tc>
          <w:tcPr/>
          <w:p>
            <w:pPr>
              <w:pStyle w:val="Compact"/>
            </w:pPr>
            <w:r>
              <w:t xml:space="preserve">0</w:t>
            </w:r>
          </w:p>
        </w:tc>
      </w:tr>
      <w:tr>
        <w:tc>
          <w:tcPr/>
          <w:p>
            <w:pPr>
              <w:pStyle w:val="Compact"/>
            </w:pPr>
            <w:r>
              <w:t xml:space="preserve">Output tokens (avg., est.)</w:t>
            </w:r>
          </w:p>
        </w:tc>
        <w:tc>
          <w:tcPr/>
          <w:p>
            <w:pPr>
              <w:pStyle w:val="Compact"/>
            </w:pPr>
            <w:r>
              <w:t xml:space="preserve">1 118</w:t>
            </w:r>
          </w:p>
        </w:tc>
        <w:tc>
          <w:tcPr/>
          <w:p>
            <w:pPr>
              <w:pStyle w:val="Compact"/>
            </w:pPr>
            <w:r>
              <w:t xml:space="preserve">0</w:t>
            </w:r>
          </w:p>
        </w:tc>
      </w:tr>
      <w:tr>
        <w:tc>
          <w:tcPr/>
          <w:p>
            <w:pPr>
              <w:pStyle w:val="Compact"/>
            </w:pPr>
            <w:r>
              <w:t xml:space="preserve">Per-call USD (avg.)</w:t>
            </w:r>
          </w:p>
        </w:tc>
        <w:tc>
          <w:tcPr/>
          <w:p>
            <w:pPr>
              <w:pStyle w:val="Compact"/>
            </w:pPr>
            <w:r>
              <w:t xml:space="preserve">$0.00038</w:t>
            </w:r>
          </w:p>
        </w:tc>
        <w:tc>
          <w:tcPr/>
          <w:p>
            <w:pPr>
              <w:pStyle w:val="Compact"/>
            </w:pPr>
            <w:r>
              <w:t xml:space="preserve">$0.00000</w:t>
            </w:r>
          </w:p>
        </w:tc>
      </w:tr>
      <w:tr>
        <w:tc>
          <w:tcPr/>
          <w:p>
            <w:pPr>
              <w:pStyle w:val="Compact"/>
            </w:pPr>
            <w:r>
              <w:t xml:space="preserve">Per-call USD (95th pct.)</w:t>
            </w:r>
          </w:p>
        </w:tc>
        <w:tc>
          <w:tcPr/>
          <w:p>
            <w:pPr>
              <w:pStyle w:val="Compact"/>
            </w:pPr>
            <w:r>
              <w:t xml:space="preserve">$0.00042</w:t>
            </w:r>
          </w:p>
        </w:tc>
        <w:tc>
          <w:tcPr/>
          <w:p>
            <w:pPr>
              <w:pStyle w:val="Compact"/>
            </w:pPr>
            <w:r>
              <w:t xml:space="preserve">$0.00000</w:t>
            </w:r>
          </w:p>
        </w:tc>
      </w:tr>
      <w:tr>
        <w:tc>
          <w:tcPr/>
          <w:p>
            <w:pPr>
              <w:pStyle w:val="Compact"/>
            </w:pPr>
            <w:r>
              <w:t xml:space="preserve">1 000 calls / day projected monthly bill</w:t>
            </w:r>
          </w:p>
        </w:tc>
        <w:tc>
          <w:tcPr/>
          <w:p>
            <w:pPr>
              <w:pStyle w:val="Compact"/>
            </w:pPr>
            <w:r>
              <w:t xml:space="preserve">$11.43</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The blended mode at one thousand analyses per day projects to roughly</w:t>
      </w:r>
      <w:r>
        <w:t xml:space="preserve"> </w:t>
      </w:r>
      <w:r>
        <w:rPr>
          <w:b/>
          <w:bCs/>
        </w:rPr>
        <w:t xml:space="preserve">$11.43 per month</w:t>
      </w:r>
      <w:r>
        <w:t xml:space="preserve"> </w:t>
      </w:r>
      <w:r>
        <w:t xml:space="preserve">in LLM-side spend on this evaluation set. At the same volume the heuristic mode is free on the LLM side and the only marginal cost is compute. The cost ratio is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pPr>
      <w: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(0.30/0.25/0.15/0.15/0.15)</w:t>
            </w:r>
          </w:p>
        </w:tc>
        <w:tc>
          <w:tcPr/>
          <w:p>
            <w:pPr>
              <w:pStyle w:val="Compact"/>
            </w:pPr>
            <w:r>
              <w:t xml:space="preserve">0.836</w:t>
            </w:r>
          </w:p>
        </w:tc>
        <w:tc>
          <w:tcPr/>
          <w:p>
            <w:pPr>
              <w:pStyle w:val="Compact"/>
            </w:pPr>
            <w:r>
              <w:t xml:space="preserve">0.847</w:t>
            </w:r>
          </w:p>
        </w:tc>
      </w:tr>
      <w:tr>
        <w:tc>
          <w:tcPr/>
          <w:p>
            <w:pPr>
              <w:pStyle w:val="Compact"/>
            </w:pPr>
            <w:r>
              <w:t xml:space="preserve">Equal (0.20 across all five)</w:t>
            </w:r>
          </w:p>
        </w:tc>
        <w:tc>
          <w:tcPr/>
          <w:p>
            <w:pPr>
              <w:pStyle w:val="Compact"/>
            </w:pPr>
            <w:r>
              <w:t xml:space="preserve">0.813</w:t>
            </w:r>
          </w:p>
        </w:tc>
        <w:tc>
          <w:tcPr/>
          <w:p>
            <w:pPr>
              <w:pStyle w:val="Compact"/>
            </w:pPr>
            <w:r>
              <w:t xml:space="preserve">0.823</w:t>
            </w:r>
          </w:p>
        </w:tc>
      </w:tr>
    </w:tbl>
    <w:p>
      <w:pPr>
        <w:pStyle w:val="BodyText"/>
      </w:pPr>
      <w: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t xml:space="preserve"> </w:t>
      </w:r>
      <w:r>
        <w:rPr>
          <w:rStyle w:val="VerbatimChar"/>
        </w:rPr>
        <w:t xml:space="preserve">scripts/analyze_eval_results.py</w:t>
      </w:r>
      <w:r>
        <w:t xml:space="preserve"> </w:t>
      </w:r>
      <w:r>
        <w:t xml:space="preserve">from the persisted per-sub-score breakdown rather than from a second eval-harness run, so the cost of producing this analysis is zero.</w:t>
      </w:r>
    </w:p>
    <w:bookmarkEnd w:id="99"/>
    <w:bookmarkStart w:id="100" w:name="heuristic-enhancement-ablation-stage-h"/>
    <w:p>
      <w:pPr>
        <w:pStyle w:val="Heading3"/>
      </w:pPr>
      <w:r>
        <w:t xml:space="preserve">4.3.6 Heuristic-enhancement ablation (Stage H)</w:t>
      </w:r>
    </w:p>
    <w:p>
      <w:pPr>
        <w:pStyle w:val="FirstParagraph"/>
      </w:pPr>
      <w:r>
        <w:t xml:space="preserve">The post-hoc LLM-only-versus-heuristic correlation of</w:t>
      </w:r>
      <w:r>
        <w:t xml:space="preserve"> </w:t>
      </w:r>
      <w:r>
        <w:rPr>
          <w:i/>
          <w:iCs/>
        </w:rPr>
        <w:t xml:space="preserve">r</w:t>
      </w:r>
      <w:r>
        <w:t xml:space="preserve"> </w:t>
      </w:r>
      <w:r>
        <w:t xml:space="preserve">= 0.627 reported in Section 4.3.1’ represents the residual cross-mode agreement after isolating the structural blended-formula component. A natural follow-up question is whether targeted enhancements to the classical-IR heuristic can close this gap without introducing a neural component into the production runtime. To answer this question without committing to a redesign of the deployed v2 heuristic, an enhanced variant is implemented in a separate module (</w:t>
      </w:r>
      <w:r>
        <w:rPr>
          <w:rStyle w:val="VerbatimChar"/>
        </w:rPr>
        <w:t xml:space="preserve">backend/app/services/quality_signals_v3.py</w:t>
      </w:r>
      <w:r>
        <w:t xml:space="preserve">) that adds five focused signals on top of v2:</w:t>
      </w:r>
    </w:p>
    <w:p>
      <w:pPr>
        <w:pStyle w:val="Compact"/>
        <w:numPr>
          <w:ilvl w:val="0"/>
          <w:numId w:val="1007"/>
        </w:numPr>
      </w:pPr>
      <w:r>
        <w:rPr>
          <w:b/>
          <w:bCs/>
        </w:rPr>
        <w:t xml:space="preserve">H.1</w:t>
      </w:r>
      <w:r>
        <w:t xml:space="preserve">: sentence-embedding semantic fallback for keyword matching, using</w:t>
      </w:r>
      <w:r>
        <w:t xml:space="preserve"> </w:t>
      </w:r>
      <w:r>
        <w:rPr>
          <w:rStyle w:val="VerbatimChar"/>
        </w:rPr>
        <w:t xml:space="preserve">sentence-transformers/all-MiniLM-L6-v2</w:t>
      </w:r>
      <w:r>
        <w:t xml:space="preserve"> </w:t>
      </w:r>
      <w:r>
        <w:t xml:space="preserve">at cosine threshold 0.65 as a final fallback after the v2 cascade (exact → fuzzy → ESCO);</w:t>
      </w:r>
    </w:p>
    <w:p>
      <w:pPr>
        <w:pStyle w:val="Compact"/>
        <w:numPr>
          <w:ilvl w:val="0"/>
          <w:numId w:val="1007"/>
        </w:numPr>
      </w:pPr>
      <w:r>
        <w:rPr>
          <w:b/>
          <w:bCs/>
        </w:rPr>
        <w:t xml:space="preserve">H.2</w:t>
      </w:r>
      <w:r>
        <w:t xml:space="preserve">: STAR-format detection over experience bullets (Situation, Task, Action, Result), aggregated as a 0–100 sub-component of the</w:t>
      </w:r>
      <w:r>
        <w:t xml:space="preserve"> </w:t>
      </w:r>
      <w:r>
        <w:rPr>
          <w:i/>
          <w:iCs/>
        </w:rPr>
        <w:t xml:space="preserve">impact</w:t>
      </w:r>
      <w:r>
        <w:t xml:space="preserve"> </w:t>
      </w:r>
      <w:r>
        <w:t xml:space="preserve">axis;</w:t>
      </w:r>
    </w:p>
    <w:p>
      <w:pPr>
        <w:pStyle w:val="Compact"/>
        <w:numPr>
          <w:ilvl w:val="0"/>
          <w:numId w:val="1007"/>
        </w:numPr>
      </w:pPr>
      <w:r>
        <w:rPr>
          <w:b/>
          <w:bCs/>
        </w:rPr>
        <w:t xml:space="preserve">H.3</w:t>
      </w:r>
      <w:r>
        <w:t xml:space="preserve">: three cross-axis coherence checks deducted from the</w:t>
      </w:r>
      <w:r>
        <w:t xml:space="preserve"> </w:t>
      </w:r>
      <w:r>
        <w:rPr>
          <w:i/>
          <w:iCs/>
        </w:rPr>
        <w:t xml:space="preserve">completeness</w:t>
      </w:r>
      <w:r>
        <w:t xml:space="preserve"> </w:t>
      </w:r>
      <w:r>
        <w:t xml:space="preserve">axis: (C1) years-claimed versus date-supported employment span, (C2) skills listed in the Skills section but not grounded in the Experience or Projects passages, (C3) education year versus claimed years of professional experience;</w:t>
      </w:r>
    </w:p>
    <w:p>
      <w:pPr>
        <w:pStyle w:val="Compact"/>
        <w:numPr>
          <w:ilvl w:val="0"/>
          <w:numId w:val="1007"/>
        </w:numPr>
      </w:pPr>
      <w:r>
        <w:rPr>
          <w:b/>
          <w:bCs/>
        </w:rPr>
        <w:t xml:space="preserve">H.4</w:t>
      </w:r>
      <w:r>
        <w:t xml:space="preserve">: bigram and trigram phrase matching with a sliding-window fallback, weighted at 1.5× and 2.0× the unigram contribution respectively;</w:t>
      </w:r>
    </w:p>
    <w:p>
      <w:pPr>
        <w:pStyle w:val="Compact"/>
        <w:numPr>
          <w:ilvl w:val="0"/>
          <w:numId w:val="1007"/>
        </w:numPr>
      </w:pPr>
      <w:r>
        <w:rPr>
          <w:b/>
          <w:bCs/>
        </w:rPr>
        <w:t xml:space="preserve">H.5</w:t>
      </w:r>
      <w:r>
        <w:t xml:space="preserve">: a hand-curated expansion of the ESCO subset from 107 entries to 354 entries (Path B execution: the Path A re-derivation from the official ESCO v1.1.1 static export is left to follow-on work).</w:t>
      </w:r>
    </w:p>
    <w:p>
      <w:pPr>
        <w:pStyle w:val="FirstParagraph"/>
      </w:pPr>
      <w:r>
        <w:t xml:space="preserve">Each enhancement is gated behind an explicit feature flag so that controlled subsets can be exercised independently of the others. Because the heuristic prepass is exposed to the language model as a</w:t>
      </w:r>
      <w:r>
        <w:t xml:space="preserve"> </w:t>
      </w:r>
      <w:r>
        <w:rPr>
          <w:i/>
          <w:iCs/>
        </w:rPr>
        <w:t xml:space="preserve">locked payload</w:t>
      </w:r>
      <w:r>
        <w:t xml:space="preserve"> </w:t>
      </w:r>
      <w:r>
        <w:t xml:space="preserve">(Section 3.2.3), the LLM cannot move the heuristic component at inference time, so the post-hoc-recovered LLM-only score per pair from Section 4.3.1’ is invariant under any reconfiguration of the heuristic. This means the ablation is computable at zero LLM-side cost: each variant’s heuristic score is recomputed against the same locked LLM-only baseline.</w:t>
      </w:r>
    </w:p>
    <w:p>
      <w:pPr>
        <w:pStyle w:val="BodyText"/>
      </w:pPr>
      <w:r>
        <w:t xml:space="preserve">The ablation is computed on the full 100-pair Stage G disjoint-pool evaluation set; for each variant, the Pearson correlation between the variant’s overall heuristic score and the post-hoc-recovered LLM-only score is reported with a 95 % cluster-bootstrap confidence interval (resampled by</w:t>
      </w:r>
      <w:r>
        <w:t xml:space="preserve"> </w:t>
      </w:r>
      <w:r>
        <w:rPr>
          <w:rStyle w:val="VerbatimChar"/>
        </w:rPr>
        <w:t xml:space="preserve">resume_id</w:t>
      </w:r>
      <w:r>
        <w:t xml:space="preserve">, 2 000 resamples, seed = 42).</w:t>
      </w:r>
    </w:p>
    <w:tbl>
      <w:tblPr>
        <w:tblStyle w:val="Table"/>
        <w:tblW w:type="pct" w:w="5000"/>
        <w:tblLayout w:type="fixed"/>
        <w:tblLook w:firstRow="1" w:lastRow="0" w:firstColumn="0" w:lastColumn="0" w:noHBand="0" w:noVBand="0" w:val="0020"/>
      </w:tblPr>
      <w:tblGrid>
        <w:gridCol w:w="1131"/>
        <w:gridCol w:w="3142"/>
        <w:gridCol w:w="1005"/>
        <w:gridCol w:w="1508"/>
        <w:gridCol w:w="1131"/>
      </w:tblGrid>
      <w:tr>
        <w:trPr>
          <w:tblHeader w:val="on"/>
        </w:trPr>
        <w:tc>
          <w:tcPr/>
          <w:p>
            <w:pPr>
              <w:pStyle w:val="Compact"/>
            </w:pPr>
            <w:r>
              <w:t xml:space="preserve">Variant</w:t>
            </w:r>
          </w:p>
        </w:tc>
        <w:tc>
          <w:tcPr/>
          <w:p>
            <w:pPr>
              <w:pStyle w:val="Compact"/>
            </w:pPr>
            <w:r>
              <w:t xml:space="preserve">Pearson</w:t>
            </w:r>
            <w:r>
              <w:t xml:space="preserve"> </w:t>
            </w:r>
            <w:r>
              <w:rPr>
                <w:i/>
                <w:iCs/>
              </w:rPr>
              <w:t xml:space="preserve">r</w:t>
            </w:r>
            <w:r>
              <w:t xml:space="preserve"> </w:t>
            </w:r>
            <w:r>
              <w:t xml:space="preserve">vs LLM-only</w:t>
            </w:r>
          </w:p>
        </w:tc>
        <w:tc>
          <w:tcPr/>
          <w:p>
            <w:pPr>
              <w:pStyle w:val="Compact"/>
            </w:pPr>
            <w:r>
              <w:t xml:space="preserve">95% CI</w:t>
            </w:r>
          </w:p>
        </w:tc>
        <w:tc>
          <w:tcPr/>
          <w:p>
            <w:pPr>
              <w:pStyle w:val="Compact"/>
            </w:pPr>
            <w:r>
              <w:t xml:space="preserve">Spearman ρ</w:t>
            </w:r>
          </w:p>
        </w:tc>
        <w:tc>
          <w:tcPr/>
          <w:p>
            <w:pPr>
              <w:pStyle w:val="Compact"/>
            </w:pPr>
            <w:r>
              <w:t xml:space="preserve">Δ vs v2</w:t>
            </w:r>
          </w:p>
        </w:tc>
      </w:tr>
      <w:tr>
        <w:tc>
          <w:tcPr/>
          <w:p>
            <w:pPr>
              <w:pStyle w:val="Compact"/>
            </w:pPr>
            <w:r>
              <w:t xml:space="preserve">heuristic-v2 (BM25 + ESCO + fuzzy)</w:t>
            </w:r>
          </w:p>
        </w:tc>
        <w:tc>
          <w:tcPr/>
          <w:p>
            <w:pPr>
              <w:pStyle w:val="Compact"/>
            </w:pPr>
            <w:r>
              <w:rPr>
                <w:b/>
                <w:bCs/>
              </w:rPr>
              <w:t xml:space="preserve">0.627</w:t>
            </w:r>
          </w:p>
        </w:tc>
        <w:tc>
          <w:tcPr/>
          <w:p>
            <w:pPr>
              <w:pStyle w:val="Compact"/>
            </w:pPr>
            <w:r>
              <w:t xml:space="preserve">[0.470, 0.758]</w:t>
            </w:r>
          </w:p>
        </w:tc>
        <w:tc>
          <w:tcPr/>
          <w:p>
            <w:pPr>
              <w:pStyle w:val="Compact"/>
            </w:pPr>
            <w:r>
              <w:t xml:space="preserve">0.596</w:t>
            </w:r>
          </w:p>
        </w:tc>
        <w:tc>
          <w:tcPr/>
          <w:p>
            <w:pPr>
              <w:pStyle w:val="Compact"/>
            </w:pPr>
            <w:r>
              <w:t xml:space="preserve">baseline</w:t>
            </w:r>
          </w:p>
        </w:tc>
      </w:tr>
      <w:tr>
        <w:tc>
          <w:tcPr/>
          <w:p>
            <w:pPr>
              <w:pStyle w:val="Compact"/>
            </w:pPr>
            <w:r>
              <w:t xml:space="preserve">heuristic-v3 with no Stage H features</w:t>
            </w:r>
          </w:p>
        </w:tc>
        <w:tc>
          <w:tcPr/>
          <w:p>
            <w:pPr>
              <w:pStyle w:val="Compact"/>
            </w:pPr>
            <w:r>
              <w:t xml:space="preserve">0.627</w:t>
            </w:r>
          </w:p>
        </w:tc>
        <w:tc>
          <w:tcPr/>
          <w:p>
            <w:pPr>
              <w:pStyle w:val="Compact"/>
            </w:pPr>
            <w:r>
              <w:t xml:space="preserve">[0.470, 0.758]</w:t>
            </w:r>
          </w:p>
        </w:tc>
        <w:tc>
          <w:tcPr/>
          <w:p>
            <w:pPr>
              <w:pStyle w:val="Compact"/>
            </w:pPr>
            <w:r>
              <w:t xml:space="preserve">0.596</w:t>
            </w:r>
          </w:p>
        </w:tc>
        <w:tc>
          <w:tcPr/>
          <w:p>
            <w:pPr>
              <w:pStyle w:val="Compact"/>
            </w:pPr>
            <w:r>
              <w:t xml:space="preserve">+0.000</w:t>
            </w:r>
          </w:p>
        </w:tc>
      </w:tr>
      <w:tr>
        <w:tc>
          <w:tcPr/>
          <w:p>
            <w:pPr>
              <w:pStyle w:val="Compact"/>
            </w:pPr>
            <w:r>
              <w:t xml:space="preserve">+ bigram / trigram (H.4)</w:t>
            </w:r>
          </w:p>
        </w:tc>
        <w:tc>
          <w:tcPr/>
          <w:p>
            <w:pPr>
              <w:pStyle w:val="Compact"/>
            </w:pPr>
            <w:r>
              <w:t xml:space="preserve">0.629</w:t>
            </w:r>
          </w:p>
        </w:tc>
        <w:tc>
          <w:tcPr/>
          <w:p>
            <w:pPr>
              <w:pStyle w:val="Compact"/>
            </w:pPr>
            <w:r>
              <w:t xml:space="preserve">[0.470, 0.758]</w:t>
            </w:r>
          </w:p>
        </w:tc>
        <w:tc>
          <w:tcPr/>
          <w:p>
            <w:pPr>
              <w:pStyle w:val="Compact"/>
            </w:pPr>
            <w:r>
              <w:t xml:space="preserve">0.583</w:t>
            </w:r>
          </w:p>
        </w:tc>
        <w:tc>
          <w:tcPr/>
          <w:p>
            <w:pPr>
              <w:pStyle w:val="Compact"/>
            </w:pPr>
            <w:r>
              <w:t xml:space="preserve">+0.002</w:t>
            </w:r>
          </w:p>
        </w:tc>
      </w:tr>
      <w:tr>
        <w:tc>
          <w:tcPr/>
          <w:p>
            <w:pPr>
              <w:pStyle w:val="Compact"/>
            </w:pPr>
            <w:r>
              <w:t xml:space="preserve">+ SBERT semantic fallback (H.1)</w:t>
            </w:r>
          </w:p>
        </w:tc>
        <w:tc>
          <w:tcPr/>
          <w:p>
            <w:pPr>
              <w:pStyle w:val="Compact"/>
            </w:pPr>
            <w:r>
              <w:t xml:space="preserve">0.623</w:t>
            </w:r>
          </w:p>
        </w:tc>
        <w:tc>
          <w:tcPr/>
          <w:p>
            <w:pPr>
              <w:pStyle w:val="Compact"/>
            </w:pPr>
            <w:r>
              <w:t xml:space="preserve">[0.452, 0.759]</w:t>
            </w:r>
          </w:p>
        </w:tc>
        <w:tc>
          <w:tcPr/>
          <w:p>
            <w:pPr>
              <w:pStyle w:val="Compact"/>
            </w:pPr>
            <w:r>
              <w:t xml:space="preserve">0.573</w:t>
            </w:r>
          </w:p>
        </w:tc>
        <w:tc>
          <w:tcPr/>
          <w:p>
            <w:pPr>
              <w:pStyle w:val="Compact"/>
            </w:pPr>
            <w:r>
              <w:t xml:space="preserve">−0.004</w:t>
            </w:r>
          </w:p>
        </w:tc>
      </w:tr>
      <w:tr>
        <w:tc>
          <w:tcPr/>
          <w:p>
            <w:pPr>
              <w:pStyle w:val="Compact"/>
            </w:pPr>
            <w:r>
              <w:t xml:space="preserve">+ STAR detection (H.2)</w:t>
            </w:r>
          </w:p>
        </w:tc>
        <w:tc>
          <w:tcPr/>
          <w:p>
            <w:pPr>
              <w:pStyle w:val="Compact"/>
            </w:pPr>
            <w:r>
              <w:t xml:space="preserve">0.621</w:t>
            </w:r>
          </w:p>
        </w:tc>
        <w:tc>
          <w:tcPr/>
          <w:p>
            <w:pPr>
              <w:pStyle w:val="Compact"/>
            </w:pPr>
            <w:r>
              <w:t xml:space="preserve">[0.463, 0.755]</w:t>
            </w:r>
          </w:p>
        </w:tc>
        <w:tc>
          <w:tcPr/>
          <w:p>
            <w:pPr>
              <w:pStyle w:val="Compact"/>
            </w:pPr>
            <w:r>
              <w:t xml:space="preserve">0.596</w:t>
            </w:r>
          </w:p>
        </w:tc>
        <w:tc>
          <w:tcPr/>
          <w:p>
            <w:pPr>
              <w:pStyle w:val="Compact"/>
            </w:pPr>
            <w:r>
              <w:t xml:space="preserve">−0.006</w:t>
            </w:r>
          </w:p>
        </w:tc>
      </w:tr>
      <w:tr>
        <w:tc>
          <w:tcPr/>
          <w:p>
            <w:pPr>
              <w:pStyle w:val="Compact"/>
            </w:pPr>
            <w:r>
              <w:t xml:space="preserve">+ ESCO expansion 107 → 354 (H.5)</w:t>
            </w:r>
          </w:p>
        </w:tc>
        <w:tc>
          <w:tcPr/>
          <w:p>
            <w:pPr>
              <w:pStyle w:val="Compact"/>
            </w:pPr>
            <w:r>
              <w:t xml:space="preserve">0.617</w:t>
            </w:r>
          </w:p>
        </w:tc>
        <w:tc>
          <w:tcPr/>
          <w:p>
            <w:pPr>
              <w:pStyle w:val="Compact"/>
            </w:pPr>
            <w:r>
              <w:t xml:space="preserve">[0.461, 0.752]</w:t>
            </w:r>
          </w:p>
        </w:tc>
        <w:tc>
          <w:tcPr/>
          <w:p>
            <w:pPr>
              <w:pStyle w:val="Compact"/>
            </w:pPr>
            <w:r>
              <w:t xml:space="preserve">0.578</w:t>
            </w:r>
          </w:p>
        </w:tc>
        <w:tc>
          <w:tcPr/>
          <w:p>
            <w:pPr>
              <w:pStyle w:val="Compact"/>
            </w:pPr>
            <w:r>
              <w:t xml:space="preserve">−0.009</w:t>
            </w:r>
          </w:p>
        </w:tc>
      </w:tr>
      <w:tr>
        <w:tc>
          <w:tcPr/>
          <w:p>
            <w:pPr>
              <w:pStyle w:val="Compact"/>
            </w:pPr>
            <w:r>
              <w:t xml:space="preserve">+ cross-axis coherence (H.3)</w:t>
            </w:r>
          </w:p>
        </w:tc>
        <w:tc>
          <w:tcPr/>
          <w:p>
            <w:pPr>
              <w:pStyle w:val="Compact"/>
            </w:pPr>
            <w:r>
              <w:t xml:space="preserve">0.605</w:t>
            </w:r>
          </w:p>
        </w:tc>
        <w:tc>
          <w:tcPr/>
          <w:p>
            <w:pPr>
              <w:pStyle w:val="Compact"/>
            </w:pPr>
            <w:r>
              <w:t xml:space="preserve">[0.438, 0.746]</w:t>
            </w:r>
          </w:p>
        </w:tc>
        <w:tc>
          <w:tcPr/>
          <w:p>
            <w:pPr>
              <w:pStyle w:val="Compact"/>
            </w:pPr>
            <w:r>
              <w:t xml:space="preserve">0.568</w:t>
            </w:r>
          </w:p>
        </w:tc>
        <w:tc>
          <w:tcPr/>
          <w:p>
            <w:pPr>
              <w:pStyle w:val="Compact"/>
            </w:pPr>
            <w:r>
              <w:t xml:space="preserve">−0.022</w:t>
            </w:r>
          </w:p>
        </w:tc>
      </w:tr>
      <w:tr>
        <w:tc>
          <w:tcPr/>
          <w:p>
            <w:pPr>
              <w:pStyle w:val="Compact"/>
            </w:pPr>
            <w:r>
              <w:t xml:space="preserve">heuristic-v3 (full, all five)</w:t>
            </w:r>
          </w:p>
        </w:tc>
        <w:tc>
          <w:tcPr/>
          <w:p>
            <w:pPr>
              <w:pStyle w:val="Compact"/>
            </w:pPr>
            <w:r>
              <w:t xml:space="preserve">0.590</w:t>
            </w:r>
          </w:p>
        </w:tc>
        <w:tc>
          <w:tcPr/>
          <w:p>
            <w:pPr>
              <w:pStyle w:val="Compact"/>
            </w:pPr>
            <w:r>
              <w:t xml:space="preserve">[0.415, 0.735]</w:t>
            </w:r>
          </w:p>
        </w:tc>
        <w:tc>
          <w:tcPr/>
          <w:p>
            <w:pPr>
              <w:pStyle w:val="Compact"/>
            </w:pPr>
            <w:r>
              <w:t xml:space="preserve">0.556</w:t>
            </w:r>
          </w:p>
        </w:tc>
        <w:tc>
          <w:tcPr/>
          <w:p>
            <w:pPr>
              <w:pStyle w:val="Compact"/>
            </w:pPr>
            <w:r>
              <w:t xml:space="preserve">−0.036</w:t>
            </w:r>
          </w:p>
        </w:tc>
      </w:tr>
    </w:tbl>
    <w:p>
      <w:pPr>
        <w:pStyle w:val="BodyText"/>
      </w:pPr>
      <w:r>
        <w:t xml:space="preserve">The result is</w:t>
      </w:r>
      <w:r>
        <w:t xml:space="preserve"> </w:t>
      </w:r>
      <w:r>
        <w:rPr>
          <w:b/>
          <w:bCs/>
        </w:rPr>
        <w:t xml:space="preserve">a controlled null with a small negative drift on the compound configuration</w:t>
      </w:r>
      <w:r>
        <w:t xml:space="preserve">: the</w:t>
      </w:r>
      <w:r>
        <w:t xml:space="preserve"> </w:t>
      </w:r>
      <w:r>
        <w:rPr>
          <w:rStyle w:val="VerbatimChar"/>
        </w:rPr>
        <w:t xml:space="preserve">v3-empty</w:t>
      </w:r>
      <w:r>
        <w:t xml:space="preserve"> </w:t>
      </w:r>
      <w:r>
        <w:t xml:space="preserve">cell (the v3 module with every Stage H feature disabled) reproduces the v2 baseline</w:t>
      </w:r>
      <w:r>
        <w:t xml:space="preserve"> </w:t>
      </w:r>
      <w:r>
        <w:rPr>
          <w:i/>
          <w:iCs/>
        </w:rPr>
        <w:t xml:space="preserve">exactly</w:t>
      </w:r>
      <w:r>
        <w:t xml:space="preserve"> </w:t>
      </w:r>
      <w:r>
        <w:t xml:space="preserve">to three decimal places (Δ = +0.000), validating that the v3 module degrades to the v2 reference correctly and that the deltas elsewhere are not module-implementation artefacts. The single-feature deltas span +0.002 (n-gram phrase matching) to −0.022 (cross-axis coherence checks); every one of them sits comfortably inside the ±0.15 half-width of the cluster-bootstrap confidence interval, so none is statistically distinguishable from zero on the available 100-pair evaluation set. The full-stack v3 configuration sits at</w:t>
      </w:r>
      <w:r>
        <w:t xml:space="preserve"> </w:t>
      </w:r>
      <w:r>
        <w:rPr>
          <w:i/>
          <w:iCs/>
        </w:rPr>
        <w:t xml:space="preserve">r</w:t>
      </w:r>
      <w:r>
        <w:t xml:space="preserve"> </w:t>
      </w:r>
      <w:r>
        <w:t xml:space="preserve">= 0.590 (Δ = −0.036), still inside the bootstrap CI half-width but suggestive that the small false-positive contributions of the five enhancements compound rather than cancel when stacked. Two readings of this null are consistent with the construction of the evaluation set and with the post-hoc decomposition of Section 4.3.1’:</w:t>
      </w:r>
    </w:p>
    <w:p>
      <w:pPr>
        <w:pStyle w:val="BodyText"/>
      </w:pPr>
      <w:r>
        <w:t xml:space="preserve">First, the synthetic-template construction described in Section 4.1.1 (tightened by the Stage G disjoint-vocabulary mitigation) generates resume and job-description prose with low surface-form variation: the resume side and the JD side already share canonical skill labels by design and do not, by construction, contain the kind of paraphrase variation that a sentence-embedding semantic fallback or a bigram phrase fallback is built to recover. The classical-IR baseline is close to a recall ceiling on this set; further keyword-level recall via SBERT or n-gram matching does not contribute information that the v2 cascade has not already extracted. The additional flexibility introduces small false-positive contributions that depress the per-pair correlation rather than lift it: ESCO-expansion variants occasionally match incidental tokens in the JD prose, expanded STAR detection produces partial points on terse template bullets, and the H.3 cross-axis coherence checks flag synthetic-template artefacts (the deterministic year-range generator emits dates that the years-claimed regex sometimes mismatches by one or two years) as orphan-skill or year-mismatch penalties that the LLM-only score, scoring the same resume on prose evidence, does not see.</w:t>
      </w:r>
    </w:p>
    <w:p>
      <w:pPr>
        <w:pStyle w:val="BodyText"/>
      </w:pPr>
      <w:r>
        <w:t xml:space="preserve">Second, the post-hoc-recovered LLM-only score is, by construction, the residual signal that the language model contributes</w:t>
      </w:r>
      <w:r>
        <w:t xml:space="preserve"> </w:t>
      </w:r>
      <w:r>
        <w:rPr>
          <w:i/>
          <w:iCs/>
        </w:rPr>
        <w:t xml:space="preserve">beyond</w:t>
      </w:r>
      <w:r>
        <w:t xml:space="preserve"> </w:t>
      </w:r>
      <w:r>
        <w:t xml:space="preserve">the heuristic component shared by both modes. The ~0.37-magnitude residual on the Pearson scale (1.0 − 0.627 = 0.373) reflects prose-quality, narrative-coherence, and role-fit evidence that the language model weighs and that the</w:t>
      </w:r>
      <w:r>
        <w:t xml:space="preserve"> </w:t>
      </w:r>
      <w:r>
        <w:rPr>
          <w:i/>
          <w:iCs/>
        </w:rPr>
        <w:t xml:space="preserve">clarity</w:t>
      </w:r>
      <w:r>
        <w:t xml:space="preserve"> </w:t>
      </w:r>
      <w:r>
        <w:t xml:space="preserve">sub-score in Section 4.3.1 already pinpoints as the axis of largest disagreement. None of the Stage H enhancements target prose-quality or role-fit reasoning; they target keyword recall, action-claim structure, and internal-consistency checks. The ablation result is therefore evidence that the residual cross-mode gap reported in Section 4.3.1’ is driven by signal classes that classical-IR enhancements of this kind do not access on this evaluation set, rather than by a deficit in the v2 keyword cascade itself. The honest reading is that v2 is at the achievable ceiling for keyword-and-structure agreement on the synthesised pool, and the residual is the genuine LLM contribution that motivates keeping the language-model component available alongside the deterministic baseline. Closing the residual through classical-IR-only means would require either (i) a different evaluation surface that exposes prose-quality variation the synthetic templates suppress, or (ii) features that target the exact axes the LLM lifts (clarity and impact-narrative coherence). Both are properly future work.</w:t>
      </w:r>
    </w:p>
    <w:bookmarkEnd w:id="100"/>
    <w:bookmarkStart w:id="101" w:name="Xcff2c0d3320ec1ce82f83c9b1d53013643ebe8f"/>
    <w:p>
      <w:pPr>
        <w:pStyle w:val="Heading3"/>
      </w:pPr>
      <w:r>
        <w:t xml:space="preserve">4.3.7 Implementation note on Stage H reproducibility</w:t>
      </w:r>
    </w:p>
    <w:p>
      <w:pPr>
        <w:pStyle w:val="FirstParagraph"/>
      </w:pPr>
      <w:r>
        <w:t xml:space="preserve">The ablation is reproducible from the artefacts persisted in the repository:</w:t>
      </w:r>
      <w:r>
        <w:t xml:space="preserve"> </w:t>
      </w:r>
      <w:r>
        <w:rPr>
          <w:rStyle w:val="VerbatimChar"/>
        </w:rPr>
        <w:t xml:space="preserve">backend/app/services/quality_signals_v3.py</w:t>
      </w:r>
      <w:r>
        <w:t xml:space="preserve"> </w:t>
      </w:r>
      <w:r>
        <w:t xml:space="preserve">is the v3 module,</w:t>
      </w:r>
      <w:r>
        <w:t xml:space="preserve"> </w:t>
      </w:r>
      <w:r>
        <w:rPr>
          <w:rStyle w:val="VerbatimChar"/>
        </w:rPr>
        <w:t xml:space="preserve">backend/app/data/esco_skills_expanded.json</w:t>
      </w:r>
      <w:r>
        <w:t xml:space="preserve"> </w:t>
      </w:r>
      <w:r>
        <w:t xml:space="preserve">is the 354-entry expansion,</w:t>
      </w:r>
      <w:r>
        <w:t xml:space="preserve"> </w:t>
      </w:r>
      <w:r>
        <w:rPr>
          <w:rStyle w:val="VerbatimChar"/>
        </w:rPr>
        <w:t xml:space="preserve">scripts/eval_scoring_v3_ablation.py</w:t>
      </w:r>
      <w:r>
        <w:t xml:space="preserve"> </w:t>
      </w:r>
      <w:r>
        <w:t xml:space="preserve">is the harness that computes the per-variant per-pair heuristic score, and</w:t>
      </w:r>
      <w:r>
        <w:t xml:space="preserve"> </w:t>
      </w:r>
      <w:r>
        <w:rPr>
          <w:rStyle w:val="VerbatimChar"/>
        </w:rPr>
        <w:t xml:space="preserve">scripts/analyze_v3_ablation.py</w:t>
      </w:r>
      <w:r>
        <w:t xml:space="preserve"> </w:t>
      </w:r>
      <w:r>
        <w:t xml:space="preserve">is the analysis script that computes the table above. The harness reuses the existing</w:t>
      </w:r>
      <w:r>
        <w:t xml:space="preserve"> </w:t>
      </w:r>
      <w:r>
        <w:rPr>
          <w:rStyle w:val="VerbatimChar"/>
        </w:rPr>
        <w:t xml:space="preserve">eval-results.json</w:t>
      </w:r>
      <w:r>
        <w:t xml:space="preserve"> </w:t>
      </w:r>
      <w:r>
        <w:t xml:space="preserve">written by Stage G’s blended-mode run and recovers the LLM-only score per pair via the post-hoc identity in Section 4.3.1’. No additional LLM calls are issued. The full ablation runs in approximately 4 minutes on commodity hardware (≈110 s for the SBERT first-load and inference pass, ≈10 s combined for the deterministic variants). Sentence-transformers and PyTorch are listed in</w:t>
      </w:r>
      <w:r>
        <w:t xml:space="preserve"> </w:t>
      </w:r>
      <w:r>
        <w:rPr>
          <w:rStyle w:val="VerbatimChar"/>
        </w:rPr>
        <w:t xml:space="preserve">backend/requirements-thesis-eval.txt</w:t>
      </w:r>
      <w:r>
        <w:t xml:space="preserve"> </w:t>
      </w:r>
      <w:r>
        <w:t xml:space="preserve">rather than in</w:t>
      </w:r>
      <w:r>
        <w:t xml:space="preserve"> </w:t>
      </w:r>
      <w:r>
        <w:rPr>
          <w:rStyle w:val="VerbatimChar"/>
        </w:rPr>
        <w:t xml:space="preserve">backend/requirements.txt</w:t>
      </w:r>
      <w:r>
        <w:t xml:space="preserve"> </w:t>
      </w:r>
      <w:r>
        <w:t xml:space="preserve">so the production deployment surface remains free of the neural dependency.</w:t>
      </w:r>
    </w:p>
    <w:bookmarkEnd w:id="101"/>
    <w:bookmarkEnd w:id="102"/>
    <w:bookmarkStart w:id="103" w:name="discussion-and-limitations"/>
    <w:p>
      <w:pPr>
        <w:pStyle w:val="Heading2"/>
      </w:pPr>
      <w:r>
        <w:t xml:space="preserve">4.4 Discussion and limitations</w:t>
      </w:r>
    </w:p>
    <w:p>
      <w:pPr>
        <w:pStyle w:val="FirstParagraph"/>
      </w:pPr>
      <w:r>
        <w:t xml:space="preserve">The evaluation reported in Section 4.3 supports the following defendable claim</w:t>
      </w:r>
      <w:r>
        <w:t xml:space="preserve"> </w:t>
      </w:r>
      <w:r>
        <w:rPr>
          <w:i/>
          <w:iCs/>
        </w:rPr>
        <w:t xml:space="preserve">within this synthetic evaluation set</w:t>
      </w:r>
      <w:r>
        <w:t xml:space="preserve">: a strictly classical-IR heuristic, augmented with a curated ESCO subset and a fuzzy-matching layer, recovers most of the discriminative power of the blended mode on the overall score (Pearson</w:t>
      </w:r>
      <w:r>
        <w:t xml:space="preserve"> </w:t>
      </w:r>
      <w:r>
        <w:rPr>
          <w:i/>
          <w:iCs/>
        </w:rPr>
        <w:t xml:space="preserve">r</w:t>
      </w:r>
      <w:r>
        <w:t xml:space="preserve"> </w:t>
      </w:r>
      <w: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this is the honest cross-mode agreement statistic that strips out the 0.40 heuristic share blended carries by construction. Per-sub-score, the agreement is strongest on</w:t>
      </w:r>
      <w:r>
        <w:t xml:space="preserve"> </w:t>
      </w:r>
      <w:r>
        <w:rPr>
          <w:i/>
          <w:iCs/>
        </w:rPr>
        <w:t xml:space="preserve">keywords</w:t>
      </w:r>
      <w:r>
        <w:t xml:space="preserve"> </w:t>
      </w:r>
      <w:r>
        <w:t xml:space="preserve">(</w:t>
      </w:r>
      <w:r>
        <w:rPr>
          <w:i/>
          <w:iCs/>
        </w:rPr>
        <w:t xml:space="preserve">r</w:t>
      </w:r>
      <w:r>
        <w:t xml:space="preserve"> </w:t>
      </w:r>
      <w:r>
        <w:t xml:space="preserve">= 0.937) and</w:t>
      </w:r>
      <w:r>
        <w:t xml:space="preserve"> </w:t>
      </w:r>
      <w:r>
        <w:rPr>
          <w:i/>
          <w:iCs/>
        </w:rPr>
        <w:t xml:space="preserve">structure</w:t>
      </w:r>
      <w:r>
        <w:t xml:space="preserve"> </w:t>
      </w:r>
      <w:r>
        <w:t xml:space="preserve">(</w:t>
      </w:r>
      <w:r>
        <w:rPr>
          <w:i/>
          <w:iCs/>
        </w:rPr>
        <w:t xml:space="preserve">r</w:t>
      </w:r>
      <w:r>
        <w:t xml:space="preserve"> </w:t>
      </w:r>
      <w:r>
        <w:t xml:space="preserve">= 0.830) and weakest on</w:t>
      </w:r>
      <w:r>
        <w:t xml:space="preserve"> </w:t>
      </w:r>
      <w:r>
        <w:rPr>
          <w:i/>
          <w:iCs/>
        </w:rPr>
        <w:t xml:space="preserve">clarity</w:t>
      </w:r>
      <w:r>
        <w:t xml:space="preserve"> </w:t>
      </w:r>
      <w:r>
        <w:t xml:space="preserve">(</w:t>
      </w:r>
      <w:r>
        <w:rPr>
          <w:i/>
          <w:iCs/>
        </w:rPr>
        <w:t xml:space="preserve">r</w:t>
      </w:r>
      <w:r>
        <w:t xml:space="preserve"> </w:t>
      </w:r>
      <w:r>
        <w:t xml:space="preserve">= 0.395), which is the axis on which the language model contributes prose-quality evidence the heuristic cannot see. Independently of the numbers, the blended mode produces qualitatively richer recommendations (prose explanations, role-fit narratives, cover-letter-grade phrasing) that the heuristic mode does not attempt to produce; this qualitative dimension is not captured by the four metrics above and is a matter for separate user-research investigation.</w:t>
      </w:r>
    </w:p>
    <w:p>
      <w:pPr>
        <w:pStyle w:val="BodyText"/>
      </w:pPr>
      <w:r>
        <w:t xml:space="preserve">Three limitations of the study deserve explicit statement.</w:t>
      </w:r>
    </w:p>
    <w:p>
      <w:pPr>
        <w:pStyle w:val="BodyText"/>
      </w:pPr>
      <w:r>
        <w:rPr>
          <w:b/>
          <w:bCs/>
        </w:rPr>
        <w:t xml:space="preserve">Single-language scope.</w:t>
      </w:r>
      <w:r>
        <w:t xml:space="preserve"> </w:t>
      </w:r>
      <w:r>
        <w:t xml:space="preserve">All resumes and job descriptions in the evaluation set are in English. The bundled ESCO subset is the multilingual ESCO published by the European Commission, but the deployed system uses only the English labels. Polish-language resumes (a relevant scope for a Wrocław-based deployment) are not exercised. Section 5.3 proposes the integration of the Polish-language ESCO labels as a near-term extension.</w:t>
      </w:r>
    </w:p>
    <w:p>
      <w:pPr>
        <w:pStyle w:val="BodyText"/>
      </w:pPr>
      <w:r>
        <w:rPr>
          <w:b/>
          <w:bCs/>
        </w:rPr>
        <w:t xml:space="preserve">Single-subject evaluation.</w:t>
      </w:r>
      <w:r>
        <w:t xml:space="preserve"> </w:t>
      </w:r>
      <w:r>
        <w:t xml:space="preserve">The 30 resumes were synthesised by a single author and may share a stylistic register that does not generalise to resumes drawn from a wider population. The result reported in Section 4.3.1 should be read as a within-author baseline rather than as a cross-population claim. Replicating the evaluation against a larger multi-author resume corpus is left for future work.</w:t>
      </w:r>
    </w:p>
    <w:p>
      <w:pPr>
        <w:pStyle w:val="BodyText"/>
      </w:pPr>
      <w:r>
        <w:rPr>
          <w:b/>
          <w:bCs/>
        </w:rPr>
        <w:t xml:space="preserve">Single LLM provider.</w:t>
      </w:r>
      <w:r>
        <w:t xml:space="preserve"> </w:t>
      </w:r>
      <w: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pPr>
      <w:r>
        <w:rPr>
          <w:b/>
          <w:bCs/>
        </w:rPr>
        <w:t xml:space="preserve">Bias and fairness.</w:t>
      </w:r>
      <w:r>
        <w:t xml:space="preserve"> </w:t>
      </w:r>
      <w: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pPr>
      <w:r>
        <w:t xml:space="preserve">Beyond the headline correlation number, the per-sub-score breakdown reported in Table 4.1 carries diagnostic value in its own right. The two modes do not disagree uniformly across the five sub-scores, and identifying</w:t>
      </w:r>
      <w:r>
        <w:t xml:space="preserve"> </w:t>
      </w:r>
      <w:r>
        <w:rPr>
          <w:i/>
          <w:iCs/>
        </w:rPr>
        <w:t xml:space="preserve">which</w:t>
      </w:r>
      <w:r>
        <w:t xml:space="preserve"> </w:t>
      </w:r>
      <w:r>
        <w:t xml:space="preserve">sub-scores converge tells the operator where the deterministic baseline is already sufficient, while identifying</w:t>
      </w:r>
      <w:r>
        <w:t xml:space="preserve"> </w:t>
      </w:r>
      <w:r>
        <w:rPr>
          <w:i/>
          <w:iCs/>
        </w:rPr>
        <w:t xml:space="preserve">which</w:t>
      </w:r>
      <w:r>
        <w:t xml:space="preserve"> </w:t>
      </w:r>
      <w:r>
        <w:t xml:space="preserve">sub-scores diverge points to the dimensions on which the language-model component is contributing evidence the heuristic cannot see. This per-axis view, independently of the specific numerical result, is the cleanest empirical argument the chapter offers for keeping the blended mode available in production even where the heuristic baseline turns out to be competitive on the aggregate score.</w:t>
      </w:r>
    </w:p>
    <w:p>
      <w:pPr>
        <w:pStyle w:val="BodyText"/>
      </w:pPr>
      <w:r>
        <w:t xml:space="preserve">The next chapter summarises the contributions of the thesis and proposes three directions for future development.</w:t>
      </w:r>
    </w:p>
    <w:bookmarkEnd w:id="103"/>
    <w:bookmarkEnd w:id="104"/>
    <w:bookmarkStart w:id="108" w:name="chapter-5-conclusions"/>
    <w:p>
      <w:pPr>
        <w:pStyle w:val="Heading1"/>
      </w:pPr>
      <w:r>
        <w:t xml:space="preserve">Chapter 5 — Conclusions</w:t>
      </w:r>
    </w:p>
    <w:p>
      <w:pPr>
        <w:pStyle w:val="FirstParagraph"/>
      </w:pPr>
      <w: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pPr>
      <w:r>
        <w:t xml:space="preserve">5.1 Results</w:t>
      </w:r>
    </w:p>
    <w:p>
      <w:pPr>
        <w:pStyle w:val="FirstParagraph"/>
      </w:pPr>
      <w:r>
        <w:t xml:space="preserve">Three results were obtained.</w:t>
      </w:r>
    </w:p>
    <w:p>
      <w:pPr>
        <w:pStyle w:val="BodyText"/>
      </w:pPr>
      <w:r>
        <w:rPr>
          <w:b/>
          <w:bCs/>
        </w:rPr>
        <w:t xml:space="preserve">A deployed integrated system.</w:t>
      </w:r>
      <w:r>
        <w:t xml:space="preserve"> </w:t>
      </w:r>
      <w:r>
        <w:t xml:space="preserve">The system, deployed on Railway as a single application surface, integrates six analytical and generative tools (Resume Analyzer, Job Match, Career Path, Cover Letter, Interview Q&amp;A, and Portfolio Planner) around a single shared representation of the candidate’s resume. Chapter 2 documented the architecture, and Chapter 3 documented each of the six tools and the cross-cutting pipeline that they share. The system is operable from a laptop, demonstrable to an external reviewer without specialised tooling, and supports both authenticated user accounts and unauthenticated guest demonstrations.</w:t>
      </w:r>
    </w:p>
    <w:p>
      <w:pPr>
        <w:pStyle w:val="BodyText"/>
      </w:pPr>
      <w:r>
        <w:rPr>
          <w:b/>
          <w:bCs/>
        </w:rPr>
        <w:t xml:space="preserve">A defendable heuristic baseline.</w:t>
      </w:r>
      <w:r>
        <w:t xml:space="preserve"> </w:t>
      </w:r>
      <w:r>
        <w:t xml:space="preserve">Chapter 4 introduced the</w:t>
      </w:r>
      <w:r>
        <w:t xml:space="preserve"> </w:t>
      </w:r>
      <w:r>
        <w:rPr>
          <w:i/>
          <w:iCs/>
        </w:rPr>
        <w:t xml:space="preserve">strong heuristic v2</w:t>
      </w:r>
      <w:r>
        <w:t xml:space="preserve">, a scoring pipeline whose individual components draw on published information-retrieval methods (TF–IDF–weighted keyword evidence and BM25 ranking [5, 6], ESCO-aligned skill normalisation [8, 9, 12], Levenshtein-based fuzzy matching [7]) combined with author-designed scoring formulas (section-weighted feature extraction with recruiter-side scanning informing the weight ordering, quantification regex with logarithmic saturation, and an action-verb dictionary aggregated from established career-services resources at Harvard FAS, MIT, and Princeton). The score-combination weights are author-selected and validated through the sensitivity analysis reported in Chapter 4.3.5 rather than through external survey citation. By construction, the heuristic is strictly non-neural, so the line between</w:t>
      </w:r>
      <w:r>
        <w:t xml:space="preserve"> </w:t>
      </w:r>
      <w:r>
        <w:rPr>
          <w:i/>
          <w:iCs/>
        </w:rPr>
        <w:t xml:space="preserve">heuristic</w:t>
      </w:r>
      <w:r>
        <w:t xml:space="preserve"> </w:t>
      </w:r>
      <w:r>
        <w:t xml:space="preserve">and</w:t>
      </w:r>
      <w:r>
        <w:t xml:space="preserve"> </w:t>
      </w:r>
      <w:r>
        <w:rPr>
          <w:i/>
          <w:iCs/>
        </w:rPr>
        <w:t xml:space="preserve">language-model</w:t>
      </w:r>
      <w:r>
        <w:t xml:space="preserve"> </w:t>
      </w:r>
      <w:r>
        <w:t xml:space="preserve">in the comparative study remains clean.</w:t>
      </w:r>
    </w:p>
    <w:p>
      <w:pPr>
        <w:pStyle w:val="BodyText"/>
      </w:pPr>
      <w:r>
        <w:rPr>
          <w:b/>
          <w:bCs/>
        </w:rPr>
        <w:t xml:space="preserve">A characterisation of the heuristic-versus-blended trade-off.</w:t>
      </w:r>
      <w:r>
        <w:t xml:space="preserve"> </w:t>
      </w:r>
      <w:r>
        <w:t xml:space="preserve">Section 4.3 reported four metric families measured across 100 (resume, job-description) pairs on the post-mitigation disjoint-vocabulary dataset. On the overall score the heuristic mode tracks the blended mode at Pearson</w:t>
      </w:r>
      <w:r>
        <w:t xml:space="preserve"> </w:t>
      </w:r>
      <w:r>
        <w:rPr>
          <w:i/>
          <w:iCs/>
        </w:rPr>
        <w:t xml:space="preserve">r</w:t>
      </w:r>
      <w:r>
        <w:t xml:space="preserve"> </w:t>
      </w:r>
      <w:r>
        <w:t xml:space="preserve">= 0.836 [95% CI 0.762, 0.896 under cluster bootstrap on resume identity] and Spearman ρ = 0.847, both well above the 0.7 reference threshold, while running roughly two-to-three orders of magnitude faster (median 25.5 ms versus 18.2 s)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this is the cross-mode agreement after controlling for the 0.40 heuristic share that the blended mode carries by construction. The agreement is dominated by the</w:t>
      </w:r>
      <w:r>
        <w:t xml:space="preserve"> </w:t>
      </w:r>
      <w:r>
        <w:rPr>
          <w:i/>
          <w:iCs/>
        </w:rPr>
        <w:t xml:space="preserve">keywords</w:t>
      </w:r>
      <w:r>
        <w:t xml:space="preserve"> </w:t>
      </w:r>
      <w:r>
        <w:t xml:space="preserve">axis (</w:t>
      </w:r>
      <w:r>
        <w:rPr>
          <w:i/>
          <w:iCs/>
        </w:rPr>
        <w:t xml:space="preserve">r</w:t>
      </w:r>
      <w:r>
        <w:t xml:space="preserve"> </w:t>
      </w:r>
      <w:r>
        <w:t xml:space="preserve">= 0.937), where both modes consume the same evidence, and is weakest on the</w:t>
      </w:r>
      <w:r>
        <w:t xml:space="preserve"> </w:t>
      </w:r>
      <w:r>
        <w:rPr>
          <w:i/>
          <w:iCs/>
        </w:rPr>
        <w:t xml:space="preserve">clarity</w:t>
      </w:r>
      <w:r>
        <w:t xml:space="preserve"> </w:t>
      </w:r>
      <w:r>
        <w:t xml:space="preserve">axis (</w:t>
      </w:r>
      <w:r>
        <w:rPr>
          <w:i/>
          <w:iCs/>
        </w:rPr>
        <w:t xml:space="preserve">r</w:t>
      </w:r>
      <w:r>
        <w:t xml:space="preserve"> </w:t>
      </w:r>
      <w:r>
        <w:t xml:space="preserve">= 0.395),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pPr>
      <w: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t xml:space="preserve"> </w:t>
      </w:r>
      <w:r>
        <w:rPr>
          <w:rStyle w:val="VerbatimChar"/>
        </w:rPr>
        <w:t xml:space="preserve">run_tool_pipeline</w:t>
      </w:r>
      <w:r>
        <w:t xml:space="preserve"> </w:t>
      </w:r>
      <w: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bookmarkEnd w:id="105"/>
    <w:bookmarkStart w:id="106" w:name="limitations"/>
    <w:p>
      <w:pPr>
        <w:pStyle w:val="Heading2"/>
      </w:pPr>
      <w:r>
        <w:t xml:space="preserve">5.2 Limitations</w:t>
      </w:r>
    </w:p>
    <w:p>
      <w:pPr>
        <w:pStyle w:val="FirstParagraph"/>
      </w:pPr>
      <w:r>
        <w:t xml:space="preserve">Three limitations of the work were stated in Chapter 4 and are repeated here for completeness.</w:t>
      </w:r>
    </w:p>
    <w:p>
      <w:pPr>
        <w:pStyle w:val="BodyText"/>
      </w:pPr>
      <w:r>
        <w:t xml:space="preserve">The evaluation set is</w:t>
      </w:r>
      <w:r>
        <w:t xml:space="preserve"> </w:t>
      </w:r>
      <w:r>
        <w:rPr>
          <w:b/>
          <w:bCs/>
        </w:rPr>
        <w:t xml:space="preserve">single-language</w:t>
      </w:r>
      <w:r>
        <w:t xml:space="preserve"> </w:t>
      </w:r>
      <w:r>
        <w:t xml:space="preserve">(English) and</w:t>
      </w:r>
      <w:r>
        <w:t xml:space="preserve"> </w:t>
      </w:r>
      <w:r>
        <w:rPr>
          <w:b/>
          <w:bCs/>
        </w:rPr>
        <w:t xml:space="preserve">single-author</w:t>
      </w:r>
      <w:r>
        <w:t xml:space="preserve"> </w:t>
      </w:r>
      <w:r>
        <w:t xml:space="preserve">(one author synthesised all 30 resumes), so the empirical claim of Section 4.3 should be read as a within-author baseline rather than a cross-population conclusion. The blended mode uses a</w:t>
      </w:r>
      <w:r>
        <w:t xml:space="preserve"> </w:t>
      </w:r>
      <w:r>
        <w:rPr>
          <w:b/>
          <w:bCs/>
        </w:rPr>
        <w:t xml:space="preserve">single LLM provider</w:t>
      </w:r>
      <w:r>
        <w:t xml:space="preserve"> </w:t>
      </w:r>
      <w:r>
        <w:t xml:space="preserve">(Google Vertex AI Gemini 2.5 Flash), so the comparative result does not generalise across LLM choices without further measurement.</w:t>
      </w:r>
    </w:p>
    <w:p>
      <w:pPr>
        <w:pStyle w:val="BodyText"/>
      </w:pPr>
      <w:r>
        <w:t xml:space="preserve">A fourth limitation is operational rather than methodological: the in-memory result cache (Chapter 3.1.5) is not shared between processes, which is acceptable at thesis-scope traffic but would not be at production scale. Migration to Redis is documented in Section 5.3 below.</w:t>
      </w:r>
    </w:p>
    <w:p>
      <w:pPr>
        <w:pStyle w:val="BodyText"/>
      </w:pPr>
      <w:r>
        <w:t xml:space="preserve">A fifth, methodologically distinct limitation is that the system is currently a</w:t>
      </w:r>
      <w:r>
        <w:t xml:space="preserve"> </w:t>
      </w:r>
      <w:r>
        <w:rPr>
          <w:i/>
          <w:iCs/>
        </w:rPr>
        <w:t xml:space="preserve">thesis demonstration mode</w:t>
      </w:r>
      <w:r>
        <w:t xml:space="preserve"> </w:t>
      </w:r>
      <w:r>
        <w:t xml:space="preserve">rather than a sustainable commercial product. All six tools are fully accessible without an advertisement gate or a premium subscription. The hybrid monetisation strategy outlined in the project’s specification document (</w:t>
      </w:r>
      <w:r>
        <w:rPr>
          <w:rStyle w:val="VerbatimChar"/>
        </w:rPr>
        <w:t xml:space="preserve">docs/spec.md</w:t>
      </w:r>
      <w:r>
        <w:t xml:space="preserve">) is intentionally deferred to a post-thesis V1.1 release; this thesis does not address economic-viability questions beyond the per-call cost numbers reported in Section 4.3.4.</w:t>
      </w:r>
    </w:p>
    <w:p>
      <w:pPr>
        <w:pStyle w:val="BodyText"/>
      </w:pPr>
      <w:r>
        <w:t xml:space="preserve">A sixth limitation is a deliberate scope reduction relative to the approved topic application. The application objective lists</w:t>
      </w:r>
      <w:r>
        <w:t xml:space="preserve"> </w:t>
      </w:r>
      <w:r>
        <w:t xml:space="preserve">“skills, experience and</w:t>
      </w:r>
      <w:r>
        <w:t xml:space="preserve"> </w:t>
      </w:r>
      <w:r>
        <w:rPr>
          <w:i/>
          <w:iCs/>
        </w:rPr>
        <w:t xml:space="preserve">current job-market trends</w:t>
      </w:r>
      <w:r>
        <w:t xml:space="preserve">”</w:t>
      </w:r>
      <w:r>
        <w:t xml:space="preserve"> </w:t>
      </w:r>
      <w:r>
        <w:t xml:space="preserve">as the three input dimensions of the recommendation problem; the system implemented in this thesis incorporates the first two but does not model temporal job-market trend signals (for example, posting-frequency shifts of skills or roles, or hiring-rate dynamics by region). The career-recommendation, job-matching, and portfolio-planning tools reason over the static representation of the candidate against an instantaneous representation of each job description, without a market-trend overlay. Extending the system with a trend-aware ranking layer is recorded as future work in Section 5.3.</w:t>
      </w:r>
    </w:p>
    <w:bookmarkEnd w:id="106"/>
    <w:bookmarkStart w:id="107" w:name="future-development"/>
    <w:p>
      <w:pPr>
        <w:pStyle w:val="Heading2"/>
      </w:pPr>
      <w:r>
        <w:t xml:space="preserve">5.3 Future development</w:t>
      </w:r>
    </w:p>
    <w:p>
      <w:pPr>
        <w:pStyle w:val="FirstParagraph"/>
      </w:pPr>
      <w:r>
        <w:t xml:space="preserve">Three directions for future work follow naturally from the limitations and from the architecture described in Chapter 2.</w:t>
      </w:r>
    </w:p>
    <w:p>
      <w:pPr>
        <w:pStyle w:val="BodyText"/>
      </w:pPr>
      <w:r>
        <w:rPr>
          <w:b/>
          <w:bCs/>
        </w:rPr>
        <w:t xml:space="preserve">Polish-language coverage.</w:t>
      </w:r>
      <w:r>
        <w:t xml:space="preserve"> </w:t>
      </w:r>
      <w:r>
        <w:t xml:space="preserve">The ESCO knowledge base used in the strong heuristic is published as a multilingual resource by the European Commission [17]. The current bundled subset uses only the English labels. Adding the Polish labels (and updating the resume parser, the keyword extractor, and the prompt builders to handle Polish text) would expand the system’s relevance to its primary geographic context. The architectural change required is contained: a new pre-processing step in</w:t>
      </w:r>
      <w:r>
        <w:t xml:space="preserve"> </w:t>
      </w:r>
      <w:r>
        <w:rPr>
          <w:rStyle w:val="VerbatimChar"/>
        </w:rPr>
        <w:t xml:space="preserve">app/services/quality_signals_v2.py</w:t>
      </w:r>
      <w:r>
        <w:t xml:space="preserve">, a new prompt-locale branch, and an additional language-detection stage in the input sanitiser.</w:t>
      </w:r>
    </w:p>
    <w:p>
      <w:pPr>
        <w:pStyle w:val="BodyText"/>
      </w:pPr>
      <w:r>
        <w:rPr>
          <w:b/>
          <w:bCs/>
        </w:rPr>
        <w:t xml:space="preserve">Sentence-transformer intermediate tier.</w:t>
      </w:r>
      <w:r>
        <w:t xml:space="preserve"> </w:t>
      </w:r>
      <w:r>
        <w:t xml:space="preserve">Between the strict classical-IR heuristic and the language-model blended mode, a third option exists: a sentence-transformer–based semantic-matching tier, using a lightweight model such as</w:t>
      </w:r>
      <w:r>
        <w:t xml:space="preserve"> </w:t>
      </w:r>
      <w:r>
        <w:rPr>
          <w:rStyle w:val="VerbatimChar"/>
        </w:rPr>
        <w:t xml:space="preserve">all-MiniLM-L6-v2</w:t>
      </w:r>
      <w:r>
        <w:t xml:space="preserve"> </w:t>
      </w:r>
      <w:r>
        <w:t xml:space="preserve">to compute resume–job cosine similarity directly. Recent research [20, 18, 21] has demonstrated that sentence-BERT–style embeddings outperform classical retrieval baselines on semantic-matching tasks while remaining one to two orders of magnitude faster than full-sized LLM inference and free of per-call third-party charges. The Stage H ablation reported in Section 4.3.6 of the present thesis probed exactly this question on the synthetic evaluation set: an SBERT semantic-fallback layer was implemented inside a</w:t>
      </w:r>
      <w:r>
        <w:t xml:space="preserve"> </w:t>
      </w:r>
      <w:r>
        <w:rPr>
          <w:rStyle w:val="VerbatimChar"/>
        </w:rPr>
        <w:t xml:space="preserve">quality_signals_v3</w:t>
      </w:r>
      <w:r>
        <w:t xml:space="preserve"> </w:t>
      </w:r>
      <w:r>
        <w:t xml:space="preserve">ablation module alongside four other classical-IR enhancements (STAR-format detection, cross-axis coherence, n-gram phrase matching, and a 107 → 354 ESCO taxonomy expansion), and the per-variant Pearson correlation against the post-hoc-recovered LLM-only baseline was measured for each. The result is a controlled null with a small drift across single-feature variants: deltas span +0.002 (n-gram phrase matching) to −0.022 (cross-axis coherence), with none of them statistically distinguishable from zero given the ±0.15 half-width of the cluster-bootstrap CI on the 100-pair set, and the SBERT-only variant in particular sits at</w:t>
      </w:r>
      <w:r>
        <w:t xml:space="preserve"> </w:t>
      </w:r>
      <w:r>
        <w:rPr>
          <w:i/>
          <w:iCs/>
        </w:rPr>
        <w:t xml:space="preserve">r</w:t>
      </w:r>
      <w:r>
        <w:t xml:space="preserve"> </w:t>
      </w:r>
      <w:r>
        <w:t xml:space="preserve">= 0.623 (Δ = −0.004 vs the</w:t>
      </w:r>
      <w:r>
        <w:t xml:space="preserve"> </w:t>
      </w:r>
      <w:r>
        <w:rPr>
          <w:i/>
          <w:iCs/>
        </w:rPr>
        <w:t xml:space="preserve">r</w:t>
      </w:r>
      <w:r>
        <w:t xml:space="preserve"> </w:t>
      </w:r>
      <w:r>
        <w:t xml:space="preserve">= 0.627 v2 baseline). The honest reading is that the residual cross-mode gap is not driven by deficiencies of the keyword-matching layer that an embedding model would close, but by prose-quality and role-fit reasoning that the language model accesses and that classical-IR enhancements of this class do not, on this evaluation set. Promoting the SBERT tier from an ablation cell to a deployed intermediate tier remains future work; the case for it is now contingent on a different evaluation surface, for example real-world resume and job-description data with prose-quality variation that the synthetic-template construction suppresses, rather than on an open technical question about whether the technique works on the comparative-study benchmark reported here.</w:t>
      </w:r>
    </w:p>
    <w:p>
      <w:pPr>
        <w:pStyle w:val="BodyText"/>
      </w:pPr>
      <w:r>
        <w:rPr>
          <w:b/>
          <w:bCs/>
        </w:rPr>
        <w:t xml:space="preserve">Validity-threat closure that has already happened.</w:t>
      </w:r>
      <w:r>
        <w:t xml:space="preserve"> </w:t>
      </w:r>
      <w:r>
        <w:t xml:space="preserve">Three measurements that the original Stage F draft of this chapter listed as future work have since been completed in the Stage G+ APD-round revision and are now reported inline in Chapter 4. The</w:t>
      </w:r>
      <w:r>
        <w:t xml:space="preserve"> </w:t>
      </w:r>
      <w:r>
        <w:rPr>
          <w:i/>
          <w:iCs/>
        </w:rPr>
        <w:t xml:space="preserve">LLM-only baseline</w:t>
      </w:r>
      <w:r>
        <w:t xml:space="preserve"> </w:t>
      </w:r>
      <w:r>
        <w:t xml:space="preserve">per pair, recovered post-hoc from the locked-payload identity rather than from a second LLM rerun, is reported in Section 4.3.1’ and addresses threat T2 of Section 4.1.4 (</w:t>
      </w:r>
      <w:r>
        <w:rPr>
          <w:i/>
          <w:iCs/>
        </w:rPr>
        <w:t xml:space="preserve">r</w:t>
      </w:r>
      <w:r>
        <w:t xml:space="preserve"> </w:t>
      </w:r>
      <w:r>
        <w:t xml:space="preserve">(LLM-only, heuristic) = 0.627 [95% CI 0.476, 0.765]). The</w:t>
      </w:r>
      <w:r>
        <w:t xml:space="preserve"> </w:t>
      </w:r>
      <w:r>
        <w:rPr>
          <w:i/>
          <w:iCs/>
        </w:rPr>
        <w:t xml:space="preserve">vocabulary-disjoint regeneration of the synthetic benchmark</w:t>
      </w:r>
      <w:r>
        <w:t xml:space="preserve"> </w:t>
      </w:r>
      <w:r>
        <w:t xml:space="preserve">(under which the resume side and the job-description side draw from non-overlapping phrase pools by construction, with the per-pair content-token overlap audited at zero pairs above the &gt;3-token threshold) is the dataset on which every number in Section 4.3 is computed and addresses T1. The</w:t>
      </w:r>
      <w:r>
        <w:t xml:space="preserve"> </w:t>
      </w:r>
      <w:r>
        <w:rPr>
          <w:i/>
          <w:iCs/>
        </w:rPr>
        <w:t xml:space="preserve">by-resume cluster-bootstrap confidence intervals</w:t>
      </w:r>
      <w:r>
        <w:t xml:space="preserve"> </w:t>
      </w:r>
      <w:r>
        <w:t xml:space="preserve">for all headline correlations, computed by resampling resume identifiers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are reported alongside the point estimates in Sections 4.3.1 and 4.3.1’ and address T3. The three closures together support the</w:t>
      </w:r>
      <w:r>
        <w:t xml:space="preserve"> </w:t>
      </w:r>
      <w:r>
        <w:rPr>
          <w:i/>
          <w:iCs/>
        </w:rPr>
        <w:t xml:space="preserve">strong agreement</w:t>
      </w:r>
      <w:r>
        <w:t xml:space="preserve"> </w:t>
      </w:r>
      <w:r>
        <w:t xml:space="preserve">characterisation in Section 4.4 in place of the weaker</w:t>
      </w:r>
      <w:r>
        <w:t xml:space="preserve"> </w:t>
      </w:r>
      <w:r>
        <w:rPr>
          <w:i/>
          <w:iCs/>
        </w:rPr>
        <w:t xml:space="preserve">moderate-to-useful</w:t>
      </w:r>
      <w:r>
        <w:t xml:space="preserve"> </w:t>
      </w:r>
      <w:r>
        <w:t xml:space="preserve">phrasing the leakage-version draft supported.</w:t>
      </w:r>
    </w:p>
    <w:p>
      <w:pPr>
        <w:pStyle w:val="BodyText"/>
      </w:pPr>
      <w:r>
        <w:rPr>
          <w:b/>
          <w:bCs/>
        </w:rPr>
        <w:t xml:space="preserve">Retrieval-augmented variant of the blended mode.</w:t>
      </w:r>
      <w:r>
        <w:t xml:space="preserve"> </w:t>
      </w:r>
      <w:r>
        <w:t xml:space="preserve">The blended mode currently passes the resume and the job description directly into the language-model prompt. A retrieval-augmented variant [25] would, before each call, retrieve a small set of curated, source-attributed labour-market documents (recent salary surveys, role-progression standards, ESCO occupation descriptions) and inject them into the prompt as authoritative grounding. This would address one of the recurring criticisms of LLM-based career advice: that the model’s output is opinionated but not source-attributed. The architecture supports this extension as an additional pre-LLM stage in the existing pipeline, without changes to the persistence model or the response contracts.</w:t>
      </w:r>
    </w:p>
    <w:p>
      <w:pPr>
        <w:pStyle w:val="BodyText"/>
      </w:pPr>
      <w:r>
        <w:t xml:space="preserve">A fourth, smaller direction is the migration of the in-memory result cache to Redis, which is well-understood operationally and would unlock cross-process cache sharing once the deployment grows beyond a single backend instance. This is documented in</w:t>
      </w:r>
      <w:r>
        <w:t xml:space="preserve"> </w:t>
      </w:r>
      <w:r>
        <w:rPr>
          <w:rStyle w:val="VerbatimChar"/>
        </w:rPr>
        <w:t xml:space="preserve">docs/spec.md</w:t>
      </w:r>
      <w:r>
        <w:t xml:space="preserve"> </w:t>
      </w:r>
      <w:r>
        <w:t xml:space="preserve">as a V1.1 item.</w:t>
      </w:r>
    </w:p>
    <w:p>
      <w:pPr>
        <w:pStyle w:val="BodyText"/>
      </w:pPr>
      <w:r>
        <w:t xml:space="preserve">Among the three future-work directions, no single ranking holds across all the criteria that would matter. The sentence-transformer intermediate tier is the most technically</w:t>
      </w:r>
      <w:r>
        <w:t xml:space="preserve"> </w:t>
      </w:r>
      <w:r>
        <w:rPr>
          <w:i/>
          <w:iCs/>
        </w:rPr>
        <w:t xml:space="preserve">probed</w:t>
      </w:r>
      <w:r>
        <w:t xml:space="preserve"> </w:t>
      </w:r>
      <w:r>
        <w:t xml:space="preserve">of the three: Stage H of this thesis (Section 4.3.6) implemented an SBERT semantic-fallback layer alongside four other classical-IR enhancements and reported a controlled null on the synthetic evaluation set, with the SBERT-only variant at</w:t>
      </w:r>
      <w:r>
        <w:t xml:space="preserve"> </w:t>
      </w:r>
      <w:r>
        <w:rPr>
          <w:i/>
          <w:iCs/>
        </w:rPr>
        <w:t xml:space="preserve">r</w:t>
      </w:r>
      <w:r>
        <w:t xml:space="preserve"> </w:t>
      </w:r>
      <w:r>
        <w:t xml:space="preserve">= 0.623 (Δ = −0.004) and the full-stack v3 configuration at</w:t>
      </w:r>
      <w:r>
        <w:t xml:space="preserve"> </w:t>
      </w:r>
      <w:r>
        <w:rPr>
          <w:i/>
          <w:iCs/>
        </w:rPr>
        <w:t xml:space="preserve">r</w:t>
      </w:r>
      <w:r>
        <w:t xml:space="preserve"> </w:t>
      </w:r>
      <w:r>
        <w:t xml:space="preserve">= 0.590 (Δ = −0.036), all comfortably inside the ±0.15 half-width of the cluster-bootstrap noise band on the 100-pair set. The case for promoting the SBERT tier from an ablation cell to a deployed component rests on a different evaluation surface than the comparative-study benchmark of Chapter 4, likely a real-world resume and job-description corpus with prose-quality variation that the synthetic templates suppress. The retrieval-augmented blended mode is the most product-relevant of the three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Which of the three becomes the next deliverable depends on whether the project continues as a personal study, transitions into a paid product, or feeds into a future Master’s-level extension.</w:t>
      </w:r>
    </w:p>
    <w:p>
      <w:pPr>
        <w:pStyle w:val="BodyText"/>
      </w:pPr>
      <w:r>
        <w:t xml:space="preserve">The contributions of the thesis are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all within the synthetic evaluation set described in Chapter 4. The deployment is live at the time of submission and the administrative scoring-mode endpoint introduced in Chapter 4.2.9 is operable for live demonstration during the diploma defence.</w:t>
      </w:r>
    </w:p>
    <w:bookmarkEnd w:id="107"/>
    <w:bookmarkEnd w:id="108"/>
    <w:bookmarkStart w:id="119" w:name="bibliography"/>
    <w:p>
      <w:pPr>
        <w:pStyle w:val="Heading1"/>
      </w:pPr>
      <w:r>
        <w:t xml:space="preserve">Bibliography</w:t>
      </w:r>
    </w:p>
    <w:bookmarkStart w:id="109" w:name="Xe524d447c5cf25a4d8e2fc35a266a2d3c4bfbe5"/>
    <w:p>
      <w:pPr>
        <w:pStyle w:val="Heading2"/>
      </w:pPr>
      <w:r>
        <w:t xml:space="preserve">1. Foundational AI for organisational decision-making</w:t>
      </w:r>
    </w:p>
    <w:p>
      <w:pPr>
        <w:pStyle w:val="FirstParagraph"/>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pPr>
      <w:r>
        <w:t xml:space="preserve">[3] A. M. Rahmani, B. Rezazadeh, M. Haghparast, W.-C. Chang, and S. G. Ting,</w:t>
      </w:r>
      <w:r>
        <w:t xml:space="preserve"> </w:t>
      </w:r>
      <w:r>
        <w:t xml:space="preserve">“Applications of artificial intelligence in the economy, including applications in stock trading, market analysis, and risk management,”</w:t>
      </w:r>
      <w:r>
        <w:t xml:space="preserve"> </w:t>
      </w:r>
      <w:r>
        <w:rPr>
          <w:i/>
          <w:iCs/>
        </w:rPr>
        <w:t xml:space="preserve">IEEE Access</w:t>
      </w:r>
      <w:r>
        <w:t xml:space="preserve">, vol. 11, pp. 80769–80793, 2023. https://doi.org/10.1109/ACCESS.2023.3300036</w:t>
      </w:r>
    </w:p>
    <w:p>
      <w:pPr>
        <w:pStyle w:val="BodyText"/>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109"/>
    <w:bookmarkStart w:id="110" w:name="foundational-information-retrieval"/>
    <w:p>
      <w:pPr>
        <w:pStyle w:val="Heading2"/>
      </w:pPr>
      <w:r>
        <w:t xml:space="preserve">2. Foundational information retrieval</w:t>
      </w:r>
    </w:p>
    <w:p>
      <w:pPr>
        <w:pStyle w:val="FirstParagraph"/>
      </w:pPr>
      <w:r>
        <w:t xml:space="preserve">[5] G. Salton and M. J. McGill,</w:t>
      </w:r>
      <w:r>
        <w:t xml:space="preserve"> </w:t>
      </w:r>
      <w:r>
        <w:rPr>
          <w:i/>
          <w:iCs/>
        </w:rPr>
        <w:t xml:space="preserve">Introduction to modern information retrieval</w:t>
      </w:r>
      <w:r>
        <w:t xml:space="preserve">. New York: McGraw-Hill, 1983.</w:t>
      </w:r>
    </w:p>
    <w:p>
      <w:pPr>
        <w:pStyle w:val="BodyText"/>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110"/>
    <w:bookmarkStart w:id="111" w:name="Xdd898e929631c1ac7dcaafa863450eac8c4687c"/>
    <w:p>
      <w:pPr>
        <w:pStyle w:val="Heading2"/>
      </w:pPr>
      <w:r>
        <w:t xml:space="preserve">3. Skill extraction and labour-market taxonomies (ESCO, O*NET)</w:t>
      </w:r>
    </w:p>
    <w:p>
      <w:pPr>
        <w:pStyle w:val="FirstParagraph"/>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111"/>
    <w:bookmarkStart w:id="112" w:name="X1796bfef32d736987f1174fc0e433d96cea39d8"/>
    <w:p>
      <w:pPr>
        <w:pStyle w:val="Heading2"/>
      </w:pPr>
      <w:r>
        <w:t xml:space="preserve">4. Resume parsing and information extraction</w:t>
      </w:r>
    </w:p>
    <w:p>
      <w:pPr>
        <w:pStyle w:val="FirstParagraph"/>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112"/>
    <w:bookmarkStart w:id="113" w:name="ai-based-career-recommendation-systems"/>
    <w:p>
      <w:pPr>
        <w:pStyle w:val="Heading2"/>
      </w:pPr>
      <w:r>
        <w:t xml:space="preserve">5. AI-based career recommendation systems</w:t>
      </w:r>
    </w:p>
    <w:p>
      <w:pPr>
        <w:pStyle w:val="FirstParagraph"/>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113"/>
    <w:bookmarkStart w:id="114" w:name="large-language-models-in-recruitment"/>
    <w:p>
      <w:pPr>
        <w:pStyle w:val="Heading2"/>
      </w:pPr>
      <w:r>
        <w:t xml:space="preserve">6. Large language models in recruitment</w:t>
      </w:r>
    </w:p>
    <w:p>
      <w:pPr>
        <w:pStyle w:val="FirstParagraph"/>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114"/>
    <w:bookmarkStart w:id="115" w:name="Xe3796102e15fa10b5c24e38851c753906160937"/>
    <w:p>
      <w:pPr>
        <w:pStyle w:val="Heading2"/>
      </w:pPr>
      <w:r>
        <w:t xml:space="preserve">7. Semantic matching and sentence embeddings</w:t>
      </w:r>
    </w:p>
    <w:p>
      <w:pPr>
        <w:pStyle w:val="FirstParagraph"/>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115"/>
    <w:bookmarkStart w:id="116" w:name="bias-and-fairness-in-algorithmic-hiring"/>
    <w:p>
      <w:pPr>
        <w:pStyle w:val="Heading2"/>
      </w:pPr>
      <w:r>
        <w:t xml:space="preserve">8. Bias and fairness in algorithmic hiring</w:t>
      </w:r>
    </w:p>
    <w:p>
      <w:pPr>
        <w:pStyle w:val="FirstParagraph"/>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(FAT</w:t>
      </w:r>
      <w:r>
        <w:t xml:space="preserve"> </w:t>
      </w:r>
      <w:r>
        <w:t xml:space="preserve">’20)*, 2020, pp. 469–481. https://doi.org/10.1145/3351095.3372828</w:t>
      </w:r>
    </w:p>
    <w:p>
      <w:pPr>
        <w:pStyle w:val="BodyText"/>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16"/>
    <w:bookmarkStart w:id="117" w:name="retrieval-augmented-generation"/>
    <w:p>
      <w:pPr>
        <w:pStyle w:val="Heading2"/>
      </w:pPr>
      <w:r>
        <w:t xml:space="preserve">9. Retrieval-augmented generation</w:t>
      </w:r>
    </w:p>
    <w:p>
      <w:pPr>
        <w:pStyle w:val="FirstParagraph"/>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17"/>
    <w:bookmarkStart w:id="118" w:name="web-frameworks-and-system-tooling"/>
    <w:p>
      <w:pPr>
        <w:pStyle w:val="Heading2"/>
      </w:pPr>
      <w:r>
        <w:t xml:space="preserve">10. Web frameworks and system tooling</w:t>
      </w:r>
    </w:p>
    <w:p>
      <w:pPr>
        <w:pStyle w:val="BlockText"/>
      </w:pPr>
      <w:r>
        <w:t xml:space="preserve">Documentation references for the engineering chapters; cited as official documentation footnotes rather than as numbered bibliography entries.</w:t>
      </w:r>
    </w:p>
    <w:p>
      <w:pPr>
        <w:pStyle w:val="Compact"/>
        <w:numPr>
          <w:ilvl w:val="0"/>
          <w:numId w:val="1008"/>
        </w:numPr>
      </w:pPr>
      <w:r>
        <w:t xml:space="preserve">FastAPI documentation. https://fastapi.tiangolo.com</w:t>
      </w:r>
    </w:p>
    <w:p>
      <w:pPr>
        <w:pStyle w:val="Compact"/>
        <w:numPr>
          <w:ilvl w:val="0"/>
          <w:numId w:val="1008"/>
        </w:numPr>
      </w:pPr>
      <w:r>
        <w:t xml:space="preserve">TanStack Start / Router documentation. https://tanstack.com/router</w:t>
      </w:r>
    </w:p>
    <w:p>
      <w:pPr>
        <w:pStyle w:val="Compact"/>
        <w:numPr>
          <w:ilvl w:val="0"/>
          <w:numId w:val="1008"/>
        </w:numPr>
      </w:pPr>
      <w:r>
        <w:t xml:space="preserve">React 19 documentation. https://react.dev</w:t>
      </w:r>
    </w:p>
    <w:p>
      <w:pPr>
        <w:pStyle w:val="Compact"/>
        <w:numPr>
          <w:ilvl w:val="0"/>
          <w:numId w:val="1008"/>
        </w:numPr>
      </w:pPr>
      <w:r>
        <w:t xml:space="preserve">Vite documentation. https://vite.dev</w:t>
      </w:r>
    </w:p>
    <w:p>
      <w:pPr>
        <w:pStyle w:val="Compact"/>
        <w:numPr>
          <w:ilvl w:val="0"/>
          <w:numId w:val="1008"/>
        </w:numPr>
      </w:pPr>
      <w:r>
        <w:t xml:space="preserve">SQLAlchemy 2.0 documentation. https://www.sqlalchemy.org</w:t>
      </w:r>
    </w:p>
    <w:p>
      <w:pPr>
        <w:pStyle w:val="Compact"/>
        <w:numPr>
          <w:ilvl w:val="0"/>
          <w:numId w:val="1008"/>
        </w:numPr>
      </w:pPr>
      <w:r>
        <w:t xml:space="preserve">Alembic migration documentation. https://alembic.sqlalchemy.org</w:t>
      </w:r>
    </w:p>
    <w:p>
      <w:pPr>
        <w:pStyle w:val="Compact"/>
        <w:numPr>
          <w:ilvl w:val="0"/>
          <w:numId w:val="1008"/>
        </w:numPr>
      </w:pPr>
      <w:r>
        <w:t xml:space="preserve">PostgreSQL documentation. https://www.postgresql.org/docs/</w:t>
      </w:r>
    </w:p>
    <w:p>
      <w:pPr>
        <w:pStyle w:val="Compact"/>
        <w:numPr>
          <w:ilvl w:val="0"/>
          <w:numId w:val="1008"/>
        </w:numPr>
      </w:pPr>
      <w:r>
        <w:t xml:space="preserve">Google Cloud Vertex AI Gemini documentation. https://cloud.google.com/vertex-ai/generative-ai/docs</w:t>
      </w:r>
    </w:p>
    <w:p>
      <w:pPr>
        <w:pStyle w:val="Compact"/>
        <w:numPr>
          <w:ilvl w:val="0"/>
          <w:numId w:val="1008"/>
        </w:numPr>
      </w:pPr>
      <w:r>
        <w:t xml:space="preserve">Resend transactional email API. https://resend.com/docs</w:t>
      </w:r>
    </w:p>
    <w:bookmarkEnd w:id="118"/>
    <w:bookmarkEnd w:id="119"/>
    <w:bookmarkStart w:id="151" w:name="appendices"/>
    <w:p>
      <w:pPr>
        <w:pStyle w:val="Heading1"/>
      </w:pPr>
      <w:r>
        <w:t xml:space="preserve">Appendices</w:t>
      </w:r>
    </w:p>
    <w:bookmarkStart w:id="124" w:name="appendix-a-source-listings"/>
    <w:p>
      <w:pPr>
        <w:pStyle w:val="Heading2"/>
      </w:pPr>
      <w: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pPr>
      <w: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20"/>
    <w:bookmarkStart w:id="121" w:name="a.2-bm25-scoring"/>
    <w:p>
      <w:pPr>
        <w:pStyle w:val="Heading3"/>
      </w:pPr>
      <w: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21"/>
    <w:bookmarkStart w:id="122" w:name="a.3-runtime-mode-toggle"/>
    <w:p>
      <w:pPr>
        <w:pStyle w:val="Heading3"/>
      </w:pPr>
      <w: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22"/>
    <w:bookmarkStart w:id="123" w:name="a.4-shared-tool-pipeline"/>
    <w:p>
      <w:pPr>
        <w:pStyle w:val="Heading3"/>
      </w:pPr>
      <w: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23"/>
    <w:bookmarkEnd w:id="124"/>
    <w:bookmarkStart w:id="129" w:name="Xe2691035b1ea9be44987f1df6fe865ef1936dcd"/>
    <w:p>
      <w:pPr>
        <w:pStyle w:val="Heading2"/>
      </w:pPr>
      <w: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pPr>
      <w: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25"/>
    <w:bookmarkStart w:id="126" w:name="b.2-job-description-synthesis-procedure"/>
    <w:p>
      <w:pPr>
        <w:pStyle w:val="Heading3"/>
      </w:pPr>
      <w: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pPr>
      <w: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pPr>
      <w: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28"/>
    <w:bookmarkEnd w:id="129"/>
    <w:bookmarkStart w:id="146" w:name="Xa5e1eb6ef87c5a83e8c05d91d91fb5c96834f8e"/>
    <w:p>
      <w:pPr>
        <w:pStyle w:val="Heading2"/>
      </w:pPr>
      <w: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pPr>
      <w:r>
        <w:t xml:space="preserve">C.1 Landing page</w:t>
      </w:r>
    </w:p>
    <w:p>
      <w:pPr>
        <w:pStyle w:val="CaptionedFigure"/>
      </w:pPr>
      <w:r>
        <w:drawing>
          <wp:inline>
            <wp:extent cx="5334000" cy="3000375"/>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C.1 — Career Workbench landing page (signed-out, production deployment).</w:t>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33"/>
    <w:bookmarkStart w:id="137" w:name="c.2-resume-analyzer-input-page"/>
    <w:p>
      <w:pPr>
        <w:pStyle w:val="Heading3"/>
      </w:pPr>
      <w:r>
        <w:t xml:space="preserve">C.2 Resume Analyzer input page</w:t>
      </w:r>
    </w:p>
    <w:p>
      <w:pPr>
        <w:pStyle w:val="CaptionedFigure"/>
      </w:pPr>
      <w:r>
        <w:drawing>
          <wp:inline>
            <wp:extent cx="5334000" cy="3000375"/>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C.2 — Resume Analyzer input page, guest mode.</w:t>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pPr>
      <w:r>
        <w:t xml:space="preserve">C.3 Resume Analyzer result page (blended mode)</w:t>
      </w:r>
    </w:p>
    <w:p>
      <w:pPr>
        <w:pStyle w:val="CaptionedFigure"/>
      </w:pPr>
      <w:r>
        <w:drawing>
          <wp:inline>
            <wp:extent cx="5334000" cy="5995193"/>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pPr>
      <w:r>
        <w:t xml:space="preserve">Figure C.3 — Resume Analyzer result page in blended mode.</w:t>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pPr>
      <w:r>
        <w:t xml:space="preserve">C.4 Job Match result page</w:t>
      </w:r>
    </w:p>
    <w:p>
      <w:pPr>
        <w:pStyle w:val="CaptionedFigure"/>
      </w:pPr>
      <w:r>
        <w:drawing>
          <wp:inline>
            <wp:extent cx="5334000" cy="7303690"/>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pPr>
      <w:r>
        <w:t xml:space="preserve">Figure C.4 — Job Match result page on the same resume / job-description pair.</w:t>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45"/>
    <w:bookmarkEnd w:id="146"/>
    <w:bookmarkStart w:id="150" w:name="appendix-d-configuration-reference"/>
    <w:p>
      <w:pPr>
        <w:pStyle w:val="Heading2"/>
      </w:pPr>
      <w:r>
        <w:t xml:space="preserve">Appendix D — Configuration reference</w:t>
      </w:r>
    </w:p>
    <w:bookmarkStart w:id="147" w:name="d.1-backend-environment-variables"/>
    <w:p>
      <w:pPr>
        <w:pStyle w:val="Heading3"/>
      </w:pPr>
      <w: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47"/>
    <w:bookmarkStart w:id="148" w:name="d.2-administrative-endpoints"/>
    <w:p>
      <w:pPr>
        <w:pStyle w:val="Heading3"/>
      </w:pPr>
      <w: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9"/>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9"/>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48"/>
    <w:bookmarkStart w:id="149" w:name="d.3-running-the-evaluation-harness"/>
    <w:p>
      <w:pPr>
        <w:pStyle w:val="Heading3"/>
      </w:pPr>
      <w:r>
        <w:t xml:space="preserve">D.3 Running the evaluation harness</w:t>
      </w:r>
    </w:p>
    <w:p>
      <w:pPr>
        <w:pStyle w:val="SourceCode"/>
      </w:pPr>
      <w:r>
        <w:rPr>
          <w:rStyle w:val="VerbatimChar"/>
        </w:rPr>
        <w:t xml:space="preserve">$ cd backend</w:t>
      </w:r>
      <w:r>
        <w:br/>
      </w:r>
      <w:r>
        <w:rPr>
          <w:rStyle w:val="VerbatimChar"/>
        </w:rPr>
        <w:t xml:space="preserve">$ SCORING_MODE=blended RESULT_CACHE_ENABLED=false \</w:t>
      </w:r>
      <w:r>
        <w:br/>
      </w:r>
      <w:r>
        <w:rPr>
          <w:rStyle w:val="VerbatimChar"/>
        </w:rPr>
        <w:t xml:space="preserve">  python ../scripts/eval_scoring.py</w:t>
      </w:r>
      <w:r>
        <w:br/>
      </w:r>
      <w:r>
        <w:rPr>
          <w:rStyle w:val="VerbatimChar"/>
        </w:rPr>
        <w:t xml:space="preserve">$ python ../scripts/analyze_eval_results.py &gt; ../thesis/chapter-04-results.md</w:t>
      </w:r>
    </w:p>
    <w:p>
      <w:pPr>
        <w:pStyle w:val="FirstParagraph"/>
      </w:pPr>
      <w:r>
        <w:t xml:space="preserve">The harness writes</w:t>
      </w:r>
      <w:r>
        <w:t xml:space="preserve"> </w:t>
      </w:r>
      <w:r>
        <w:rPr>
          <w:rStyle w:val="VerbatimChar"/>
        </w:rPr>
        <w:t xml:space="preserve">thesis/eval-results.json</w:t>
      </w:r>
      <w:r>
        <w:t xml:space="preserve">; the analyzer prints the Markdown tables ready to paste into Chapter 4.3.</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93" Target="media/rId93.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2026-05-07T23:03:06Z</dcterms:created>
  <dcterms:modified xsi:type="dcterms:W3CDTF">2026-05-07T23:03:06Z</dcterms:modified>
</cp:coreProperties>
</file>

<file path=docProps/custom.xml><?xml version="1.0" encoding="utf-8"?>
<Properties xmlns="http://schemas.openxmlformats.org/officeDocument/2006/custom-properties" xmlns:vt="http://schemas.openxmlformats.org/officeDocument/2006/docPropsVTypes"/>
</file>