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120"/>
      </w:pPr>
      <w:r>
        <w:rPr>
          <w:rFonts w:ascii="Times New Roman" w:hAnsi="Times New Roman" w:eastAsia="Times New Roman" w:cs="Times New Roman"/>
          <w:sz w:val="26"/>
          <w:szCs w:val="26"/>
        </w:rPr>
        <w:t>Faculty of Electronics, Photonics and Microsystems</w:t>
      </w:r>
    </w:p>
    <w:p>
      <w:pPr>
        <w:jc w:val="center"/>
        <w:spacing w:before="0" w:after="560"/>
        <w:pBdr>
          <w:bottom w:val="single" w:sz="8" w:space="1" w:color="000000"/>
        </w:pBdr>
        <w:ind w:left="720" w:right="720"/>
      </w:pP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120"/>
        <w:pBdr>
          <w:bottom w:val="single" w:sz="8" w:space="1" w:color="000000"/>
        </w:pBdr>
        <w:ind w:left="720" w:right="720"/>
      </w:pP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ważeniu słów kluczowych metodą TF–IDF i rankingowi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[95-proc. przedział ufności: 0,470–0,758].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(etykiety ESCO, polskojęzyczne wstępne przetwarzanie, detekcję sekcji oraz dwujęzyczną ewaluację), pośredni poziom dopasowania semantycznego oparty na transformatorach zdań, integrację komponentu wyszukiwania wspomagającego oraz wymianę pamięci podręcznej procesu na rozwiązanie współdzielone (Redis).</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These results support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r>
        <w:br w:type="page"/>
      </w:r>
    </w:p>
    <w:p>
      <w:pPr>
        <w:pStyle w:val="Heading1"/>
        <w:spacing w:line="312" w:lineRule="auto" w:after="80"/>
        <w:ind w:firstLine="283"/>
        <w:jc w:val="both"/>
        <w:pageBreakBefore/>
      </w:pPr>
      <w:r>
        <w:br w:type="page"/>
      </w: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agreeing to supervise this thesis and for the suggestion to extend the work with the comparative study reported in Chapter 4; the shape of the engineering and research halves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also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and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programme more broadly, for providing the structure that made it possible for an undergraduate project to attempt both a working system and an instrumented evaluation in the same volume.</w:t>
      </w:r>
    </w:p>
    <w:p>
      <w:pPr>
        <w:pStyle w:val="BodyText"/>
        <w:spacing w:line="312" w:lineRule="auto" w:after="80"/>
        <w:ind w:firstLine="283"/>
        <w:jc w:val="both"/>
      </w:pPr>
      <w:r>
        <w:rPr>
          <w:rFonts w:ascii="Times New Roman" w:hAnsi="Times New Roman" w:eastAsia="Times New Roman" w:cs="Times New Roman"/>
          <w:color w:val="000000"/>
          <w:sz w:val="24"/>
        </w:rPr>
        <w:t xml:space="preserve">This thesis was largely a solo effort, but it rests on the public work of people I never met — the maintainers of the open-source libraries the system runs on, and the authors of the papers cited in Chapters 1 and 4. Without their contributions, a single undergraduate could not have built and evaluated a system of this scope in the time available.</w:t>
      </w:r>
    </w:p>
    <w:p>
      <w:pPr>
        <w:pStyle w:val="BodyText"/>
        <w:spacing w:line="312" w:lineRule="auto" w:after="80"/>
        <w:ind w:firstLine="283"/>
        <w:jc w:val="both"/>
      </w:pPr>
      <w:r>
        <w:rPr>
          <w:rFonts w:ascii="Times New Roman" w:hAnsi="Times New Roman" w:eastAsia="Times New Roman" w:cs="Times New Roman"/>
          <w:color w:val="000000"/>
          <w:sz w:val="24"/>
        </w:rPr>
        <w:t xml:space="preserve">Writing the empirical chapters changed how I thought about the code, and rewriting the code changed how I framed the research questions. The discipline of carrying both halves in the same volume turned out to be the project’s most useful constraint, and is, in retrospect, the thing I will most remember from this year.</w:t>
      </w:r>
    </w:p>
    <w:p>
      <w:pPr>
        <w:pStyle w:val="BodyText"/>
        <w:spacing w:line="312" w:lineRule="auto" w:after="80"/>
        <w:ind w:firstLine="283"/>
        <w:jc w:val="both"/>
      </w:pPr>
      <w:r>
        <w:rPr>
          <w:rFonts w:ascii="Times New Roman" w:hAnsi="Times New Roman" w:eastAsia="Times New Roman" w:cs="Times New Roman"/>
          <w:color w:val="000000"/>
          <w:sz w:val="24"/>
        </w:rPr>
        <w:t xml:space="preserve">To</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Wrocław</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the city, the cohort I sat next to in lecture halls, and the small daily friction of studying far from home in a language not my own — thank you for shaping the conditions in which this work was possible.</w:t>
      </w:r>
    </w:p>
    <w:p>
      <w:pPr>
        <w:pStyle w:val="BodyText"/>
        <w:spacing w:line="312" w:lineRule="auto" w:after="80"/>
        <w:ind w:firstLine="283"/>
        <w:jc w:val="both"/>
      </w:pPr>
      <w:r>
        <w:rPr>
          <w:rFonts w:ascii="Times New Roman" w:hAnsi="Times New Roman" w:eastAsia="Times New Roman" w:cs="Times New Roman"/>
          <w:color w:val="000000"/>
          <w:sz w:val="24"/>
        </w:rPr>
        <w:t xml:space="preserve">Any errors that remain are my own.</w:t>
      </w:r>
    </w:p>
    <w:bookmarkEnd w:id="24"/>
    <w:bookmarkStart w:id="26" w:name="list-of-abbreviations-and-symbols"/>
    <w:p>
      <w:r>
        <w:br w:type="page"/>
      </w:r>
    </w:p>
    <w:p>
      <w:pPr>
        <w:pStyle w:val="Heading1"/>
        <w:spacing w:line="312" w:lineRule="auto" w:after="80"/>
        <w:ind w:firstLine="283"/>
        <w:jc w:val="both"/>
        <w:pageBreakBefore/>
      </w:pPr>
      <w:r>
        <w:br w:type="page"/>
      </w: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spacing w:before="0" w:after="45"/>
      </w:pPr>
      <w:r>
        <w:rPr>
          <w:rFonts w:ascii="Times New Roman" w:hAnsi="Times New Roman" w:eastAsia="Times New Roman" w:cs="Times New Roman"/>
          <w:b/>
          <w:bCs/>
          <w:sz w:val="24"/>
        </w:rPr>
        <w:t>Chapter 1 — Introduction</w:t>
      </w:r>
      <w:r>
        <w:tab/>
      </w:r>
      <w:r>
        <w:rPr>
          <w:rFonts w:ascii="Times New Roman" w:hAnsi="Times New Roman" w:eastAsia="Times New Roman" w:cs="Times New Roman"/>
          <w:b/>
          <w:bCs/>
          <w:sz w:val="24"/>
        </w:rPr>
        <w:t>1</w:t>
      </w:r>
    </w:p>
    <w:p>
      <w:pPr>
        <w:pStyle w:val="TOC2"/>
        <w:spacing w:before="0" w:after="45"/>
      </w:pPr>
      <w:r>
        <w:rPr>
          <w:rFonts w:ascii="Times New Roman" w:hAnsi="Times New Roman" w:eastAsia="Times New Roman" w:cs="Times New Roman"/>
          <w:sz w:val="24"/>
        </w:rPr>
        <w:t>1.1 The career decision problem</w:t>
      </w:r>
      <w:r>
        <w:tab/>
      </w:r>
      <w:r>
        <w:rPr>
          <w:rFonts w:ascii="Times New Roman" w:hAnsi="Times New Roman" w:eastAsia="Times New Roman" w:cs="Times New Roman"/>
          <w:sz w:val="24"/>
        </w:rPr>
        <w:t>1</w:t>
      </w:r>
    </w:p>
    <w:p>
      <w:pPr>
        <w:pStyle w:val="TOC2"/>
        <w:spacing w:before="0" w:after="45"/>
      </w:pPr>
      <w:r>
        <w:rPr>
          <w:rFonts w:ascii="Times New Roman" w:hAnsi="Times New Roman" w:eastAsia="Times New Roman" w:cs="Times New Roman"/>
          <w:sz w:val="24"/>
        </w:rPr>
        <w:t>1.2 AI-based recommendation systems for careers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1.3 Resume parsing and job-description analysis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1.4 Heuristic and language-model scoring approaches</w:t>
      </w:r>
      <w:r>
        <w:tab/>
      </w:r>
      <w:r>
        <w:rPr>
          <w:rFonts w:ascii="Times New Roman" w:hAnsi="Times New Roman" w:eastAsia="Times New Roman" w:cs="Times New Roman"/>
          <w:sz w:val="24"/>
        </w:rPr>
        <w:t>3</w:t>
      </w:r>
    </w:p>
    <w:p>
      <w:pPr>
        <w:pStyle w:val="TOC2"/>
        <w:spacing w:before="0" w:after="45"/>
      </w:pPr>
      <w:r>
        <w:rPr>
          <w:rFonts w:ascii="Times New Roman" w:hAnsi="Times New Roman" w:eastAsia="Times New Roman" w:cs="Times New Roman"/>
          <w:sz w:val="24"/>
        </w:rPr>
        <w:t>1.5 Purpose of the thesis</w:t>
      </w:r>
      <w:r>
        <w:tab/>
      </w:r>
      <w:r>
        <w:rPr>
          <w:rFonts w:ascii="Times New Roman" w:hAnsi="Times New Roman" w:eastAsia="Times New Roman" w:cs="Times New Roman"/>
          <w:sz w:val="24"/>
        </w:rPr>
        <w:t>4</w:t>
      </w:r>
    </w:p>
    <w:p>
      <w:pPr>
        <w:pStyle w:val="TOC2"/>
        <w:spacing w:before="0" w:after="45"/>
      </w:pPr>
      <w:r>
        <w:rPr>
          <w:rFonts w:ascii="Times New Roman" w:hAnsi="Times New Roman" w:eastAsia="Times New Roman" w:cs="Times New Roman"/>
          <w:sz w:val="24"/>
        </w:rPr>
        <w:t>1.6 Structure of the thesis</w:t>
      </w:r>
      <w:r>
        <w:tab/>
      </w:r>
      <w:r>
        <w:rPr>
          <w:rFonts w:ascii="Times New Roman" w:hAnsi="Times New Roman" w:eastAsia="Times New Roman" w:cs="Times New Roman"/>
          <w:sz w:val="24"/>
        </w:rPr>
        <w:t>5</w:t>
      </w:r>
    </w:p>
    <w:p>
      <w:pPr>
        <w:pStyle w:val="TOC1"/>
        <w:spacing w:before="0" w:after="45"/>
      </w:pPr>
      <w:r>
        <w:rPr>
          <w:rFonts w:ascii="Times New Roman" w:hAnsi="Times New Roman" w:eastAsia="Times New Roman" w:cs="Times New Roman"/>
          <w:b/>
          <w:bCs/>
          <w:sz w:val="24"/>
        </w:rPr>
        <w:t>Chapter 2 — System architecture</w:t>
      </w:r>
      <w:r>
        <w:tab/>
      </w:r>
      <w:r>
        <w:rPr>
          <w:rFonts w:ascii="Times New Roman" w:hAnsi="Times New Roman" w:eastAsia="Times New Roman" w:cs="Times New Roman"/>
          <w:b/>
          <w:bCs/>
          <w:sz w:val="24"/>
        </w:rPr>
        <w:t>6</w:t>
      </w:r>
    </w:p>
    <w:p>
      <w:pPr>
        <w:pStyle w:val="TOC2"/>
        <w:spacing w:before="0" w:after="45"/>
      </w:pPr>
      <w:r>
        <w:rPr>
          <w:rFonts w:ascii="Times New Roman" w:hAnsi="Times New Roman" w:eastAsia="Times New Roman" w:cs="Times New Roman"/>
          <w:sz w:val="24"/>
        </w:rPr>
        <w:t>2.1 Functional and non-functional requirements</w:t>
      </w:r>
      <w:r>
        <w:tab/>
      </w:r>
      <w:r>
        <w:rPr>
          <w:rFonts w:ascii="Times New Roman" w:hAnsi="Times New Roman" w:eastAsia="Times New Roman" w:cs="Times New Roman"/>
          <w:sz w:val="24"/>
        </w:rPr>
        <w:t>6</w:t>
      </w:r>
    </w:p>
    <w:p>
      <w:pPr>
        <w:pStyle w:val="TOC2"/>
        <w:spacing w:before="0" w:after="45"/>
      </w:pPr>
      <w:r>
        <w:rPr>
          <w:rFonts w:ascii="Times New Roman" w:hAnsi="Times New Roman" w:eastAsia="Times New Roman" w:cs="Times New Roman"/>
          <w:sz w:val="24"/>
        </w:rPr>
        <w:t>2.2 Technology stack and rationale</w:t>
      </w:r>
      <w:r>
        <w:tab/>
      </w:r>
      <w:r>
        <w:rPr>
          <w:rFonts w:ascii="Times New Roman" w:hAnsi="Times New Roman" w:eastAsia="Times New Roman" w:cs="Times New Roman"/>
          <w:sz w:val="24"/>
        </w:rPr>
        <w:t>8</w:t>
      </w:r>
    </w:p>
    <w:p>
      <w:pPr>
        <w:pStyle w:val="TOC2"/>
        <w:spacing w:before="0" w:after="45"/>
      </w:pPr>
      <w:r>
        <w:rPr>
          <w:rFonts w:ascii="Times New Roman" w:hAnsi="Times New Roman" w:eastAsia="Times New Roman" w:cs="Times New Roman"/>
          <w:sz w:val="24"/>
        </w:rPr>
        <w:t>2.3 Backend architecture</w:t>
      </w:r>
      <w:r>
        <w:tab/>
      </w:r>
      <w:r>
        <w:rPr>
          <w:rFonts w:ascii="Times New Roman" w:hAnsi="Times New Roman" w:eastAsia="Times New Roman" w:cs="Times New Roman"/>
          <w:sz w:val="24"/>
        </w:rPr>
        <w:t>9</w:t>
      </w:r>
    </w:p>
    <w:p>
      <w:pPr>
        <w:pStyle w:val="TOC2"/>
        <w:spacing w:before="0" w:after="45"/>
      </w:pPr>
      <w:r>
        <w:rPr>
          <w:rFonts w:ascii="Times New Roman" w:hAnsi="Times New Roman" w:eastAsia="Times New Roman" w:cs="Times New Roman"/>
          <w:sz w:val="24"/>
        </w:rPr>
        <w:t>2.4 Frontend architecture</w:t>
      </w:r>
      <w:r>
        <w:tab/>
      </w:r>
      <w:r>
        <w:rPr>
          <w:rFonts w:ascii="Times New Roman" w:hAnsi="Times New Roman" w:eastAsia="Times New Roman" w:cs="Times New Roman"/>
          <w:sz w:val="24"/>
        </w:rPr>
        <w:t>12</w:t>
      </w:r>
    </w:p>
    <w:p>
      <w:pPr>
        <w:pStyle w:val="TOC2"/>
        <w:spacing w:before="0" w:after="45"/>
      </w:pPr>
      <w:r>
        <w:rPr>
          <w:rFonts w:ascii="Times New Roman" w:hAnsi="Times New Roman" w:eastAsia="Times New Roman" w:cs="Times New Roman"/>
          <w:sz w:val="24"/>
        </w:rPr>
        <w:t>2.5 Data model and persistence</w:t>
      </w:r>
      <w:r>
        <w:tab/>
      </w:r>
      <w:r>
        <w:rPr>
          <w:rFonts w:ascii="Times New Roman" w:hAnsi="Times New Roman" w:eastAsia="Times New Roman" w:cs="Times New Roman"/>
          <w:sz w:val="24"/>
        </w:rPr>
        <w:t>13</w:t>
      </w:r>
    </w:p>
    <w:p>
      <w:pPr>
        <w:pStyle w:val="TOC2"/>
        <w:spacing w:before="0" w:after="45"/>
      </w:pPr>
      <w:r>
        <w:rPr>
          <w:rFonts w:ascii="Times New Roman" w:hAnsi="Times New Roman" w:eastAsia="Times New Roman" w:cs="Times New Roman"/>
          <w:sz w:val="24"/>
        </w:rPr>
        <w:t>2.6 Authentication and security</w:t>
      </w:r>
      <w:r>
        <w:tab/>
      </w:r>
      <w:r>
        <w:rPr>
          <w:rFonts w:ascii="Times New Roman" w:hAnsi="Times New Roman" w:eastAsia="Times New Roman" w:cs="Times New Roman"/>
          <w:sz w:val="24"/>
        </w:rPr>
        <w:t>14</w:t>
      </w:r>
    </w:p>
    <w:p>
      <w:pPr>
        <w:pStyle w:val="TOC2"/>
        <w:spacing w:before="0" w:after="45"/>
      </w:pPr>
      <w:r>
        <w:rPr>
          <w:rFonts w:ascii="Times New Roman" w:hAnsi="Times New Roman" w:eastAsia="Times New Roman" w:cs="Times New Roman"/>
          <w:sz w:val="24"/>
        </w:rPr>
        <w:t>2.7 Deployment topology</w:t>
      </w:r>
      <w:r>
        <w:tab/>
      </w:r>
      <w:r>
        <w:rPr>
          <w:rFonts w:ascii="Times New Roman" w:hAnsi="Times New Roman" w:eastAsia="Times New Roman" w:cs="Times New Roman"/>
          <w:sz w:val="24"/>
        </w:rPr>
        <w:t>14</w:t>
      </w:r>
    </w:p>
    <w:p>
      <w:pPr>
        <w:pStyle w:val="TOC1"/>
        <w:spacing w:before="0" w:after="45"/>
      </w:pPr>
      <w:r>
        <w:rPr>
          <w:rFonts w:ascii="Times New Roman" w:hAnsi="Times New Roman" w:eastAsia="Times New Roman" w:cs="Times New Roman"/>
          <w:b/>
          <w:bCs/>
          <w:sz w:val="24"/>
        </w:rPr>
        <w:t>Chapter 3 — Tool implementations</w:t>
      </w:r>
      <w:r>
        <w:tab/>
      </w:r>
      <w:r>
        <w:rPr>
          <w:rFonts w:ascii="Times New Roman" w:hAnsi="Times New Roman" w:eastAsia="Times New Roman" w:cs="Times New Roman"/>
          <w:b/>
          <w:bCs/>
          <w:sz w:val="24"/>
        </w:rPr>
        <w:t>16</w:t>
      </w:r>
    </w:p>
    <w:p>
      <w:pPr>
        <w:pStyle w:val="TOC2"/>
        <w:spacing w:before="0" w:after="45"/>
      </w:pPr>
      <w:r>
        <w:rPr>
          <w:rFonts w:ascii="Times New Roman" w:hAnsi="Times New Roman" w:eastAsia="Times New Roman" w:cs="Times New Roman"/>
          <w:sz w:val="24"/>
        </w:rPr>
        <w:t>3.1 Cross-cutting design</w:t>
      </w:r>
      <w:r>
        <w:tab/>
      </w:r>
      <w:r>
        <w:rPr>
          <w:rFonts w:ascii="Times New Roman" w:hAnsi="Times New Roman" w:eastAsia="Times New Roman" w:cs="Times New Roman"/>
          <w:sz w:val="24"/>
        </w:rPr>
        <w:t>16</w:t>
      </w:r>
    </w:p>
    <w:p>
      <w:pPr>
        <w:pStyle w:val="TOC2"/>
        <w:spacing w:before="0" w:after="45"/>
      </w:pPr>
      <w:r>
        <w:rPr>
          <w:rFonts w:ascii="Times New Roman" w:hAnsi="Times New Roman" w:eastAsia="Times New Roman" w:cs="Times New Roman"/>
          <w:sz w:val="24"/>
        </w:rPr>
        <w:t>3.2 Resume Analyzer</w:t>
      </w:r>
      <w:r>
        <w:tab/>
      </w:r>
      <w:r>
        <w:rPr>
          <w:rFonts w:ascii="Times New Roman" w:hAnsi="Times New Roman" w:eastAsia="Times New Roman" w:cs="Times New Roman"/>
          <w:sz w:val="24"/>
        </w:rPr>
        <w:t>18</w:t>
      </w:r>
    </w:p>
    <w:p>
      <w:pPr>
        <w:pStyle w:val="TOC2"/>
        <w:spacing w:before="0" w:after="45"/>
      </w:pPr>
      <w:r>
        <w:rPr>
          <w:rFonts w:ascii="Times New Roman" w:hAnsi="Times New Roman" w:eastAsia="Times New Roman" w:cs="Times New Roman"/>
          <w:sz w:val="24"/>
        </w:rPr>
        <w:t>3.3 Job Match</w:t>
      </w:r>
      <w:r>
        <w:tab/>
      </w:r>
      <w:r>
        <w:rPr>
          <w:rFonts w:ascii="Times New Roman" w:hAnsi="Times New Roman" w:eastAsia="Times New Roman" w:cs="Times New Roman"/>
          <w:sz w:val="24"/>
        </w:rPr>
        <w:t>19</w:t>
      </w:r>
    </w:p>
    <w:p>
      <w:pPr>
        <w:pStyle w:val="TOC2"/>
        <w:spacing w:before="0" w:after="45"/>
      </w:pPr>
      <w:r>
        <w:rPr>
          <w:rFonts w:ascii="Times New Roman" w:hAnsi="Times New Roman" w:eastAsia="Times New Roman" w:cs="Times New Roman"/>
          <w:sz w:val="24"/>
        </w:rPr>
        <w:t>3.4 Career Path</w:t>
      </w:r>
      <w:r>
        <w:tab/>
      </w:r>
      <w:r>
        <w:rPr>
          <w:rFonts w:ascii="Times New Roman" w:hAnsi="Times New Roman" w:eastAsia="Times New Roman" w:cs="Times New Roman"/>
          <w:sz w:val="24"/>
        </w:rPr>
        <w:t>20</w:t>
      </w:r>
    </w:p>
    <w:p>
      <w:pPr>
        <w:pStyle w:val="TOC2"/>
        <w:spacing w:before="0" w:after="45"/>
      </w:pPr>
      <w:r>
        <w:rPr>
          <w:rFonts w:ascii="Times New Roman" w:hAnsi="Times New Roman" w:eastAsia="Times New Roman" w:cs="Times New Roman"/>
          <w:sz w:val="24"/>
        </w:rPr>
        <w:t>3.5 Cover Letter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3.6 Interview Q&amp;A</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3.7 Portfolio Planner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3.8 Persistence, regeneration, and result history</w:t>
      </w:r>
      <w:r>
        <w:tab/>
      </w:r>
      <w:r>
        <w:rPr>
          <w:rFonts w:ascii="Times New Roman" w:hAnsi="Times New Roman" w:eastAsia="Times New Roman" w:cs="Times New Roman"/>
          <w:sz w:val="24"/>
        </w:rPr>
        <w:t>22</w:t>
      </w:r>
    </w:p>
    <w:p>
      <w:pPr>
        <w:pStyle w:val="TOC2"/>
        <w:spacing w:before="0" w:after="45"/>
      </w:pPr>
      <w:r>
        <w:rPr>
          <w:rFonts w:ascii="Times New Roman" w:hAnsi="Times New Roman" w:eastAsia="Times New Roman" w:cs="Times New Roman"/>
          <w:sz w:val="24"/>
        </w:rPr>
        <w:t>3.9 Reliability behaviour observed in production</w:t>
      </w:r>
      <w:r>
        <w:tab/>
      </w:r>
      <w:r>
        <w:rPr>
          <w:rFonts w:ascii="Times New Roman" w:hAnsi="Times New Roman" w:eastAsia="Times New Roman" w:cs="Times New Roman"/>
          <w:sz w:val="24"/>
        </w:rPr>
        <w:t>22</w:t>
      </w:r>
    </w:p>
    <w:p>
      <w:pPr>
        <w:pStyle w:val="TOC1"/>
        <w:spacing w:before="0" w:after="45"/>
      </w:pPr>
      <w:r>
        <w:rPr>
          <w:rFonts w:ascii="Times New Roman" w:hAnsi="Times New Roman" w:eastAsia="Times New Roman" w:cs="Times New Roman"/>
          <w:b/>
          <w:bCs/>
          <w:sz w:val="24"/>
        </w:rPr>
        <w:t>Chapter 4 — Conducted studies and results</w:t>
      </w:r>
      <w:r>
        <w:tab/>
      </w:r>
      <w:r>
        <w:rPr>
          <w:rFonts w:ascii="Times New Roman" w:hAnsi="Times New Roman" w:eastAsia="Times New Roman" w:cs="Times New Roman"/>
          <w:b/>
          <w:bCs/>
          <w:sz w:val="24"/>
        </w:rPr>
        <w:t>23</w:t>
      </w:r>
    </w:p>
    <w:p>
      <w:pPr>
        <w:pStyle w:val="TOC2"/>
        <w:spacing w:before="0" w:after="45"/>
      </w:pPr>
      <w:r>
        <w:rPr>
          <w:rFonts w:ascii="Times New Roman" w:hAnsi="Times New Roman" w:eastAsia="Times New Roman" w:cs="Times New Roman"/>
          <w:sz w:val="24"/>
        </w:rPr>
        <w:t>4.1 Methodology</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4.2 The strong heuristic (v2)</w:t>
      </w:r>
      <w:r>
        <w:tab/>
      </w:r>
      <w:r>
        <w:rPr>
          <w:rFonts w:ascii="Times New Roman" w:hAnsi="Times New Roman" w:eastAsia="Times New Roman" w:cs="Times New Roman"/>
          <w:sz w:val="24"/>
        </w:rPr>
        <w:t>25</w:t>
      </w:r>
    </w:p>
    <w:p>
      <w:pPr>
        <w:pStyle w:val="TOC2"/>
        <w:spacing w:before="0" w:after="45"/>
      </w:pPr>
      <w:r>
        <w:rPr>
          <w:rFonts w:ascii="Times New Roman" w:hAnsi="Times New Roman" w:eastAsia="Times New Roman" w:cs="Times New Roman"/>
          <w:sz w:val="24"/>
        </w:rPr>
        <w:t>4.3 Results</w:t>
      </w:r>
      <w:r>
        <w:tab/>
      </w:r>
      <w:r>
        <w:rPr>
          <w:rFonts w:ascii="Times New Roman" w:hAnsi="Times New Roman" w:eastAsia="Times New Roman" w:cs="Times New Roman"/>
          <w:sz w:val="24"/>
        </w:rPr>
        <w:t>27</w:t>
      </w:r>
    </w:p>
    <w:p>
      <w:pPr>
        <w:pStyle w:val="TOC2"/>
        <w:spacing w:before="0" w:after="45"/>
      </w:pPr>
      <w:r>
        <w:rPr>
          <w:rFonts w:ascii="Times New Roman" w:hAnsi="Times New Roman" w:eastAsia="Times New Roman" w:cs="Times New Roman"/>
          <w:sz w:val="24"/>
        </w:rPr>
        <w:t>4.4 Discussion and limitations</w:t>
      </w:r>
      <w:r>
        <w:tab/>
      </w:r>
      <w:r>
        <w:rPr>
          <w:rFonts w:ascii="Times New Roman" w:hAnsi="Times New Roman" w:eastAsia="Times New Roman" w:cs="Times New Roman"/>
          <w:sz w:val="24"/>
        </w:rPr>
        <w:t>33</w:t>
      </w:r>
    </w:p>
    <w:p>
      <w:pPr>
        <w:pStyle w:val="TOC1"/>
        <w:spacing w:before="0" w:after="45"/>
      </w:pPr>
      <w:r>
        <w:rPr>
          <w:rFonts w:ascii="Times New Roman" w:hAnsi="Times New Roman" w:eastAsia="Times New Roman" w:cs="Times New Roman"/>
          <w:b/>
          <w:bCs/>
          <w:sz w:val="24"/>
        </w:rPr>
        <w:t>Chapter 5 — Conclusions</w:t>
      </w:r>
      <w:r>
        <w:tab/>
      </w:r>
      <w:r>
        <w:rPr>
          <w:rFonts w:ascii="Times New Roman" w:hAnsi="Times New Roman" w:eastAsia="Times New Roman" w:cs="Times New Roman"/>
          <w:b/>
          <w:bCs/>
          <w:sz w:val="24"/>
        </w:rPr>
        <w:t>34</w:t>
      </w:r>
    </w:p>
    <w:p>
      <w:pPr>
        <w:pStyle w:val="TOC2"/>
        <w:spacing w:before="0" w:after="45"/>
      </w:pPr>
      <w:r>
        <w:rPr>
          <w:rFonts w:ascii="Times New Roman" w:hAnsi="Times New Roman" w:eastAsia="Times New Roman" w:cs="Times New Roman"/>
          <w:sz w:val="24"/>
        </w:rPr>
        <w:t>5.1 Results</w:t>
      </w:r>
      <w:r>
        <w:tab/>
      </w:r>
      <w:r>
        <w:rPr>
          <w:rFonts w:ascii="Times New Roman" w:hAnsi="Times New Roman" w:eastAsia="Times New Roman" w:cs="Times New Roman"/>
          <w:sz w:val="24"/>
        </w:rPr>
        <w:t>34</w:t>
      </w:r>
    </w:p>
    <w:p>
      <w:pPr>
        <w:pStyle w:val="TOC2"/>
        <w:spacing w:before="0" w:after="45"/>
      </w:pPr>
      <w:r>
        <w:rPr>
          <w:rFonts w:ascii="Times New Roman" w:hAnsi="Times New Roman" w:eastAsia="Times New Roman" w:cs="Times New Roman"/>
          <w:sz w:val="24"/>
        </w:rPr>
        <w:t>5.2 Limitations</w:t>
      </w:r>
      <w:r>
        <w:tab/>
      </w:r>
      <w:r>
        <w:rPr>
          <w:rFonts w:ascii="Times New Roman" w:hAnsi="Times New Roman" w:eastAsia="Times New Roman" w:cs="Times New Roman"/>
          <w:sz w:val="24"/>
        </w:rPr>
        <w:t>35</w:t>
      </w:r>
    </w:p>
    <w:p>
      <w:pPr>
        <w:pStyle w:val="TOC2"/>
        <w:spacing w:before="0" w:after="45"/>
      </w:pPr>
      <w:r>
        <w:rPr>
          <w:rFonts w:ascii="Times New Roman" w:hAnsi="Times New Roman" w:eastAsia="Times New Roman" w:cs="Times New Roman"/>
          <w:sz w:val="24"/>
        </w:rPr>
        <w:t>5.3 Future development</w:t>
      </w:r>
      <w:r>
        <w:tab/>
      </w:r>
      <w:r>
        <w:rPr>
          <w:rFonts w:ascii="Times New Roman" w:hAnsi="Times New Roman" w:eastAsia="Times New Roman" w:cs="Times New Roman"/>
          <w:sz w:val="24"/>
        </w:rPr>
        <w:t>36</w:t>
      </w:r>
    </w:p>
    <w:p>
      <w:pPr>
        <w:pStyle w:val="TOC1"/>
        <w:spacing w:before="0" w:after="45"/>
      </w:pPr>
      <w:r>
        <w:rPr>
          <w:rFonts w:ascii="Times New Roman" w:hAnsi="Times New Roman" w:eastAsia="Times New Roman" w:cs="Times New Roman"/>
          <w:b/>
          <w:bCs/>
          <w:sz w:val="24"/>
        </w:rPr>
        <w:t>Bibliography</w:t>
      </w:r>
      <w:r>
        <w:tab/>
      </w:r>
      <w:r>
        <w:rPr>
          <w:rFonts w:ascii="Times New Roman" w:hAnsi="Times New Roman" w:eastAsia="Times New Roman" w:cs="Times New Roman"/>
          <w:b/>
          <w:bCs/>
          <w:sz w:val="24"/>
        </w:rPr>
        <w:t>38</w:t>
      </w:r>
    </w:p>
    <w:p>
      <w:pPr>
        <w:pStyle w:val="TOC1"/>
        <w:spacing w:before="0" w:after="45"/>
      </w:pPr>
      <w:r>
        <w:rPr>
          <w:rFonts w:ascii="Times New Roman" w:hAnsi="Times New Roman" w:eastAsia="Times New Roman" w:cs="Times New Roman"/>
          <w:b/>
          <w:bCs/>
          <w:sz w:val="24"/>
        </w:rPr>
        <w:t>Appendix A — Source listings</w:t>
      </w:r>
      <w:r>
        <w:tab/>
      </w:r>
      <w:r>
        <w:rPr>
          <w:rFonts w:ascii="Times New Roman" w:hAnsi="Times New Roman" w:eastAsia="Times New Roman" w:cs="Times New Roman"/>
          <w:b/>
          <w:bCs/>
          <w:sz w:val="24"/>
        </w:rPr>
        <w:t>41</w:t>
      </w:r>
    </w:p>
    <w:p>
      <w:pPr>
        <w:pStyle w:val="TOC1"/>
        <w:spacing w:before="0" w:after="45"/>
      </w:pPr>
      <w:r>
        <w:rPr>
          <w:rFonts w:ascii="Times New Roman" w:hAnsi="Times New Roman" w:eastAsia="Times New Roman" w:cs="Times New Roman"/>
          <w:b/>
          <w:bCs/>
          <w:sz w:val="24"/>
        </w:rPr>
        <w:t>Appendix B — Evaluation dataset description</w:t>
      </w:r>
      <w:r>
        <w:tab/>
      </w:r>
      <w:r>
        <w:rPr>
          <w:rFonts w:ascii="Times New Roman" w:hAnsi="Times New Roman" w:eastAsia="Times New Roman" w:cs="Times New Roman"/>
          <w:b/>
          <w:bCs/>
          <w:sz w:val="24"/>
        </w:rPr>
        <w:t>43</w:t>
      </w:r>
    </w:p>
    <w:p>
      <w:pPr>
        <w:pStyle w:val="TOC1"/>
        <w:spacing w:before="0" w:after="45"/>
      </w:pPr>
      <w:r>
        <w:rPr>
          <w:rFonts w:ascii="Times New Roman" w:hAnsi="Times New Roman" w:eastAsia="Times New Roman" w:cs="Times New Roman"/>
          <w:b/>
          <w:bCs/>
          <w:sz w:val="24"/>
        </w:rPr>
        <w:t>Appendix C — Screenshots of the running system</w:t>
      </w:r>
      <w:r>
        <w:tab/>
      </w:r>
      <w:r>
        <w:rPr>
          <w:rFonts w:ascii="Times New Roman" w:hAnsi="Times New Roman" w:eastAsia="Times New Roman" w:cs="Times New Roman"/>
          <w:b/>
          <w:bCs/>
          <w:sz w:val="24"/>
        </w:rPr>
        <w:t>44</w:t>
      </w:r>
    </w:p>
    <w:p>
      <w:pPr>
        <w:pStyle w:val="TOC1"/>
        <w:spacing w:before="0" w:after="45"/>
        <w:sectPr>
          <w:type w:val="nextPage"/>
          <w:footerReference w:type="default" r:id="rId154"/>
          <w:pgSz w:w="11906" w:h="16838"/>
          <w:pgMar w:top="1417" w:right="1417" w:bottom="1417" w:left="1417" w:header="709" w:footer="709" w:gutter="0"/>
          <w:pgNumType w:fmt="lowerRoman" w:start="1"/>
          <w:cols w:space="708"/>
          <w:docGrid w:linePitch="360"/>
        </w:sectPr>
      </w:pPr>
      <w:r>
        <w:rPr>
          <w:rFonts w:ascii="Times New Roman" w:hAnsi="Times New Roman" w:eastAsia="Times New Roman" w:cs="Times New Roman"/>
          <w:b/>
          <w:bCs/>
          <w:sz w:val="24"/>
        </w:rPr>
        <w:t>Appendix D — Configuration reference</w:t>
      </w:r>
      <w:r>
        <w:tab/>
      </w:r>
      <w:r>
        <w:rPr>
          <w:rFonts w:ascii="Times New Roman" w:hAnsi="Times New Roman" w:eastAsia="Times New Roman" w:cs="Times New Roman"/>
          <w:b/>
          <w:bCs/>
          <w:sz w:val="24"/>
        </w:rPr>
        <w:t>47</w:t>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much of the lexical and structural evidence that automated screening systems extract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job_posts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Kendall τ-b</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Kendall τ-b</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discriminative power: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0.470, 0.758]).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FirstParagraph"/>
        <w:keepNext/>
        <w:spacing w:before="60" w:after="40"/>
        <w:jc w:val="center"/>
      </w:pPr>
      <w:r>
        <w:drawing>
          <wp:inline>
            <wp:extent cx="4031999" cy="2267999"/>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FirstParagraph"/>
        <w:keepNext/>
        <w:spacing w:before="60" w:after="40"/>
        <w:jc w:val="center"/>
      </w:pPr>
      <w:r>
        <w:drawing>
          <wp:inline>
            <wp:extent cx="4031999" cy="2267999"/>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FirstParagraph"/>
        <w:keepNext/>
        <w:spacing w:before="60" w:after="40"/>
        <w:jc w:val="center"/>
      </w:pPr>
      <w:r>
        <w:drawing>
          <wp:inline>
            <wp:extent cx="4031999" cy="4531798"/>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FirstParagraph"/>
        <w:keepNext/>
        <w:spacing w:before="60" w:after="40"/>
        <w:jc w:val="center"/>
      </w:pPr>
      <w:r>
        <w:drawing>
          <wp:inline>
            <wp:extent cx="4031999" cy="5520898"/>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emits the Markdown-formatted result tables reported in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2026-05-11T19:50:55Z</dcterms:created>
  <dcterms:modified xsi:type="dcterms:W3CDTF">2026-05-11T19:50:55Z</dcterms:modified>
</cp:coreProperties>
</file>

<file path=docProps/custom.xml><?xml version="1.0" encoding="utf-8"?>
<Properties xmlns="http://schemas.openxmlformats.org/officeDocument/2006/custom-properties" xmlns:vt="http://schemas.openxmlformats.org/officeDocument/2006/docPropsVTypes"/>
</file>