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03.png" ContentType="image/png"/>
  <Override PartName="/word/media/rId141.png" ContentType="image/png"/>
  <Override PartName="/word/media/rId145.png" ContentType="image/png"/>
  <Override PartName="/word/media/rId149.png" ContentType="image/png"/>
  <Override PartName="/word/media/rId153.png" ContentType="image/png"/>
  <Override PartName="/word/media/rId38.png" ContentType="image/png"/>
  <Override PartName="/word/media/rId4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AI-Based System for Personalized Career Recommendation</w:t>
      </w:r>
    </w:p>
    <w:p>
      <w:pPr>
        <w:pStyle w:val="Author"/>
      </w:pPr>
      <w:r>
        <w:t xml:space="preserve">Egemen Goncu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Wrocław University of Science and Technology</w:t>
      </w:r>
    </w:p>
    <w:p>
      <w:pPr>
        <w:pStyle w:val="BodyText"/>
      </w:pPr>
      <w:r>
        <w:rPr>
          <w:b/>
          <w:bCs/>
        </w:rPr>
        <w:t xml:space="preserve">Faculty of Electronics, Photonics and Microsystems</w:t>
      </w:r>
    </w:p>
    <w:p>
      <w:r>
        <w:pict>
          <v:rect style="width:0;height:1.5pt" o:hralign="center" o:hrstd="t" o:hr="t"/>
        </w:pict>
      </w:r>
    </w:p>
    <w:p>
      <w:pPr>
        <w:pStyle w:val="FirstParagraph"/>
      </w:pPr>
      <w:r>
        <w:rPr>
          <w:b/>
          <w:bCs/>
        </w:rPr>
        <w:t xml:space="preserve">Field of study:</w:t>
      </w:r>
      <w:r>
        <w:t xml:space="preserve"> </w:t>
      </w:r>
      <w:r>
        <w:t xml:space="preserve">Electronic and Computer Engineering</w:t>
      </w:r>
    </w:p>
    <w:p>
      <w:pPr>
        <w:pStyle w:val="BodyText"/>
      </w:pPr>
      <w:r>
        <w:rPr>
          <w:b/>
          <w:bCs/>
        </w:rPr>
        <w:t xml:space="preserve">Speciality:</w:t>
      </w:r>
      <w:r>
        <w:t xml:space="preserve"> </w:t>
      </w:r>
      <w:r>
        <w:t xml:space="preserve">—</w:t>
      </w:r>
    </w:p>
    <w:bookmarkStart w:id="20" w:name="bachelor-thesis"/>
    <w:p>
      <w:pPr>
        <w:pStyle w:val="Heading1"/>
      </w:pPr>
      <w:r>
        <w:t xml:space="preserve">Bachelor Thesis</w:t>
      </w:r>
    </w:p>
    <w:bookmarkStart w:id="19" w:name="Xd478063726b65b0452c9321f694361eb6c13481"/>
    <w:p>
      <w:pPr>
        <w:pStyle w:val="Heading2"/>
      </w:pPr>
      <w:r>
        <w:t xml:space="preserve">An AI-Based System for Personalized Career Recommendation</w:t>
      </w:r>
    </w:p>
    <w:p>
      <w:pPr>
        <w:pStyle w:val="FirstParagraph"/>
      </w:pPr>
      <w:r>
        <w:rPr>
          <w:i/>
          <w:iCs/>
        </w:rPr>
        <w:t xml:space="preserve">System oparty na sztucznej inteligencji do spersonalizowanego doradztwa zawodowego</w:t>
      </w:r>
    </w:p>
    <w:p>
      <w:r>
        <w:pict>
          <v:rect style="width:0;height:1.5pt" o:hralign="center" o:hrstd="t" o:hr="t"/>
        </w:pict>
      </w:r>
    </w:p>
    <w:p>
      <w:pPr>
        <w:pStyle w:val="FirstParagraph"/>
      </w:pPr>
      <w:r>
        <w:rPr>
          <w:b/>
          <w:bCs/>
        </w:rPr>
        <w:t xml:space="preserve">AUTHOR:</w:t>
      </w:r>
      <w:r>
        <w:t xml:space="preserve"> </w:t>
      </w:r>
      <w:r>
        <w:t xml:space="preserve">Egemen Goncu</w:t>
      </w:r>
    </w:p>
    <w:p>
      <w:pPr>
        <w:pStyle w:val="BodyText"/>
      </w:pPr>
      <w:r>
        <w:rPr>
          <w:b/>
          <w:bCs/>
        </w:rPr>
        <w:t xml:space="preserve">SUPERVISOR:</w:t>
      </w:r>
      <w:r>
        <w:t xml:space="preserve"> </w:t>
      </w:r>
      <w:r>
        <w:t xml:space="preserve">dr inż. Michał Błędowski</w:t>
      </w:r>
    </w:p>
    <w:p>
      <w:r>
        <w:pict>
          <v:rect style="width:0;height:1.5pt" o:hralign="center" o:hrstd="t" o:hr="t"/>
        </w:pict>
      </w:r>
    </w:p>
    <w:p>
      <w:pPr>
        <w:pStyle w:val="FirstParagraph"/>
      </w:pPr>
      <w:r>
        <w:rPr>
          <w:b/>
          <w:bCs/>
        </w:rPr>
        <w:t xml:space="preserve">WROCŁAW 2026</w:t>
      </w:r>
    </w:p>
    <w:bookmarkEnd w:id="19"/>
    <w:bookmarkEnd w:id="20"/>
    <w:bookmarkStart w:id="23" w:name="abstract-streszczenie-abstract"/>
    <w:p>
      <w:pPr>
        <w:pStyle w:val="Heading1"/>
      </w:pPr>
      <w:r>
        <w:t xml:space="preserve">Abstract — Streszczenie / Abstract</w:t>
      </w:r>
    </w:p>
    <w:p>
      <w:r>
        <w:pict>
          <v:rect style="width:0;height:1.5pt" o:hralign="center" o:hrstd="t" o:hr="t"/>
        </w:pict>
      </w:r>
    </w:p>
    <w:bookmarkStart w:id="21" w:name="streszczenie"/>
    <w:p>
      <w:pPr>
        <w:pStyle w:val="Heading2"/>
      </w:pPr>
      <w:r>
        <w:rPr>
          <w:lang w:val="pl"/>
        </w:rPr>
        <w:t xml:space="preserve">Streszczenie</w:t>
      </w:r>
    </w:p>
    <w:p>
      <w:pPr>
        <w:pStyle w:val="FirstParagraph"/>
      </w:pPr>
      <w:r>
        <w:rPr>
          <w:lang w:val="pl"/>
        </w:rPr>
        <w:t xml:space="preserve">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pPr>
      <w:r>
        <w:rPr>
          <w:lang w:val="pl"/>
        </w:rPr>
        <w:t xml:space="preserve">W odpowiedzi na obawy dotyczące kosztu, opóźnienia oraz zależności od zewnętrznego dostawcy modelu rdzeń analityczny systemu obsługuje dwa przełączalne w czasie działania tryby oceny.</w:t>
      </w:r>
      <w:r>
        <w:rPr>
          <w:lang w:val="pl"/>
        </w:rPr>
        <w:t xml:space="preserve"> </w:t>
      </w:r>
      <w:r>
        <w:rPr>
          <w:i/>
          <w:iCs/>
          <w:lang w:val="pl"/>
        </w:rPr>
        <w:t xml:space="preserve">Tryb mieszany</w:t>
      </w:r>
      <w:r>
        <w:rPr>
          <w:lang w:val="pl"/>
        </w:rPr>
        <w:t xml:space="preserve"> </w:t>
      </w:r>
      <w:r>
        <w:rPr>
          <w:lang w:val="pl"/>
        </w:rPr>
        <w:t xml:space="preserve">łączy deterministyczną heurystykę ze strukturalnym wyjściem modelu językowego (40% / 60%).</w:t>
      </w:r>
      <w:r>
        <w:rPr>
          <w:lang w:val="pl"/>
        </w:rPr>
        <w:t xml:space="preserve"> </w:t>
      </w:r>
      <w:r>
        <w:rPr>
          <w:i/>
          <w:iCs/>
          <w:lang w:val="pl"/>
        </w:rPr>
        <w:t xml:space="preserve">Tryb w pełni heurystyczny</w:t>
      </w:r>
      <w:r>
        <w:rPr>
          <w:lang w:val="pl"/>
        </w:rPr>
        <w:t xml:space="preserve"> </w:t>
      </w:r>
      <w:r>
        <w:rPr>
          <w:lang w:val="pl"/>
        </w:rPr>
        <w:t xml:space="preserve">opiera się na klasycznych metodach wyszukiwania informacji: ważeniu słów kluczowych metodą TF–IDF i rankingowi BM25, normalizacji umiejętności zgodnej z taksonomią ESCO, dopasowaniu rozmytym oraz ekstrakcji cech ważonych sekcjami.</w:t>
      </w:r>
    </w:p>
    <w:p>
      <w:pPr>
        <w:pStyle w:val="BodyText"/>
      </w:pPr>
      <w:r>
        <w:rPr>
          <w:lang w:val="pl"/>
        </w:rPr>
        <w:t xml:space="preserve">Kontrolowane studium porównawcze oceniło oba tryby na 100 parach (CV, opis stanowiska) obejmujących sześć ścieżek zawodowych. Zbiór ewaluacyjny składa się z deterministycznie wygenerowanych par syntetycznych CV i opisów stanowisk skonstruowanych z rozłącznych słownikowo pul fraz; strona CV i strona opisu stanowiska nie współdzielą słownictwa treściowego poza kanonicznymi nazwami umiejętności. W tym zbiorze tryb w pełni heurystyczny śledzi tryb mieszany przy Pearsonowskim</w:t>
      </w:r>
      <w:r>
        <w:rPr>
          <w:lang w:val="pl"/>
        </w:rPr>
        <w:t xml:space="preserve"> </w:t>
      </w:r>
      <w:r>
        <w:rPr>
          <w:i/>
          <w:iCs/>
          <w:lang w:val="pl"/>
        </w:rPr>
        <w:t xml:space="preserve">r</w:t>
      </w:r>
      <w:r>
        <w:rPr>
          <w:lang w:val="pl"/>
        </w:rPr>
        <w:t xml:space="preserve"> </w:t>
      </w:r>
      <w:r>
        <w:rPr>
          <w:lang w:val="pl"/>
        </w:rPr>
        <w:t xml:space="preserve">= 0,836 [95-proc. przedział ufności: 0,762–0,896; bootstrap klastrowy względem identyfikatora CV] oraz Spearmanowskim ρ = 0,847, działa około dwa do trzech rzędów wielkości szybciej (mediana 25,5 ms wobec 18,2 s) oraz nie ponosi krańcowego kosztu po stronie modelu językowego.</w:t>
      </w:r>
    </w:p>
    <w:p>
      <w:pPr>
        <w:pStyle w:val="BodyText"/>
      </w:pPr>
      <w:r>
        <w:rPr>
          <w:lang w:val="pl"/>
        </w:rPr>
        <w:t xml:space="preserve">Korelacja między samym modelem językowym a trybem heurystycznym, odzyskana post-hoc z tożsamości formuły mieszanej w celu odseparowania składowej strukturalnej, wynosi</w:t>
      </w:r>
      <w:r>
        <w:rPr>
          <w:lang w:val="pl"/>
        </w:rPr>
        <w:t xml:space="preserve"> </w:t>
      </w:r>
      <w:r>
        <w:rPr>
          <w:i/>
          <w:iCs/>
          <w:lang w:val="pl"/>
        </w:rPr>
        <w:t xml:space="preserve">r</w:t>
      </w:r>
      <w:r>
        <w:rPr>
          <w:lang w:val="pl"/>
        </w:rPr>
        <w:t xml:space="preserve"> </w:t>
      </w:r>
      <w:r>
        <w:rPr>
          <w:lang w:val="pl"/>
        </w:rPr>
        <w:t xml:space="preserve">= 0,627 [95-proc. przedział ufności: 0,470–0,758]. Tryb mieszany pozostaje wartościowy w ocenie jakości prozy: na osi</w:t>
      </w:r>
      <w:r>
        <w:rPr>
          <w:lang w:val="pl"/>
        </w:rPr>
        <w:t xml:space="preserve"> </w:t>
      </w:r>
      <w:r>
        <w:rPr>
          <w:i/>
          <w:iCs/>
          <w:lang w:val="pl"/>
        </w:rPr>
        <w:t xml:space="preserve">clarity</w:t>
      </w:r>
      <w:r>
        <w:rPr>
          <w:lang w:val="pl"/>
        </w:rPr>
        <w:t xml:space="preserve"> </w:t>
      </w:r>
      <w:r>
        <w:rPr>
          <w:lang w:val="pl"/>
        </w:rPr>
        <w:t xml:space="preserve">zgodność między obydwoma trybami spada do</w:t>
      </w:r>
      <w:r>
        <w:rPr>
          <w:lang w:val="pl"/>
        </w:rPr>
        <w:t xml:space="preserve"> </w:t>
      </w:r>
      <w:r>
        <w:rPr>
          <w:i/>
          <w:iCs/>
          <w:lang w:val="pl"/>
        </w:rPr>
        <w:t xml:space="preserve">r</w:t>
      </w:r>
      <w:r>
        <w:rPr>
          <w:lang w:val="pl"/>
        </w:rPr>
        <w:t xml:space="preserve"> </w:t>
      </w:r>
      <w:r>
        <w:rPr>
          <w:lang w:val="pl"/>
        </w:rPr>
        <w:t xml:space="preserve">= 0,395, co wskazuje, że w tym wymiarze deterministyczna heurystyka nie zastępuje modelu językowego. Ograniczenia obejmują zakres jednojęzyczny (angielski), syntetyczny zbiór jednego autora oraz pojedynczą konfigurację dostawcy modelu językowego. Dalsze prace obejmują rozszerzenie pokrycia językowego na polski (etykiety ESCO, polskojęzyczne wstępne przetwarzanie, detekcję sekcji oraz dwujęzyczną ewaluację), pośredni poziom dopasowania semantycznego oparty na transformatorach zdań, integrację komponentu wyszukiwania wspomagającego oraz wymianę pamięci podręcznej procesu na rozwiązanie współdzielone (Redis).</w:t>
      </w:r>
    </w:p>
    <w:p>
      <w:pPr>
        <w:pStyle w:val="BodyText"/>
      </w:pPr>
      <w:r>
        <w:rPr>
          <w:b/>
          <w:bCs/>
          <w:lang w:val="pl"/>
        </w:rPr>
        <w:t xml:space="preserve">Słowa kluczowe:</w:t>
      </w:r>
      <w:r>
        <w:rPr>
          <w:lang w:val="pl"/>
        </w:rPr>
        <w:t xml:space="preserve"> </w:t>
      </w:r>
      <w:r>
        <w:rPr>
          <w:lang w:val="pl"/>
        </w:rPr>
        <w:t xml:space="preserve">doradztwo zawodowe, analiza CV, duże modele językowe, wyszukiwanie informacji, taksonomia ESCO, ocena hybrydowa, FastAPI, React.</w:t>
      </w:r>
    </w:p>
    <w:bookmarkEnd w:id="21"/>
    <w:bookmarkStart w:id="22" w:name="abstract-english"/>
    <w:p>
      <w:pPr>
        <w:pStyle w:val="Heading2"/>
      </w:pPr>
      <w:r>
        <w:t xml:space="preserve">Abstract (English)</w:t>
      </w:r>
    </w:p>
    <w:p>
      <w:pPr>
        <w:pStyle w:val="FirstParagraph"/>
      </w:pPr>
      <w: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pPr>
      <w:r>
        <w:t xml:space="preserve">To address cost, latency, and external-provider dependence, the analytical core supports two runtime-switchable scoring modes. The</w:t>
      </w:r>
      <w:r>
        <w:t xml:space="preserve"> </w:t>
      </w:r>
      <w:r>
        <w:rPr>
          <w:i/>
          <w:iCs/>
        </w:rPr>
        <w:t xml:space="preserve">blended mode</w:t>
      </w:r>
      <w:r>
        <w:t xml:space="preserve"> </w:t>
      </w:r>
      <w:r>
        <w:t xml:space="preserve">combines a deterministic heuristic with the language model’s structured output at 40% / 60% weighting. The</w:t>
      </w:r>
      <w:r>
        <w:t xml:space="preserve"> </w:t>
      </w:r>
      <w:r>
        <w:rPr>
          <w:i/>
          <w:iCs/>
        </w:rPr>
        <w:t xml:space="preserve">fully heuristic mode</w:t>
      </w:r>
      <w:r>
        <w:t xml:space="preserve"> </w:t>
      </w:r>
      <w:r>
        <w:t xml:space="preserve">uses classical information-retrieval methods: TF–IDF and BM25 keyword evidence, ESCO-aligned skill normalisation, string-similarity fuzzy matching, and section-weighted feature extraction.</w:t>
      </w:r>
    </w:p>
    <w:p>
      <w:pPr>
        <w:pStyle w:val="BodyText"/>
      </w:pPr>
      <w: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t xml:space="preserve"> </w:t>
      </w:r>
      <w:r>
        <w:rPr>
          <w:i/>
          <w:iCs/>
        </w:rPr>
        <w:t xml:space="preserve">r</w:t>
      </w:r>
      <w:r>
        <w:t xml:space="preserve"> </w:t>
      </w:r>
      <w:r>
        <w:t xml:space="preserve">= 0.836 [95% CI 0.762, 0.896 under cluster bootstrap on resume identity] and Spearman ρ = 0.847, while running much faster (median 25.5 ms vs 18.2 s) and incurring zero LLM-side marginal cost. The post-hoc LLM-only-versus-heuristic correlation is</w:t>
      </w:r>
      <w:r>
        <w:t xml:space="preserve"> </w:t>
      </w:r>
      <w:r>
        <w:rPr>
          <w:i/>
          <w:iCs/>
        </w:rPr>
        <w:t xml:space="preserve">r</w:t>
      </w:r>
      <w:r>
        <w:t xml:space="preserve"> </w:t>
      </w:r>
      <w:r>
        <w:t xml:space="preserve">= 0.627 [95% CI 0.470, 0.758], after controlling for the 0.40 heuristic share embedded in the blended formula.</w:t>
      </w:r>
    </w:p>
    <w:p>
      <w:pPr>
        <w:pStyle w:val="BodyText"/>
      </w:pPr>
      <w:r>
        <w:t xml:space="preserve">These results support the heuristic mode as a fast, auditable fallback, while the blended mode retains value on prose-quality evidence (clarity sub-score</w:t>
      </w:r>
      <w:r>
        <w:t xml:space="preserve"> </w:t>
      </w:r>
      <w:r>
        <w:rPr>
          <w:i/>
          <w:iCs/>
        </w:rPr>
        <w:t xml:space="preserve">r</w:t>
      </w:r>
      <w:r>
        <w:t xml:space="preserve"> </w:t>
      </w:r>
      <w:r>
        <w:t xml:space="preserve">= 0.395). Limitations include English-only evaluation, a single-author synthetic dataset, and one LLM provider. Future work proposes Polish-language coverage (ESCO label expansion, Polish-aware preprocessing, section detection, and bilingual evaluation), a sentence-transformer intermediate tier, retrieval-augmented grounding, and a Redis-backed shared cache.</w:t>
      </w:r>
    </w:p>
    <w:p>
      <w:pPr>
        <w:pStyle w:val="BodyText"/>
      </w:pPr>
      <w:r>
        <w:rPr>
          <w:b/>
          <w:bCs/>
        </w:rPr>
        <w:t xml:space="preserve">Keywords:</w:t>
      </w:r>
      <w:r>
        <w:t xml:space="preserve"> </w:t>
      </w:r>
      <w:r>
        <w:t xml:space="preserve">career recommendation, resume analysis, large language models, information retrieval, ESCO taxonomy, hybrid scoring, FastAPI, React.</w:t>
      </w:r>
    </w:p>
    <w:bookmarkEnd w:id="22"/>
    <w:bookmarkEnd w:id="23"/>
    <w:bookmarkStart w:id="24" w:name="acknowledgements"/>
    <w:p>
      <w:pPr>
        <w:pStyle w:val="Heading1"/>
      </w:pPr>
      <w:r>
        <w:t xml:space="preserve">Acknowledgements</w:t>
      </w:r>
    </w:p>
    <w:p>
      <w:pPr>
        <w:pStyle w:val="FirstParagraph"/>
      </w:pPr>
      <w:r>
        <w:t xml:space="preserve">I thank my supervisor,</w:t>
      </w:r>
      <w:r>
        <w:t xml:space="preserve"> </w:t>
      </w:r>
      <w:r>
        <w:rPr>
          <w:b/>
          <w:bCs/>
        </w:rPr>
        <w:t xml:space="preserve">dr inż. Michał Błędowski</w:t>
      </w:r>
      <w:r>
        <w:t xml:space="preserve">, for agreeing to supervise this thesis and for the suggestion to extend the work with the comparative study reported in Chapter 4; the shape of the engineering and research halves of this project owes much to those conversations.</w:t>
      </w:r>
    </w:p>
    <w:p>
      <w:pPr>
        <w:pStyle w:val="BodyText"/>
      </w:pPr>
      <w:r>
        <w:t xml:space="preserve">I am also grateful to the</w:t>
      </w:r>
      <w:r>
        <w:t xml:space="preserve"> </w:t>
      </w:r>
      <w:r>
        <w:rPr>
          <w:b/>
          <w:bCs/>
        </w:rPr>
        <w:t xml:space="preserve">Faculty of Electronics, Photonics and Microsystems</w:t>
      </w:r>
      <w:r>
        <w:t xml:space="preserve"> </w:t>
      </w:r>
      <w:r>
        <w:t xml:space="preserve">at Wrocław University of Science and Technology, and to the</w:t>
      </w:r>
      <w:r>
        <w:t xml:space="preserve"> </w:t>
      </w:r>
      <w:r>
        <w:rPr>
          <w:i/>
          <w:iCs/>
        </w:rPr>
        <w:t xml:space="preserve">Electronic and Computer Engineering</w:t>
      </w:r>
      <w:r>
        <w:t xml:space="preserve"> </w:t>
      </w:r>
      <w:r>
        <w:t xml:space="preserve">programme more broadly, for providing the structure that made it possible for an undergraduate project to attempt both a working system and an instrumented evaluation in the same volume.</w:t>
      </w:r>
    </w:p>
    <w:p>
      <w:pPr>
        <w:pStyle w:val="BodyText"/>
      </w:pPr>
      <w:r>
        <w:t xml:space="preserve">This thesis was largely a solo effort, but it rests on the public work of people I never met — the maintainers of the open-source libraries the system runs on, and the authors of the papers cited in Chapters 1 and 4. Without their contributions, a single undergraduate could not have built and evaluated a system of this scope in the time available.</w:t>
      </w:r>
    </w:p>
    <w:p>
      <w:pPr>
        <w:pStyle w:val="BodyText"/>
      </w:pPr>
      <w:r>
        <w:t xml:space="preserve">Writing the empirical chapters changed how I thought about the code, and rewriting the code changed how I framed the research questions. The discipline of carrying both halves in the same volume turned out to be the project’s most useful constraint, and is, in retrospect, the thing I will most remember from this year.</w:t>
      </w:r>
    </w:p>
    <w:p>
      <w:pPr>
        <w:pStyle w:val="BodyText"/>
      </w:pPr>
      <w:r>
        <w:t xml:space="preserve">To</w:t>
      </w:r>
      <w:r>
        <w:t xml:space="preserve"> </w:t>
      </w:r>
      <w:r>
        <w:rPr>
          <w:b/>
          <w:bCs/>
        </w:rPr>
        <w:t xml:space="preserve">Wrocław</w:t>
      </w:r>
      <w:r>
        <w:t xml:space="preserve"> </w:t>
      </w:r>
      <w:r>
        <w:t xml:space="preserve">— the city, the cohort I sat next to in lecture halls, and the small daily friction of studying far from home in a language not my own — thank you for shaping the conditions in which this work was possible.</w:t>
      </w:r>
    </w:p>
    <w:p>
      <w:pPr>
        <w:pStyle w:val="BodyText"/>
      </w:pPr>
      <w:r>
        <w:t xml:space="preserve">Any errors that remain are my own.</w:t>
      </w:r>
    </w:p>
    <w:p>
      <w:pPr>
        <w:pStyle w:val="BodyText"/>
      </w:pPr>
      <w:r>
        <w:t xml:space="preserve">Egemen Goncu</w:t>
      </w:r>
      <w:r>
        <w:t xml:space="preserve"> </w:t>
      </w:r>
      <w:r>
        <w:t xml:space="preserve">Wrocław, May 2026</w:t>
      </w:r>
    </w:p>
    <w:bookmarkEnd w:id="24"/>
    <w:bookmarkStart w:id="26" w:name="list-of-abbreviations-and-symbols"/>
    <w:p>
      <w:pPr>
        <w:pStyle w:val="Heading1"/>
      </w:pPr>
      <w:r>
        <w:t xml:space="preserve">List of abbreviations and 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AI</w:t>
            </w:r>
          </w:p>
        </w:tc>
        <w:tc>
          <w:tcPr/>
          <w:p>
            <w:pPr>
              <w:pStyle w:val="Compact"/>
            </w:pPr>
            <w:r>
              <w:t xml:space="preserve">Artificial Intelligence</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APD</w:t>
            </w:r>
          </w:p>
        </w:tc>
        <w:tc>
          <w:tcPr/>
          <w:p>
            <w:pPr>
              <w:pStyle w:val="Compact"/>
            </w:pPr>
            <w:r>
              <w:t xml:space="preserve">Archive of Diploma Theses (USOS-APD)</w:t>
            </w:r>
          </w:p>
        </w:tc>
      </w:tr>
      <w:tr>
        <w:tc>
          <w:tcPr/>
          <w:p>
            <w:pPr>
              <w:pStyle w:val="Compact"/>
            </w:pPr>
            <w:r>
              <w:t xml:space="preserve">ATS</w:t>
            </w:r>
          </w:p>
        </w:tc>
        <w:tc>
          <w:tcPr/>
          <w:p>
            <w:pPr>
              <w:pStyle w:val="Compact"/>
            </w:pPr>
            <w:r>
              <w:t xml:space="preserve">Applicant Tracking System</w:t>
            </w:r>
          </w:p>
        </w:tc>
      </w:tr>
      <w:tr>
        <w:tc>
          <w:tcPr/>
          <w:p>
            <w:pPr>
              <w:pStyle w:val="Compact"/>
            </w:pPr>
            <w:r>
              <w:t xml:space="preserve">BM25</w:t>
            </w:r>
          </w:p>
        </w:tc>
        <w:tc>
          <w:tcPr/>
          <w:p>
            <w:pPr>
              <w:pStyle w:val="Compact"/>
            </w:pPr>
            <w:r>
              <w:t xml:space="preserve">Best Match 25 (probabilistic relevance ranking function)</w:t>
            </w:r>
          </w:p>
        </w:tc>
      </w:tr>
      <w:tr>
        <w:tc>
          <w:tcPr/>
          <w:p>
            <w:pPr>
              <w:pStyle w:val="Compact"/>
            </w:pPr>
            <w:r>
              <w:t xml:space="preserve">CI</w:t>
            </w:r>
          </w:p>
        </w:tc>
        <w:tc>
          <w:tcPr/>
          <w:p>
            <w:pPr>
              <w:pStyle w:val="Compact"/>
            </w:pPr>
            <w:r>
              <w:t xml:space="preserve">Confidence Interval / Continuous Integration, depending on context</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ESCO</w:t>
            </w:r>
          </w:p>
        </w:tc>
        <w:tc>
          <w:tcPr/>
          <w:p>
            <w:pPr>
              <w:pStyle w:val="Compact"/>
            </w:pPr>
            <w:r>
              <w:t xml:space="preserve">European Skills, Competences, Qualifications and Occupations</w:t>
            </w:r>
          </w:p>
        </w:tc>
      </w:tr>
      <w:tr>
        <w:tc>
          <w:tcPr/>
          <w:p>
            <w:pPr>
              <w:pStyle w:val="Compact"/>
            </w:pPr>
            <w:r>
              <w:t xml:space="preserve">FastAPI</w:t>
            </w:r>
          </w:p>
        </w:tc>
        <w:tc>
          <w:tcPr/>
          <w:p>
            <w:pPr>
              <w:pStyle w:val="Compact"/>
            </w:pPr>
            <w:r>
              <w:t xml:space="preserve">Python web framework used by the backend</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Gemini</w:t>
            </w:r>
          </w:p>
        </w:tc>
        <w:tc>
          <w:tcPr/>
          <w:p>
            <w:pPr>
              <w:pStyle w:val="Compact"/>
            </w:pPr>
            <w:r>
              <w:t xml:space="preserve">Google large-language-model family used through Vertex AI</w:t>
            </w:r>
          </w:p>
        </w:tc>
      </w:tr>
      <w:tr>
        <w:tc>
          <w:tcPr/>
          <w:p>
            <w:pPr>
              <w:pStyle w:val="Compact"/>
            </w:pPr>
            <w:r>
              <w:t xml:space="preserve">HTTP / HTTPS</w:t>
            </w:r>
          </w:p>
        </w:tc>
        <w:tc>
          <w:tcPr/>
          <w:p>
            <w:pPr>
              <w:pStyle w:val="Compact"/>
            </w:pPr>
            <w:r>
              <w:t xml:space="preserve">HyperText Transfer Protocol / HTTP Secure</w:t>
            </w:r>
          </w:p>
        </w:tc>
      </w:tr>
      <w:tr>
        <w:tc>
          <w:tcPr/>
          <w:p>
            <w:pPr>
              <w:pStyle w:val="Compact"/>
            </w:pPr>
            <w:r>
              <w:t xml:space="preserve">IDF</w:t>
            </w:r>
          </w:p>
        </w:tc>
        <w:tc>
          <w:tcPr/>
          <w:p>
            <w:pPr>
              <w:pStyle w:val="Compact"/>
            </w:pPr>
            <w:r>
              <w:t xml:space="preserve">Inverse Document Frequency</w:t>
            </w:r>
          </w:p>
        </w:tc>
      </w:tr>
      <w:tr>
        <w:tc>
          <w:tcPr/>
          <w:p>
            <w:pPr>
              <w:pStyle w:val="Compact"/>
            </w:pPr>
            <w:r>
              <w:t xml:space="preserve">IR</w:t>
            </w:r>
          </w:p>
        </w:tc>
        <w:tc>
          <w:tcPr/>
          <w:p>
            <w:pPr>
              <w:pStyle w:val="Compact"/>
            </w:pPr>
            <w:r>
              <w:t xml:space="preserve">Information Retrieval</w:t>
            </w:r>
          </w:p>
        </w:tc>
      </w:tr>
      <w:tr>
        <w:tc>
          <w:tcPr/>
          <w:p>
            <w:pPr>
              <w:pStyle w:val="Compact"/>
            </w:pPr>
            <w:r>
              <w:t xml:space="preserve">JD</w:t>
            </w:r>
          </w:p>
        </w:tc>
        <w:tc>
          <w:tcPr/>
          <w:p>
            <w:pPr>
              <w:pStyle w:val="Compact"/>
            </w:pPr>
            <w:r>
              <w:t xml:space="preserve">Job Description</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JWT</w:t>
            </w:r>
          </w:p>
        </w:tc>
        <w:tc>
          <w:tcPr/>
          <w:p>
            <w:pPr>
              <w:pStyle w:val="Compact"/>
            </w:pPr>
            <w:r>
              <w:t xml:space="preserve">JSON Web Token</w:t>
            </w:r>
          </w:p>
        </w:tc>
      </w:tr>
      <w:tr>
        <w:tc>
          <w:tcPr/>
          <w:p>
            <w:pPr>
              <w:pStyle w:val="Compact"/>
            </w:pPr>
            <w:r>
              <w:t xml:space="preserve">KS</w:t>
            </w:r>
          </w:p>
        </w:tc>
        <w:tc>
          <w:tcPr/>
          <w:p>
            <w:pPr>
              <w:pStyle w:val="Compact"/>
            </w:pPr>
            <w:r>
              <w:t xml:space="preserve">Kolmogorov–Smirnov statistical distance</w:t>
            </w:r>
          </w:p>
        </w:tc>
      </w:tr>
      <w:tr>
        <w:tc>
          <w:tcPr/>
          <w:p>
            <w:pPr>
              <w:pStyle w:val="Compact"/>
            </w:pPr>
            <w:r>
              <w:t xml:space="preserve">LLM</w:t>
            </w:r>
          </w:p>
        </w:tc>
        <w:tc>
          <w:tcPr/>
          <w:p>
            <w:pPr>
              <w:pStyle w:val="Compact"/>
            </w:pPr>
            <w:r>
              <w:t xml:space="preserve">Large Language Model</w:t>
            </w:r>
          </w:p>
        </w:tc>
      </w:tr>
      <w:tr>
        <w:tc>
          <w:tcPr/>
          <w:p>
            <w:pPr>
              <w:pStyle w:val="Compact"/>
            </w:pPr>
            <w:r>
              <w:t xml:space="preserve">NER</w:t>
            </w:r>
          </w:p>
        </w:tc>
        <w:tc>
          <w:tcPr/>
          <w:p>
            <w:pPr>
              <w:pStyle w:val="Compact"/>
            </w:pPr>
            <w:r>
              <w:t xml:space="preserve">Named-Entity Recognition</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OAuth</w:t>
            </w:r>
          </w:p>
        </w:tc>
        <w:tc>
          <w:tcPr/>
          <w:p>
            <w:pPr>
              <w:pStyle w:val="Compact"/>
            </w:pPr>
            <w:r>
              <w:t xml:space="preserve">Open Authorisation / federated-identity protocol</w:t>
            </w:r>
          </w:p>
        </w:tc>
      </w:tr>
      <w:tr>
        <w:tc>
          <w:tcPr/>
          <w:p>
            <w:pPr>
              <w:pStyle w:val="Compact"/>
            </w:pPr>
            <w:r>
              <w:t xml:space="preserve">O*NET</w:t>
            </w:r>
          </w:p>
        </w:tc>
        <w:tc>
          <w:tcPr/>
          <w:p>
            <w:pPr>
              <w:pStyle w:val="Compact"/>
            </w:pPr>
            <w:r>
              <w:t xml:space="preserve">Occupational Information Network taxonomy</w:t>
            </w:r>
          </w:p>
        </w:tc>
      </w:tr>
      <w:tr>
        <w:tc>
          <w:tcPr/>
          <w:p>
            <w:pPr>
              <w:pStyle w:val="Compact"/>
            </w:pPr>
            <w:r>
              <w:t xml:space="preserve">ORM</w:t>
            </w:r>
          </w:p>
        </w:tc>
        <w:tc>
          <w:tcPr/>
          <w:p>
            <w:pPr>
              <w:pStyle w:val="Compact"/>
            </w:pPr>
            <w:r>
              <w:t xml:space="preserve">Object–Relational Mapping</w:t>
            </w:r>
          </w:p>
        </w:tc>
      </w:tr>
      <w:tr>
        <w:tc>
          <w:tcPr/>
          <w:p>
            <w:pPr>
              <w:pStyle w:val="Compact"/>
            </w:pPr>
            <w:r>
              <w:t xml:space="preserve">PDF</w:t>
            </w:r>
          </w:p>
        </w:tc>
        <w:tc>
          <w:tcPr/>
          <w:p>
            <w:pPr>
              <w:pStyle w:val="Compact"/>
            </w:pPr>
            <w:r>
              <w:t xml:space="preserve">Portable Document Format</w:t>
            </w:r>
          </w:p>
        </w:tc>
      </w:tr>
      <w:tr>
        <w:tc>
          <w:tcPr/>
          <w:p>
            <w:pPr>
              <w:pStyle w:val="Compact"/>
            </w:pPr>
            <w:r>
              <w:t xml:space="preserve">PWr</w:t>
            </w:r>
          </w:p>
        </w:tc>
        <w:tc>
          <w:tcPr/>
          <w:p>
            <w:pPr>
              <w:pStyle w:val="Compact"/>
            </w:pPr>
            <w:r>
              <w:t xml:space="preserve">Politechnika Wrocławska / Wrocław University of Science and Technology</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SBERT</w:t>
            </w:r>
          </w:p>
        </w:tc>
        <w:tc>
          <w:tcPr/>
          <w:p>
            <w:pPr>
              <w:pStyle w:val="Compact"/>
            </w:pPr>
            <w:r>
              <w:t xml:space="preserve">Sentence-BERT</w:t>
            </w:r>
          </w:p>
        </w:tc>
      </w:tr>
      <w:tr>
        <w:tc>
          <w:tcPr/>
          <w:p>
            <w:pPr>
              <w:pStyle w:val="Compact"/>
            </w:pPr>
            <w:r>
              <w:t xml:space="preserve">SQL</w:t>
            </w:r>
          </w:p>
        </w:tc>
        <w:tc>
          <w:tcPr/>
          <w:p>
            <w:pPr>
              <w:pStyle w:val="Compact"/>
            </w:pPr>
            <w:r>
              <w:t xml:space="preserve">Structured Query Language</w:t>
            </w:r>
          </w:p>
        </w:tc>
      </w:tr>
      <w:tr>
        <w:tc>
          <w:tcPr/>
          <w:p>
            <w:pPr>
              <w:pStyle w:val="Compact"/>
            </w:pPr>
            <w:r>
              <w:t xml:space="preserve">TF–IDF</w:t>
            </w:r>
          </w:p>
        </w:tc>
        <w:tc>
          <w:tcPr/>
          <w:p>
            <w:pPr>
              <w:pStyle w:val="Compact"/>
            </w:pPr>
            <w:r>
              <w:t xml:space="preserve">Term Frequency–Inverse Document Frequency</w:t>
            </w:r>
          </w:p>
        </w:tc>
      </w:tr>
      <w:tr>
        <w:tc>
          <w:tcPr/>
          <w:p>
            <w:pPr>
              <w:pStyle w:val="Compact"/>
            </w:pPr>
            <w:r>
              <w:t xml:space="preserve">UI / UX</w:t>
            </w:r>
          </w:p>
        </w:tc>
        <w:tc>
          <w:tcPr/>
          <w:p>
            <w:pPr>
              <w:pStyle w:val="Compact"/>
            </w:pPr>
            <w:r>
              <w:t xml:space="preserve">User Interface / User Experience</w:t>
            </w:r>
          </w:p>
        </w:tc>
      </w:tr>
      <w:tr>
        <w:tc>
          <w:tcPr/>
          <w:p>
            <w:pPr>
              <w:pStyle w:val="Compact"/>
            </w:pPr>
            <w:r>
              <w:t xml:space="preserve">URL</w:t>
            </w:r>
          </w:p>
        </w:tc>
        <w:tc>
          <w:tcPr/>
          <w:p>
            <w:pPr>
              <w:pStyle w:val="Compact"/>
            </w:pPr>
            <w:r>
              <w:t xml:space="preserve">Uniform Resource Locator</w:t>
            </w:r>
          </w:p>
        </w:tc>
      </w:tr>
      <w:tr>
        <w:tc>
          <w:tcPr/>
          <w:p>
            <w:pPr>
              <w:pStyle w:val="Compact"/>
            </w:pPr>
            <w:r>
              <w:t xml:space="preserve">USOS-APD</w:t>
            </w:r>
          </w:p>
        </w:tc>
        <w:tc>
          <w:tcPr/>
          <w:p>
            <w:pPr>
              <w:pStyle w:val="Compact"/>
            </w:pPr>
            <w:r>
              <w:t xml:space="preserve">USOS Archive of Diploma Theses</w:t>
            </w:r>
          </w:p>
        </w:tc>
      </w:tr>
      <w:tr>
        <w:tc>
          <w:tcPr/>
          <w:p>
            <w:pPr>
              <w:pStyle w:val="Compact"/>
            </w:pPr>
            <w:r>
              <w:t xml:space="preserve">UUID</w:t>
            </w:r>
          </w:p>
        </w:tc>
        <w:tc>
          <w:tcPr/>
          <w:p>
            <w:pPr>
              <w:pStyle w:val="Compact"/>
            </w:pPr>
            <w:r>
              <w:t xml:space="preserve">Universally Unique Identifier</w:t>
            </w:r>
          </w:p>
        </w:tc>
      </w:tr>
      <w:tr>
        <w:tc>
          <w:tcPr/>
          <w:p>
            <w:pPr>
              <w:pStyle w:val="Compact"/>
            </w:pPr>
            <w:r>
              <w:t xml:space="preserve">WEFiM</w:t>
            </w:r>
          </w:p>
        </w:tc>
        <w:tc>
          <w:tcPr/>
          <w:p>
            <w:pPr>
              <w:pStyle w:val="Compact"/>
            </w:pPr>
            <w:r>
              <w:t xml:space="preserve">Faculty of Electronics, Photonics and Microsystems</w:t>
            </w:r>
          </w:p>
        </w:tc>
      </w:tr>
    </w:tbl>
    <w:bookmarkStart w:id="25" w:name="symbols-used-in-formulas-in-chapter-4"/>
    <w:p>
      <w:pPr>
        <w:pStyle w:val="Heading2"/>
      </w:pPr>
      <w:r>
        <w:t xml:space="preserve">Symbols (used in formulas in Chapter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i/>
                <w:iCs/>
              </w:rPr>
              <w:t xml:space="preserve">r</w:t>
            </w:r>
          </w:p>
        </w:tc>
        <w:tc>
          <w:tcPr/>
          <w:p>
            <w:pPr>
              <w:pStyle w:val="Compact"/>
            </w:pPr>
            <w:r>
              <w:t xml:space="preserve">Pearson correlation coefficient</w:t>
            </w:r>
          </w:p>
        </w:tc>
      </w:tr>
      <w:tr>
        <w:tc>
          <w:tcPr/>
          <w:p>
            <w:pPr>
              <w:pStyle w:val="Compact"/>
            </w:pPr>
            <w:r>
              <w:t xml:space="preserve">ρ, τ</w:t>
            </w:r>
          </w:p>
        </w:tc>
        <w:tc>
          <w:tcPr/>
          <w:p>
            <w:pPr>
              <w:pStyle w:val="Compact"/>
            </w:pPr>
            <w:r>
              <w:t xml:space="preserve">Spearman and Kendall rank-correlation coefficients</w:t>
            </w:r>
          </w:p>
        </w:tc>
      </w:tr>
      <w:tr>
        <w:tc>
          <w:tcPr/>
          <w:p>
            <w:pPr>
              <w:pStyle w:val="Compact"/>
            </w:pPr>
            <w:r>
              <w:rPr>
                <w:i/>
                <w:iCs/>
              </w:rPr>
              <w:t xml:space="preserve">k₁</w:t>
            </w:r>
            <w:r>
              <w:t xml:space="preserve">,</w:t>
            </w:r>
            <w:r>
              <w:t xml:space="preserve"> </w:t>
            </w:r>
            <w:r>
              <w:rPr>
                <w:i/>
                <w:iCs/>
              </w:rPr>
              <w:t xml:space="preserve">b</w:t>
            </w:r>
          </w:p>
        </w:tc>
        <w:tc>
          <w:tcPr/>
          <w:p>
            <w:pPr>
              <w:pStyle w:val="Compact"/>
            </w:pPr>
            <w:r>
              <w:t xml:space="preserve">BM25 term-frequency saturation and document-length normalisation parameters</w:t>
            </w:r>
          </w:p>
        </w:tc>
      </w:tr>
      <w:tr>
        <w:tc>
          <w:tcPr/>
          <w:p>
            <w:pPr>
              <w:pStyle w:val="Compact"/>
            </w:pPr>
            <w:r>
              <w:rPr>
                <w:i/>
                <w:iCs/>
              </w:rPr>
              <w:t xml:space="preserve">τ</w:t>
            </w:r>
          </w:p>
        </w:tc>
        <w:tc>
          <w:tcPr/>
          <w:p>
            <w:pPr>
              <w:pStyle w:val="Compact"/>
            </w:pPr>
            <w:r>
              <w:t xml:space="preserve">Fuzzy-matching similarity threshold</w:t>
            </w:r>
          </w:p>
        </w:tc>
      </w:tr>
      <w:tr>
        <w:tc>
          <w:tcPr/>
          <w:p>
            <w:pPr>
              <w:pStyle w:val="Compact"/>
            </w:pPr>
            <w:r>
              <w:t xml:space="preserve">idf(t)</w:t>
            </w:r>
          </w:p>
        </w:tc>
        <w:tc>
          <w:tcPr/>
          <w:p>
            <w:pPr>
              <w:pStyle w:val="Compact"/>
            </w:pPr>
            <w:r>
              <w:t xml:space="preserve">Inverse document frequency of term</w:t>
            </w:r>
            <w:r>
              <w:t xml:space="preserve"> </w:t>
            </w:r>
            <w:r>
              <w:rPr>
                <w:i/>
                <w:iCs/>
              </w:rPr>
              <w:t xml:space="preserve">t</w:t>
            </w:r>
          </w:p>
        </w:tc>
      </w:tr>
      <w:tr>
        <w:tc>
          <w:tcPr/>
          <w:p>
            <w:pPr>
              <w:pStyle w:val="Compact"/>
            </w:pPr>
            <w:r>
              <w:rPr>
                <w:i/>
                <w:iCs/>
              </w:rPr>
              <w:t xml:space="preserve">N</w:t>
            </w:r>
            <w:r>
              <w:t xml:space="preserve">,</w:t>
            </w:r>
            <w:r>
              <w:t xml:space="preserve"> </w:t>
            </w:r>
            <w:r>
              <w:rPr>
                <w:i/>
                <w:iCs/>
              </w:rPr>
              <w:t xml:space="preserve">M</w:t>
            </w:r>
          </w:p>
        </w:tc>
        <w:tc>
          <w:tcPr/>
          <w:p>
            <w:pPr>
              <w:pStyle w:val="Compact"/>
            </w:pPr>
            <w:r>
              <w:t xml:space="preserve">Number of resumes and number of job descriptions</w:t>
            </w:r>
          </w:p>
        </w:tc>
      </w:tr>
      <w:tr>
        <w:tc>
          <w:tcPr/>
          <w:p>
            <w:pPr>
              <w:pStyle w:val="Compact"/>
            </w:pPr>
            <w:r>
              <w:rPr>
                <w:i/>
                <w:iCs/>
              </w:rPr>
              <w:t xml:space="preserve">R</w:t>
            </w:r>
            <w:r>
              <w:t xml:space="preserve">,</w:t>
            </w:r>
            <w:r>
              <w:t xml:space="preserve"> </w:t>
            </w:r>
            <w:r>
              <w:rPr>
                <w:i/>
                <w:iCs/>
              </w:rPr>
              <w:t xml:space="preserve">J</w:t>
            </w:r>
          </w:p>
        </w:tc>
        <w:tc>
          <w:tcPr/>
          <w:p>
            <w:pPr>
              <w:pStyle w:val="Compact"/>
            </w:pPr>
            <w:r>
              <w:t xml:space="preserve">A single resume and a single job description</w:t>
            </w:r>
          </w:p>
        </w:tc>
      </w:tr>
      <w:tr>
        <w:tc>
          <w:tcPr/>
          <w:p>
            <w:pPr>
              <w:pStyle w:val="Compact"/>
            </w:pPr>
            <w:r>
              <w:rPr>
                <w:i/>
                <w:iCs/>
              </w:rPr>
              <w:t xml:space="preserve">K</w:t>
            </w:r>
            <w:r>
              <w:t xml:space="preserve">(·)</w:t>
            </w:r>
          </w:p>
        </w:tc>
        <w:tc>
          <w:tcPr/>
          <w:p>
            <w:pPr>
              <w:pStyle w:val="Compact"/>
            </w:pPr>
            <w:r>
              <w:t xml:space="preserve">Keyword extractor function</w:t>
            </w:r>
          </w:p>
        </w:tc>
      </w:tr>
    </w:tbl>
    <w:bookmarkEnd w:id="25"/>
    <w:bookmarkEnd w:id="26"/>
    <w:bookmarkStart w:id="33" w:name="chapter-1-introduction"/>
    <w:p>
      <w:pPr>
        <w:pStyle w:val="Heading1"/>
      </w:pPr>
      <w:r>
        <w:t xml:space="preserve">Chapter 1 — Introduction</w:t>
      </w:r>
    </w:p>
    <w:p>
      <w:pPr>
        <w:pStyle w:val="FirstParagraph"/>
      </w:pPr>
      <w: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pPr>
      <w:r>
        <w:t xml:space="preserve">A working candidate trying to answer those questions today typically uses a fragmented set of tools: a generic resume builder, a job board’s</w:t>
      </w:r>
      <w:r>
        <w:t xml:space="preserve"> </w:t>
      </w:r>
      <w:r>
        <w:t xml:space="preserve">“match score”</w:t>
      </w:r>
      <w: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pPr>
      <w: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pPr>
      <w:r>
        <w:t xml:space="preserve">1.1 The career decision problem</w:t>
      </w:r>
    </w:p>
    <w:p>
      <w:pPr>
        <w:pStyle w:val="FirstParagraph"/>
      </w:pPr>
      <w:r>
        <w:t xml:space="preserve">Career decision making combines three sub-problems.</w:t>
      </w:r>
      <w:r>
        <w:t xml:space="preserve"> </w:t>
      </w:r>
      <w:r>
        <w:rPr>
          <w:i/>
          <w:iCs/>
        </w:rPr>
        <w:t xml:space="preserve">Self-assessment</w:t>
      </w:r>
      <w:r>
        <w:t xml:space="preserve"> </w:t>
      </w:r>
      <w:r>
        <w:t xml:space="preserve">asks the candidate to describe skills, experience, and preferences in a machine-readable form.</w:t>
      </w:r>
      <w:r>
        <w:t xml:space="preserve"> </w:t>
      </w:r>
      <w:r>
        <w:rPr>
          <w:i/>
          <w:iCs/>
        </w:rPr>
        <w:t xml:space="preserve">Market alignment</w:t>
      </w:r>
      <w:r>
        <w:t xml:space="preserve"> </w:t>
      </w:r>
      <w:r>
        <w:t xml:space="preserve">asks how that profile compares with job descriptions.</w:t>
      </w:r>
      <w:r>
        <w:t xml:space="preserve"> </w:t>
      </w:r>
      <w:r>
        <w:rPr>
          <w:i/>
          <w:iCs/>
        </w:rPr>
        <w:t xml:space="preserve">Action planning</w:t>
      </w:r>
      <w:r>
        <w:t xml:space="preserve"> </w:t>
      </w:r>
      <w:r>
        <w:t xml:space="preserve">asks which changes, projects, or interview stories would improve the candidate’s position.</w:t>
      </w:r>
    </w:p>
    <w:p>
      <w:pPr>
        <w:pStyle w:val="BodyText"/>
      </w:pPr>
      <w: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pPr>
      <w: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pPr>
      <w:r>
        <w:t xml:space="preserve">1.2 AI-based recommendation systems for careers</w:t>
      </w:r>
    </w:p>
    <w:p>
      <w:pPr>
        <w:pStyle w:val="FirstParagraph"/>
      </w:pPr>
      <w: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pPr>
      <w:r>
        <w:t xml:space="preserve">CareerRec [15], for example, applies tree-based classifiers to 2,255 information-technology employee records and reports about 70% accuracy on career-path classification — a different task framing (single-label classification over a closed catalogue) and data surface (real IT-employee records) than the resume-to-job-description scoring problem evaluated in Chapter 4, which is why a head-to-head comparison is not pursued in the present thesis.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pPr>
      <w: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pPr>
      <w:r>
        <w:t xml:space="preserve">1.3 Resume parsing and job-description analysis</w:t>
      </w:r>
    </w:p>
    <w:p>
      <w:pPr>
        <w:pStyle w:val="FirstParagraph"/>
      </w:pPr>
      <w: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pPr>
      <w: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pPr>
      <w:r>
        <w:t xml:space="preserve">Job-description analysis is the demand-side counterpart. Recent work links job postings to standardised taxonomies such as ESCO, the European multilingual classification [8], and O*NET. This normalisation lets</w:t>
      </w:r>
      <w:r>
        <w:t xml:space="preserve"> </w:t>
      </w:r>
      <w:r>
        <w:t xml:space="preserve">“JavaScript”</w:t>
      </w:r>
      <w:r>
        <w:t xml:space="preserve">,</w:t>
      </w:r>
      <w:r>
        <w:t xml:space="preserve"> </w:t>
      </w:r>
      <w:r>
        <w:t xml:space="preserve">“JS”</w:t>
      </w:r>
      <w:r>
        <w:t xml:space="preserve">, and</w:t>
      </w:r>
      <w:r>
        <w:t xml:space="preserve"> </w:t>
      </w:r>
      <w:r>
        <w:t xml:space="preserve">“ECMAScript”</w:t>
      </w:r>
      <w:r>
        <w:t xml:space="preserve"> </w:t>
      </w:r>
      <w: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pPr>
      <w:r>
        <w:t xml:space="preserve">1.4 Heuristic and language-model scoring approaches</w:t>
      </w:r>
    </w:p>
    <w:p>
      <w:pPr>
        <w:pStyle w:val="FirstParagraph"/>
      </w:pPr>
      <w:r>
        <w:t xml:space="preserve">The central design tension addressed by this thesis is the choice between two families of methods for scoring the alignment between a resume and a job description.</w:t>
      </w:r>
    </w:p>
    <w:p>
      <w:pPr>
        <w:pStyle w:val="BodyText"/>
      </w:pPr>
      <w:r>
        <w:t xml:space="preserve">The first family is</w:t>
      </w:r>
      <w:r>
        <w:t xml:space="preserve"> </w:t>
      </w:r>
      <w:r>
        <w:rPr>
          <w:i/>
          <w:iCs/>
        </w:rPr>
        <w:t xml:space="preserve">heuristic</w:t>
      </w:r>
      <w:r>
        <w:t xml:space="preserve">: classical information-retrieval techniques that rely on statistical regularities of text. The foundational methods in this family,</w:t>
      </w:r>
      <w:r>
        <w:t xml:space="preserve"> </w:t>
      </w:r>
      <w:r>
        <w:rPr>
          <w:i/>
          <w:iCs/>
        </w:rPr>
        <w:t xml:space="preserve">TF–IDF</w:t>
      </w:r>
      <w:r>
        <w:t xml:space="preserve"> </w:t>
      </w:r>
      <w:r>
        <w:t xml:space="preserve">[5] and</w:t>
      </w:r>
      <w:r>
        <w:t xml:space="preserve"> </w:t>
      </w:r>
      <w:r>
        <w:rPr>
          <w:i/>
          <w:iCs/>
        </w:rPr>
        <w:t xml:space="preserve">BM25</w:t>
      </w:r>
      <w:r>
        <w:t xml:space="preserve"> </w:t>
      </w:r>
      <w:r>
        <w:t xml:space="preserve">[6], weight individual terms by how distinctive they are within a corpus, so that a rare technical skill counts for more than a common word. Fuzzy-matching algorithms based on the</w:t>
      </w:r>
      <w:r>
        <w:t xml:space="preserve"> </w:t>
      </w:r>
      <w:r>
        <w:rPr>
          <w:i/>
          <w:iCs/>
        </w:rPr>
        <w:t xml:space="preserve">Levenshtein edit distance</w:t>
      </w:r>
      <w:r>
        <w:t xml:space="preserve"> </w:t>
      </w:r>
      <w:r>
        <w:t xml:space="preserve">[7] absorb minor surface variation, allowing</w:t>
      </w:r>
      <w:r>
        <w:t xml:space="preserve"> </w:t>
      </w:r>
      <w:r>
        <w:t xml:space="preserve">“Postgres”</w:t>
      </w:r>
      <w:r>
        <w:t xml:space="preserve"> </w:t>
      </w:r>
      <w:r>
        <w:t xml:space="preserve">and</w:t>
      </w:r>
      <w:r>
        <w:t xml:space="preserve"> </w:t>
      </w:r>
      <w:r>
        <w:t xml:space="preserve">“PostgreSQL”</w:t>
      </w:r>
      <w:r>
        <w:t xml:space="preserve"> </w:t>
      </w:r>
      <w:r>
        <w:t xml:space="preserve">to register as the same term. Skill-taxonomy lookups against ESCO or O</w:t>
      </w:r>
      <w:r>
        <w:rPr>
          <w:i/>
          <w:iCs/>
        </w:rPr>
        <w:t xml:space="preserve">NET [8, 9] provide the normalisation step described in the previous section. Section-weighted feature extraction recognises that a skill listed in a dedicated</w:t>
      </w:r>
      <w:r>
        <w:rPr>
          <w:i/>
          <w:iCs/>
        </w:rPr>
        <w:t xml:space="preserve"> </w:t>
      </w:r>
      <w: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tens of milliseconds on commodity hardware. The defendable claim, supported by decades of information-retrieval research, is that these techniques</w:t>
      </w:r>
      <w:r>
        <w:t xml:space="preserve"> </w:t>
      </w:r>
      <w:r>
        <w:rPr>
          <w:i/>
          <w:iCs/>
        </w:rPr>
        <w:t xml:space="preserve">already</w:t>
      </w:r>
      <w:r>
        <w:t xml:space="preserve"> </w:t>
      </w:r>
      <w:r>
        <w:t xml:space="preserve">capture much of the lexical and structural evidence that automated screening systems extract during the first pass over a resume.</w:t>
      </w:r>
    </w:p>
    <w:p>
      <w:pPr>
        <w:pStyle w:val="BodyText"/>
      </w:pPr>
      <w:r>
        <w:t xml:space="preserve">The second family is</w:t>
      </w:r>
      <w:r>
        <w:t xml:space="preserve"> </w:t>
      </w:r>
      <w:r>
        <w:rPr>
          <w:i/>
          <w:iCs/>
        </w:rPr>
        <w:t xml:space="preserve">language-model</w:t>
      </w:r>
      <w:r>
        <w:t xml:space="preserve">: large-language-model (LLM) services that read the resume and the job description as natural language, reason over them, and emit structured output describing the alignment. Recent research shows that LLM-based agents can accelerate resume-screening workflows relative to manual review [16], while context-aware multi-agent systems produce explainable candidate assessments aligned against HR ratings [17]. A complementary semantic-modelling and feedback-loop architecture for resume enhancement is reported in [19]. Resume2Vec [18] documents improved resume/job-description ranking over conventional ATS baselines. The cost of these methods is a per-call charge to a third-party API, latency on the order of one to several seconds per analysis, and an opaque reasoning process that is difficult to audit.</w:t>
      </w:r>
    </w:p>
    <w:p>
      <w:pPr>
        <w:pStyle w:val="BodyText"/>
      </w:pPr>
      <w:r>
        <w:t xml:space="preserve">This dichotomy is the foundation of the comparative study reported in Chapter 4. The system described in this thesis exposes both modes through a single user-facing interface; an administrator can switch the analytical core between</w:t>
      </w:r>
      <w:r>
        <w:t xml:space="preserve"> </w:t>
      </w:r>
      <w:r>
        <w:rPr>
          <w:i/>
          <w:iCs/>
        </w:rPr>
        <w:t xml:space="preserve">fully heuristic</w:t>
      </w:r>
      <w:r>
        <w:t xml:space="preserve"> </w:t>
      </w:r>
      <w:r>
        <w:t xml:space="preserve">and</w:t>
      </w:r>
      <w:r>
        <w:t xml:space="preserve"> </w:t>
      </w:r>
      <w:r>
        <w:rPr>
          <w:i/>
          <w:iCs/>
        </w:rPr>
        <w:t xml:space="preserve">blended</w:t>
      </w:r>
      <w:r>
        <w:t xml:space="preserve"> </w:t>
      </w:r>
      <w:r>
        <w:t xml:space="preserve">(heuristic plus language model, weighted) at runtime, and the same input is then scored by both methods on demand. The research question is not whether one approach is universally better (both have well-understood failure modes) but rather:</w:t>
      </w:r>
      <w:r>
        <w:t xml:space="preserve"> </w:t>
      </w:r>
      <w:r>
        <w:rPr>
          <w:i/>
          <w:iCs/>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t xml:space="preserve"> </w:t>
      </w:r>
      <w:r>
        <w:t xml:space="preserve">The deliberately within-set framing is important; the benchmark and its construction limits are documented in Section 4.1.4.</w:t>
      </w:r>
    </w:p>
    <w:p>
      <w:pPr>
        <w:pStyle w:val="BodyText"/>
      </w:pPr>
      <w: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t xml:space="preserve"> </w:t>
      </w:r>
      <w:r>
        <w:rPr>
          <w:i/>
          <w:iCs/>
        </w:rPr>
        <w:t xml:space="preserve">after</w:t>
      </w:r>
      <w:r>
        <w:t xml:space="preserve"> </w:t>
      </w:r>
      <w: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pPr>
      <w: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pPr>
      <w:r>
        <w:t xml:space="preserve">The dual-mode design followed from a more pragmatic motivation than would have been predicted at project start. The</w:t>
      </w:r>
      <w:r>
        <w:t xml:space="preserve"> </w:t>
      </w:r>
      <w:r>
        <w:rPr>
          <w:i/>
          <w:iCs/>
        </w:rPr>
        <w:t xml:space="preserve">retry-with-jitter</w:t>
      </w:r>
      <w:r>
        <w:t xml:space="preserve"> </w:t>
      </w:r>
      <w: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t xml:space="preserve"> </w:t>
      </w:r>
      <w:r>
        <w:rPr>
          <w:i/>
          <w:iCs/>
        </w:rPr>
        <w:t xml:space="preserve">fallback policy</w:t>
      </w:r>
      <w:r>
        <w:t xml:space="preserve"> </w:t>
      </w:r>
      <w: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pPr>
      <w:r>
        <w:t xml:space="preserve">1.5 Purpose of the thesis</w:t>
      </w:r>
    </w:p>
    <w:p>
      <w:pPr>
        <w:pStyle w:val="FirstParagraph"/>
      </w:pPr>
      <w: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pPr>
      <w:r>
        <w:t xml:space="preserve">The scope follows the application approved in the</w:t>
      </w:r>
      <w:r>
        <w:t xml:space="preserve"> </w:t>
      </w:r>
      <w:r>
        <w:rPr>
          <w:i/>
          <w:iCs/>
        </w:rPr>
        <w:t xml:space="preserve">Archive of Diploma Theses</w:t>
      </w:r>
      <w:r>
        <w:t xml:space="preserve"> </w:t>
      </w:r>
      <w:r>
        <w:t xml:space="preserve">on 3 February 2026 and has two aspects.</w:t>
      </w:r>
    </w:p>
    <w:p>
      <w:pPr>
        <w:pStyle w:val="BodyText"/>
      </w:pPr>
      <w:r>
        <w:t xml:space="preserve">The</w:t>
      </w:r>
      <w:r>
        <w:t xml:space="preserve"> </w:t>
      </w:r>
      <w:r>
        <w:rPr>
          <w:b/>
          <w:bCs/>
        </w:rPr>
        <w:t xml:space="preserve">engineering aspect</w:t>
      </w:r>
      <w:r>
        <w:t xml:space="preserve"> </w:t>
      </w:r>
      <w: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pPr>
      <w:r>
        <w:t xml:space="preserve">The</w:t>
      </w:r>
      <w:r>
        <w:t xml:space="preserve"> </w:t>
      </w:r>
      <w:r>
        <w:rPr>
          <w:b/>
          <w:bCs/>
        </w:rPr>
        <w:t xml:space="preserve">research aspect</w:t>
      </w:r>
      <w:r>
        <w:t xml:space="preserve"> </w:t>
      </w:r>
      <w: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spanning six role tracks using score agreement, distribution shape, latency, and per-call cost.</w:t>
      </w:r>
    </w:p>
    <w:p>
      <w:pPr>
        <w:pStyle w:val="BodyText"/>
      </w:pPr>
      <w: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pPr>
      <w: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pPr>
      <w: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pPr>
      <w:r>
        <w:t xml:space="preserve">1.6 Structure of the thesis</w:t>
      </w:r>
    </w:p>
    <w:p>
      <w:pPr>
        <w:pStyle w:val="FirstParagraph"/>
      </w:pPr>
      <w:r>
        <w:t xml:space="preserve">Chapter 2 describes the system architecture: requirements, technology stack, backend layering, frontend routing and state, persistence, security, and Railway deployment.</w:t>
      </w:r>
    </w:p>
    <w:p>
      <w:pPr>
        <w:pStyle w:val="BodyText"/>
      </w:pPr>
      <w:r>
        <w:t xml:space="preserve">Chapter 3 describes the six tools and the shared implementation patterns:</w:t>
      </w:r>
      <w:r>
        <w:t xml:space="preserve"> </w:t>
      </w:r>
      <w:r>
        <w:rPr>
          <w:rStyle w:val="VerbatimChar"/>
        </w:rPr>
        <w:t xml:space="preserve">run_tool_pipeline</w:t>
      </w:r>
      <w:r>
        <w:t xml:space="preserve">, prompt construction, structured-output validation, caching, retry behaviour, and heuristic fallback.</w:t>
      </w:r>
    </w:p>
    <w:p>
      <w:pPr>
        <w:pStyle w:val="BodyText"/>
      </w:pPr>
      <w:r>
        <w:t xml:space="preserve">Chapter 4 presents the comparative study. It defines the synthetic dataset and controls, specifies the strong heuristic v2, reports agreement, distribution, latency, cost, and ablation results, and discusses limitations.</w:t>
      </w:r>
    </w:p>
    <w:p>
      <w:pPr>
        <w:pStyle w:val="BodyText"/>
      </w:pPr>
      <w:r>
        <w:t xml:space="preserve">Chapter 5 concludes the thesis by summarising the engineering and empirical contributions, restating the limitations, and identifying four future-work directions: Polish-language coverage, a sentence-transformer intermediate tier [20, 21], retrieval-augmented grounding for LLM outputs [25], and a Redis-backed shared cache.</w:t>
      </w:r>
    </w:p>
    <w:p>
      <w:pPr>
        <w:pStyle w:val="BodyText"/>
      </w:pPr>
      <w: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pPr>
      <w:r>
        <w:t xml:space="preserve">Chapter 2 — System architecture</w:t>
      </w:r>
    </w:p>
    <w:p>
      <w:pPr>
        <w:pStyle w:val="FirstParagraph"/>
      </w:pPr>
      <w: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pPr>
      <w:r>
        <w:t xml:space="preserve">2.1 Functional and non-functional requirements</w:t>
      </w:r>
    </w:p>
    <w:p>
      <w:pPr>
        <w:pStyle w:val="FirstParagraph"/>
      </w:pPr>
      <w: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pPr>
      <w:r>
        <w:t xml:space="preserve">2.1.1 Functional requirements</w:t>
      </w:r>
    </w:p>
    <w:p>
      <w:pPr>
        <w:pStyle w:val="FirstParagraph"/>
      </w:pPr>
      <w:r>
        <w:t xml:space="preserve">The functional requirements are summarised in Table 2.1; each row corresponds to one of the six user-facing tools whose implementation is described in Chapter 3.</w:t>
      </w:r>
    </w:p>
    <w:p>
      <w:pPr>
        <w:pStyle w:val="BodyText"/>
      </w:pPr>
      <w:r>
        <w:rPr>
          <w:i/>
          <w:iCs/>
        </w:rPr>
        <w:t xml:space="preserve">Table 2.1: Functional requirements F1–F6, one per user-facing tool.</w:t>
      </w:r>
    </w:p>
    <w:tbl>
      <w:tblPr>
        <w:tblStyle w:val="Table"/>
        <w:tblW w:type="pct" w:w="5000"/>
        <w:tblLayout w:type="fixed"/>
        <w:tblLook w:firstRow="1" w:lastRow="0" w:firstColumn="0" w:lastColumn="0" w:noHBand="0" w:noVBand="0" w:val="0020"/>
      </w:tblPr>
      <w:tblGrid>
        <w:gridCol w:w="1056"/>
        <w:gridCol w:w="1584"/>
        <w:gridCol w:w="5280"/>
      </w:tblGrid>
      <w:tr>
        <w:trPr>
          <w:tblHeader w:val="on"/>
        </w:trPr>
        <w:tc>
          <w:tcPr/>
          <w:p>
            <w:pPr>
              <w:pStyle w:val="Compact"/>
            </w:pPr>
            <w:r>
              <w:t xml:space="preserve">ID</w:t>
            </w:r>
          </w:p>
        </w:tc>
        <w:tc>
          <w:tcPr/>
          <w:p>
            <w:pPr>
              <w:pStyle w:val="Compact"/>
            </w:pPr>
            <w:r>
              <w:t xml:space="preserve">Tool</w:t>
            </w:r>
          </w:p>
        </w:tc>
        <w:tc>
          <w:tcPr/>
          <w:p>
            <w:pPr>
              <w:pStyle w:val="Compact"/>
            </w:pPr>
            <w:r>
              <w:t xml:space="preserve">Required behaviour</w:t>
            </w:r>
          </w:p>
        </w:tc>
      </w:tr>
      <w:tr>
        <w:tc>
          <w:tcPr/>
          <w:p>
            <w:pPr>
              <w:pStyle w:val="Compact"/>
            </w:pPr>
            <w:r>
              <w:t xml:space="preserve">F1</w:t>
            </w:r>
          </w:p>
        </w:tc>
        <w:tc>
          <w:tcPr/>
          <w:p>
            <w:pPr>
              <w:pStyle w:val="Compact"/>
            </w:pPr>
            <w:r>
              <w:t xml:space="preserve">Resume Analyzer</w:t>
            </w:r>
          </w:p>
        </w:tc>
        <w:tc>
          <w:tcPr/>
          <w:p>
            <w:pPr>
              <w:pStyle w:val="Compact"/>
            </w:pPr>
            <w:r>
              <w:t xml:space="preserve">Accept a free-text or uploaded resume, return a structured assessment with overall score, per-category sub-scores, identified issues, prioritised actions, and detected strengths.</w:t>
            </w:r>
          </w:p>
        </w:tc>
      </w:tr>
      <w:tr>
        <w:tc>
          <w:tcPr/>
          <w:p>
            <w:pPr>
              <w:pStyle w:val="Compact"/>
            </w:pPr>
            <w:r>
              <w:t xml:space="preserve">F2</w:t>
            </w:r>
          </w:p>
        </w:tc>
        <w:tc>
          <w:tcPr/>
          <w:p>
            <w:pPr>
              <w:pStyle w:val="Compact"/>
            </w:pPr>
            <w:r>
              <w:t xml:space="preserve">Job Match</w:t>
            </w:r>
          </w:p>
        </w:tc>
        <w:tc>
          <w:tcPr/>
          <w:p>
            <w:pPr>
              <w:pStyle w:val="Compact"/>
            </w:pPr>
            <w:r>
              <w:t xml:space="preserve">Accept a resume and a job description (text or URL), return a match score, matched keywords, missing keywords, a recruiter-style verdict, and a list of evidence-grounded action items.</w:t>
            </w:r>
          </w:p>
        </w:tc>
      </w:tr>
      <w:tr>
        <w:tc>
          <w:tcPr/>
          <w:p>
            <w:pPr>
              <w:pStyle w:val="Compact"/>
            </w:pPr>
            <w:r>
              <w:t xml:space="preserve">F3</w:t>
            </w:r>
          </w:p>
        </w:tc>
        <w:tc>
          <w:tcPr/>
          <w:p>
            <w:pPr>
              <w:pStyle w:val="Compact"/>
            </w:pPr>
            <w:r>
              <w:t xml:space="preserve">Career Path</w:t>
            </w:r>
          </w:p>
        </w:tc>
        <w:tc>
          <w:tcPr/>
          <w:p>
            <w:pPr>
              <w:pStyle w:val="Compact"/>
            </w:pPr>
            <w:r>
              <w:t xml:space="preserve">Accept a resume and optional preferences, return a ranked list of suggested career paths with rationale, requisite skills, and a notional progression timeline.</w:t>
            </w:r>
          </w:p>
        </w:tc>
      </w:tr>
      <w:tr>
        <w:tc>
          <w:tcPr/>
          <w:p>
            <w:pPr>
              <w:pStyle w:val="Compact"/>
            </w:pPr>
            <w:r>
              <w:t xml:space="preserve">F4</w:t>
            </w:r>
          </w:p>
        </w:tc>
        <w:tc>
          <w:tcPr/>
          <w:p>
            <w:pPr>
              <w:pStyle w:val="Compact"/>
            </w:pPr>
            <w:r>
              <w:t xml:space="preserve">Cover Letter</w:t>
            </w:r>
          </w:p>
        </w:tc>
        <w:tc>
          <w:tcPr/>
          <w:p>
            <w:pPr>
              <w:pStyle w:val="Compact"/>
            </w:pPr>
            <w:r>
              <w:t xml:space="preserve">Accept a resume and a job description, return a tailored cover letter with explicit structural sections that the user can copy and adapt.</w:t>
            </w:r>
          </w:p>
        </w:tc>
      </w:tr>
      <w:tr>
        <w:tc>
          <w:tcPr/>
          <w:p>
            <w:pPr>
              <w:pStyle w:val="Compact"/>
            </w:pPr>
            <w:r>
              <w:t xml:space="preserve">F5</w:t>
            </w:r>
          </w:p>
        </w:tc>
        <w:tc>
          <w:tcPr/>
          <w:p>
            <w:pPr>
              <w:pStyle w:val="Compact"/>
            </w:pPr>
            <w:r>
              <w:t xml:space="preserve">Interview Q&amp;A</w:t>
            </w:r>
          </w:p>
        </w:tc>
        <w:tc>
          <w:tcPr/>
          <w:p>
            <w:pPr>
              <w:pStyle w:val="Compact"/>
            </w:pPr>
            <w:r>
              <w:t xml:space="preserve">Accept a resume and a job description, return a curated list of likely interview questions clustered by category (behavioural, technical, role-specific), each with a coaching note.</w:t>
            </w:r>
          </w:p>
        </w:tc>
      </w:tr>
      <w:tr>
        <w:tc>
          <w:tcPr/>
          <w:p>
            <w:pPr>
              <w:pStyle w:val="Compact"/>
            </w:pPr>
            <w:r>
              <w:t xml:space="preserve">F6</w:t>
            </w:r>
          </w:p>
        </w:tc>
        <w:tc>
          <w:tcPr/>
          <w:p>
            <w:pPr>
              <w:pStyle w:val="Compact"/>
            </w:pPr>
            <w:r>
              <w:t xml:space="preserve">Portfolio Planner</w:t>
            </w:r>
          </w:p>
        </w:tc>
        <w:tc>
          <w:tcPr/>
          <w:p>
            <w:pPr>
              <w:pStyle w:val="Compact"/>
            </w:pPr>
            <w:r>
              <w:t xml:space="preserve">Accept a resume and a target role, return a prioritised list of skill gaps and concrete artefact ideas (project briefs, contributions, certifications) that would close those gaps.</w:t>
            </w:r>
          </w:p>
        </w:tc>
      </w:tr>
    </w:tbl>
    <w:p>
      <w:pPr>
        <w:pStyle w:val="BodyText"/>
      </w:pPr>
      <w: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pPr>
      <w:r>
        <w:t xml:space="preserve">2.1.2 Non-functional requirements</w:t>
      </w:r>
    </w:p>
    <w:p>
      <w:pPr>
        <w:pStyle w:val="FirstParagraph"/>
      </w:pPr>
      <w:r>
        <w:t xml:space="preserve">The non-functional requirements were derived from the practical constraints of a single-developer, thesis-scoped deployment.</w:t>
      </w:r>
    </w:p>
    <w:p>
      <w:pPr>
        <w:pStyle w:val="Compact"/>
        <w:numPr>
          <w:ilvl w:val="0"/>
          <w:numId w:val="1001"/>
        </w:numPr>
      </w:pPr>
      <w:r>
        <w:rPr>
          <w:b/>
          <w:bCs/>
        </w:rPr>
        <w:t xml:space="preserve">N1 (Latency).</w:t>
      </w:r>
      <w:r>
        <w:t xml:space="preserve"> </w:t>
      </w:r>
      <w:r>
        <w:t xml:space="preserve">Two targets are stated separately because the analytical core supports two scoring modes (Section 4.2.9) whose cost models differ by two orders of magnitude.</w:t>
      </w:r>
    </w:p>
    <w:p>
      <w:pPr>
        <w:pStyle w:val="Compact"/>
        <w:numPr>
          <w:ilvl w:val="1"/>
          <w:numId w:val="1002"/>
        </w:numPr>
      </w:pPr>
      <w:r>
        <w:rPr>
          <w:b/>
          <w:bCs/>
        </w:rPr>
        <w:t xml:space="preserve">N1a (heuristic-only path):</w:t>
      </w:r>
      <w:r>
        <w:t xml:space="preserve"> </w:t>
      </w:r>
      <w:r>
        <w:t xml:space="preserve">end-to-end tool latency at the 95th percentile under nominal load should remain below 50 ms; everything in the path is local string processing on commodity hardware.</w:t>
      </w:r>
    </w:p>
    <w:p>
      <w:pPr>
        <w:pStyle w:val="Compact"/>
        <w:numPr>
          <w:ilvl w:val="1"/>
          <w:numId w:val="1002"/>
        </w:numPr>
      </w:pPr>
      <w:r>
        <w:rPr>
          <w:b/>
          <w:bCs/>
        </w:rPr>
        <w:t xml:space="preserve">N1b (blended LLM path):</w:t>
      </w:r>
      <w:r>
        <w:t xml:space="preserve"> </w:t>
      </w:r>
      <w: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pPr>
      <w:r>
        <w:rPr>
          <w:b/>
          <w:bCs/>
        </w:rPr>
        <w:t xml:space="preserve">N2 (Cost ceiling).</w:t>
      </w:r>
      <w:r>
        <w:t xml:space="preserve"> </w:t>
      </w:r>
      <w: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pPr>
      <w:r>
        <w:rPr>
          <w:b/>
          <w:bCs/>
        </w:rPr>
        <w:t xml:space="preserve">N3 (Availability).</w:t>
      </w:r>
      <w:r>
        <w:t xml:space="preserve"> </w:t>
      </w:r>
      <w:r>
        <w:t xml:space="preserve">A degraded but useful service is preferred over a hard failure. When the LLM call fails or times out, analytical tools (Resume, Job Match) fall back to a heuristic-only response and surface a</w:t>
      </w:r>
      <w:r>
        <w:t xml:space="preserve"> </w:t>
      </w:r>
      <w:r>
        <w:rPr>
          <w:rStyle w:val="VerbatimChar"/>
        </w:rPr>
        <w:t xml:space="preserve">confidence_note</w:t>
      </w:r>
      <w:r>
        <w:t xml:space="preserve"> </w:t>
      </w:r>
      <w:r>
        <w:t xml:space="preserve">to the user. Generative tools (Cover Letter, Interview Q&amp;A) fail loudly with a structured error rather than producing fabricated content.</w:t>
      </w:r>
    </w:p>
    <w:p>
      <w:pPr>
        <w:pStyle w:val="Compact"/>
        <w:numPr>
          <w:ilvl w:val="0"/>
          <w:numId w:val="1001"/>
        </w:numPr>
      </w:pPr>
      <w:r>
        <w:rPr>
          <w:b/>
          <w:bCs/>
        </w:rPr>
        <w:t xml:space="preserve">N4 (Auditability).</w:t>
      </w:r>
      <w:r>
        <w:t xml:space="preserve"> </w:t>
      </w:r>
      <w: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pPr>
      <w:r>
        <w:rPr>
          <w:b/>
          <w:bCs/>
        </w:rPr>
        <w:t xml:space="preserve">N5 (Privacy).</w:t>
      </w:r>
      <w:r>
        <w:t xml:space="preserve"> </w:t>
      </w:r>
      <w: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pPr>
      <w:r>
        <w:rPr>
          <w:b/>
          <w:bCs/>
        </w:rPr>
        <w:t xml:space="preserve">N6 (Single deployment surface).</w:t>
      </w:r>
      <w:r>
        <w:t xml:space="preserve"> </w:t>
      </w:r>
      <w: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pPr>
      <w:r>
        <w:rPr>
          <w:b/>
          <w:bCs/>
        </w:rPr>
        <w:t xml:space="preserve">N7 (Demonstrability).</w:t>
      </w:r>
      <w:r>
        <w:t xml:space="preserve"> </w:t>
      </w:r>
      <w: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pPr>
      <w: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pPr>
      <w:r>
        <w:t xml:space="preserve">2.2 Technology stack and rationale</w:t>
      </w:r>
    </w:p>
    <w:p>
      <w:pPr>
        <w:pStyle w:val="FirstParagraph"/>
      </w:pPr>
      <w:r>
        <w:t xml:space="preserve">The technology stack is summarised in Table 2.2.</w:t>
      </w:r>
    </w:p>
    <w:p>
      <w:pPr>
        <w:pStyle w:val="BodyText"/>
      </w:pPr>
      <w:r>
        <w:rPr>
          <w:i/>
          <w:iCs/>
        </w:rPr>
        <w:t xml:space="preserve">Table 2.2: System technology stack. Rationale entries record the specific property of each choice that makes it suitable for the thesis-scope deployment.</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Backend framework</w:t>
            </w:r>
          </w:p>
        </w:tc>
        <w:tc>
          <w:tcPr/>
          <w:p>
            <w:pPr>
              <w:pStyle w:val="Compact"/>
            </w:pPr>
            <w:r>
              <w:t xml:space="preserve">FastAPI 0.115</w:t>
            </w:r>
          </w:p>
        </w:tc>
        <w:tc>
          <w:tcPr/>
          <w:p>
            <w:pPr>
              <w:pStyle w:val="Compact"/>
            </w:pPr>
            <w:r>
              <w:t xml:space="preserve">Python-native, asynchronous, automatic OpenAPI generation, Pydantic-driven schema validation.</w:t>
            </w:r>
          </w:p>
        </w:tc>
      </w:tr>
      <w:tr>
        <w:tc>
          <w:tcPr/>
          <w:p>
            <w:pPr>
              <w:pStyle w:val="Compact"/>
            </w:pPr>
            <w:r>
              <w:t xml:space="preserve">ORM and migrations</w:t>
            </w:r>
          </w:p>
        </w:tc>
        <w:tc>
          <w:tcPr/>
          <w:p>
            <w:pPr>
              <w:pStyle w:val="Compact"/>
            </w:pPr>
            <w:r>
              <w:t xml:space="preserve">SQLAlchemy 2.0 + Alembic</w:t>
            </w:r>
          </w:p>
        </w:tc>
        <w:tc>
          <w:tcPr/>
          <w:p>
            <w:pPr>
              <w:pStyle w:val="Compact"/>
            </w:pPr>
            <w:r>
              <w:t xml:space="preserve">Mature, type-safe in 2.0, integrates with FastAPI’s dependency injection.</w:t>
            </w:r>
          </w:p>
        </w:tc>
      </w:tr>
      <w:tr>
        <w:tc>
          <w:tcPr/>
          <w:p>
            <w:pPr>
              <w:pStyle w:val="Compact"/>
            </w:pPr>
            <w:r>
              <w:t xml:space="preserve">Database</w:t>
            </w:r>
          </w:p>
        </w:tc>
        <w:tc>
          <w:tcPr/>
          <w:p>
            <w:pPr>
              <w:pStyle w:val="Compact"/>
            </w:pPr>
            <w:r>
              <w:t xml:space="preserve">PostgreSQL 16 (Railway managed)</w:t>
            </w:r>
          </w:p>
        </w:tc>
        <w:tc>
          <w:tcPr/>
          <w:p>
            <w:pPr>
              <w:pStyle w:val="Compact"/>
            </w:pPr>
            <w:r>
              <w:t xml:space="preserve">Single-node managed Postgres is sufficient for the workload; no sharding required.</w:t>
            </w:r>
          </w:p>
        </w:tc>
      </w:tr>
      <w:tr>
        <w:tc>
          <w:tcPr/>
          <w:p>
            <w:pPr>
              <w:pStyle w:val="Compact"/>
            </w:pPr>
            <w:r>
              <w:t xml:space="preserve">LLM provider</w:t>
            </w:r>
          </w:p>
        </w:tc>
        <w:tc>
          <w:tcPr/>
          <w:p>
            <w:pPr>
              <w:pStyle w:val="Compact"/>
            </w:pPr>
            <w:r>
              <w:t xml:space="preserve">Google Vertex AI Gemini 2.5 Flash</w:t>
            </w:r>
          </w:p>
        </w:tc>
        <w:tc>
          <w:tcPr/>
          <w:p>
            <w:pPr>
              <w:pStyle w:val="Compact"/>
            </w:pPr>
            <w:r>
              <w:t xml:space="preserve">Lowest cost per 1 M tokens in the production-quality tier at the time of selection; native asynchronous client; reliable structured-output mode.</w:t>
            </w:r>
          </w:p>
        </w:tc>
      </w:tr>
      <w:tr>
        <w:tc>
          <w:tcPr/>
          <w:p>
            <w:pPr>
              <w:pStyle w:val="Compact"/>
            </w:pPr>
            <w:r>
              <w:t xml:space="preserve">Frontend framework</w:t>
            </w:r>
          </w:p>
        </w:tc>
        <w:tc>
          <w:tcPr/>
          <w:p>
            <w:pPr>
              <w:pStyle w:val="Compact"/>
            </w:pPr>
            <w:r>
              <w:t xml:space="preserve">React 19</w:t>
            </w:r>
          </w:p>
        </w:tc>
        <w:tc>
          <w:tcPr/>
          <w:p>
            <w:pPr>
              <w:pStyle w:val="Compact"/>
            </w:pPr>
            <w:r>
              <w:t xml:space="preserve">Concurrent rendering, automatic batching, and the most mature component ecosystem.</w:t>
            </w:r>
          </w:p>
        </w:tc>
      </w:tr>
      <w:tr>
        <w:tc>
          <w:tcPr/>
          <w:p>
            <w:pPr>
              <w:pStyle w:val="Compact"/>
            </w:pPr>
            <w:r>
              <w:t xml:space="preserve">Routing</w:t>
            </w:r>
          </w:p>
        </w:tc>
        <w:tc>
          <w:tcPr/>
          <w:p>
            <w:pPr>
              <w:pStyle w:val="Compact"/>
            </w:pPr>
            <w:r>
              <w:t xml:space="preserve">TanStack Router via TanStack Start</w:t>
            </w:r>
          </w:p>
        </w:tc>
        <w:tc>
          <w:tcPr/>
          <w:p>
            <w:pPr>
              <w:pStyle w:val="Compact"/>
            </w:pPr>
            <w:r>
              <w:t xml:space="preserve">File-based routes, type-safe links, search-param state co-location.</w:t>
            </w:r>
          </w:p>
        </w:tc>
      </w:tr>
      <w:tr>
        <w:tc>
          <w:tcPr/>
          <w:p>
            <w:pPr>
              <w:pStyle w:val="Compact"/>
            </w:pPr>
            <w:r>
              <w:t xml:space="preserve">Build tool</w:t>
            </w:r>
          </w:p>
        </w:tc>
        <w:tc>
          <w:tcPr/>
          <w:p>
            <w:pPr>
              <w:pStyle w:val="Compact"/>
            </w:pPr>
            <w:r>
              <w:t xml:space="preserve">Vite 7</w:t>
            </w:r>
          </w:p>
        </w:tc>
        <w:tc>
          <w:tcPr/>
          <w:p>
            <w:pPr>
              <w:pStyle w:val="Compact"/>
            </w:pPr>
            <w:r>
              <w:t xml:space="preserve">Sub-second hot module replacement during development.</w:t>
            </w:r>
          </w:p>
        </w:tc>
      </w:tr>
      <w:tr>
        <w:tc>
          <w:tcPr/>
          <w:p>
            <w:pPr>
              <w:pStyle w:val="Compact"/>
            </w:pPr>
            <w:r>
              <w:t xml:space="preserve">Styling</w:t>
            </w:r>
          </w:p>
        </w:tc>
        <w:tc>
          <w:tcPr/>
          <w:p>
            <w:pPr>
              <w:pStyle w:val="Compact"/>
            </w:pPr>
            <w:r>
              <w:t xml:space="preserve">Tailwind 4 + Radix UI primitives</w:t>
            </w:r>
          </w:p>
        </w:tc>
        <w:tc>
          <w:tcPr/>
          <w:p>
            <w:pPr>
              <w:pStyle w:val="Compact"/>
            </w:pPr>
            <w:r>
              <w:t xml:space="preserve">Utility-first CSS without a parallel design-token system; Radix provides accessibility-correct primitives for menus, dialogs, and toggles.</w:t>
            </w:r>
          </w:p>
        </w:tc>
      </w:tr>
      <w:tr>
        <w:tc>
          <w:tcPr/>
          <w:p>
            <w:pPr>
              <w:pStyle w:val="Compact"/>
            </w:pPr>
            <w:r>
              <w:t xml:space="preserve">Animation</w:t>
            </w:r>
          </w:p>
        </w:tc>
        <w:tc>
          <w:tcPr/>
          <w:p>
            <w:pPr>
              <w:pStyle w:val="Compact"/>
            </w:pPr>
            <w:r>
              <w:t xml:space="preserve">Framer Motion</w:t>
            </w:r>
          </w:p>
        </w:tc>
        <w:tc>
          <w:tcPr/>
          <w:p>
            <w:pPr>
              <w:pStyle w:val="Compact"/>
            </w:pPr>
            <w:r>
              <w:t xml:space="preserve">Declarative timeline animations for the input page heroes.</w:t>
            </w:r>
          </w:p>
        </w:tc>
      </w:tr>
      <w:tr>
        <w:tc>
          <w:tcPr/>
          <w:p>
            <w:pPr>
              <w:pStyle w:val="Compact"/>
            </w:pPr>
            <w:r>
              <w:t xml:space="preserve">Authentication</w:t>
            </w:r>
          </w:p>
        </w:tc>
        <w:tc>
          <w:tcPr/>
          <w:p>
            <w:pPr>
              <w:pStyle w:val="Compact"/>
            </w:pPr>
            <w:r>
              <w:t xml:space="preserve">JWT in HttpOnly cookies + Google OAuth (authlib)</w:t>
            </w:r>
          </w:p>
        </w:tc>
        <w:tc>
          <w:tcPr/>
          <w:p>
            <w:pPr>
              <w:pStyle w:val="Compact"/>
            </w:pPr>
            <w:r>
              <w:t xml:space="preserve">No client-readable tokens; standard refresh-rotation pattern.</w:t>
            </w:r>
          </w:p>
        </w:tc>
      </w:tr>
      <w:tr>
        <w:tc>
          <w:tcPr/>
          <w:p>
            <w:pPr>
              <w:pStyle w:val="Compact"/>
            </w:pPr>
            <w:r>
              <w:t xml:space="preserve">Transactional email</w:t>
            </w:r>
          </w:p>
        </w:tc>
        <w:tc>
          <w:tcPr/>
          <w:p>
            <w:pPr>
              <w:pStyle w:val="Compact"/>
            </w:pPr>
            <w:r>
              <w:t xml:space="preserve">Resend</w:t>
            </w:r>
          </w:p>
        </w:tc>
        <w:tc>
          <w:tcPr/>
          <w:p>
            <w:pPr>
              <w:pStyle w:val="Compact"/>
            </w:pPr>
            <w:r>
              <w:t xml:space="preserve">Used only for password-reset emails (no welcome or marketing email is sent in V1).</w:t>
            </w:r>
          </w:p>
        </w:tc>
      </w:tr>
      <w:tr>
        <w:tc>
          <w:tcPr/>
          <w:p>
            <w:pPr>
              <w:pStyle w:val="Compact"/>
            </w:pPr>
            <w:r>
              <w:t xml:space="preserve">Hosting</w:t>
            </w:r>
          </w:p>
        </w:tc>
        <w:tc>
          <w:tcPr/>
          <w:p>
            <w:pPr>
              <w:pStyle w:val="Compact"/>
            </w:pPr>
            <w:r>
              <w:t xml:space="preserve">Railway (backend, frontend, Postgres)</w:t>
            </w:r>
          </w:p>
        </w:tc>
        <w:tc>
          <w:tcPr/>
          <w:p>
            <w:pPr>
              <w:pStyle w:val="Compact"/>
            </w:pPr>
            <w:r>
              <w:t xml:space="preserve">Single dashboard, single billing relationship, native GitHub deploy hooks.</w:t>
            </w:r>
          </w:p>
        </w:tc>
      </w:tr>
      <w:tr>
        <w:tc>
          <w:tcPr/>
          <w:p>
            <w:pPr>
              <w:pStyle w:val="Compact"/>
            </w:pPr>
            <w:r>
              <w:t xml:space="preserve">Observability</w:t>
            </w:r>
          </w:p>
        </w:tc>
        <w:tc>
          <w:tcPr/>
          <w:p>
            <w:pPr>
              <w:pStyle w:val="Compact"/>
            </w:pPr>
            <w:r>
              <w:t xml:space="preserve">Railway built-in metrics + Sentry free tier</w:t>
            </w:r>
          </w:p>
        </w:tc>
        <w:tc>
          <w:tcPr/>
          <w:p>
            <w:pPr>
              <w:pStyle w:val="Compact"/>
            </w:pPr>
            <w:r>
              <w:t xml:space="preserve">Sufficient for thesis-scope traffic; can be extended to a paid tier without code changes.</w:t>
            </w:r>
          </w:p>
        </w:tc>
      </w:tr>
    </w:tbl>
    <w:p>
      <w:pPr>
        <w:pStyle w:val="BodyText"/>
      </w:pPr>
      <w:r>
        <w:t xml:space="preserve">Two stack decisions deserve explicit defence because either could plausibly have been made differently.</w:t>
      </w:r>
    </w:p>
    <w:p>
      <w:pPr>
        <w:pStyle w:val="BodyText"/>
      </w:pPr>
      <w:r>
        <w:rPr>
          <w:b/>
          <w:bCs/>
        </w:rPr>
        <w:t xml:space="preserve">Why FastAPI rather than a Node/TypeScript backend.</w:t>
      </w:r>
      <w:r>
        <w:t xml:space="preserve"> </w:t>
      </w:r>
      <w: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t xml:space="preserve"> </w:t>
      </w:r>
      <w:r>
        <w:rPr>
          <w:rStyle w:val="VerbatimChar"/>
        </w:rPr>
        <w:t xml:space="preserve">re</w:t>
      </w:r>
      <w:r>
        <w:t xml:space="preserve">,</w:t>
      </w:r>
      <w:r>
        <w:t xml:space="preserve"> </w:t>
      </w:r>
      <w:r>
        <w:rPr>
          <w:rStyle w:val="VerbatimChar"/>
        </w:rPr>
        <w:t xml:space="preserve">difflib</w:t>
      </w:r>
      <w:r>
        <w:t xml:space="preserve">,</w:t>
      </w:r>
      <w:r>
        <w:t xml:space="preserve"> </w:t>
      </w:r>
      <w:r>
        <w:rPr>
          <w:rStyle w:val="VerbatimChar"/>
        </w:rPr>
        <w:t xml:space="preserve">unicodedata</w:t>
      </w:r>
      <w:r>
        <w:t xml:space="preserve">, and the optional</w:t>
      </w:r>
      <w:r>
        <w:t xml:space="preserve"> </w:t>
      </w:r>
      <w:r>
        <w:rPr>
          <w:rStyle w:val="VerbatimChar"/>
        </w:rPr>
        <w:t xml:space="preserve">rapidfuzz</w:t>
      </w:r>
      <w:r>
        <w:t xml:space="preserve"> </w:t>
      </w:r>
      <w:r>
        <w:t xml:space="preserve">and</w:t>
      </w:r>
      <w:r>
        <w:t xml:space="preserve"> </w:t>
      </w:r>
      <w:r>
        <w:rPr>
          <w:rStyle w:val="VerbatimChar"/>
        </w:rPr>
        <w:t xml:space="preserve">scikit-learn</w:t>
      </w:r>
      <w:r>
        <w:t xml:space="preserve"> </w:t>
      </w:r>
      <w: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pPr>
      <w:r>
        <w:rPr>
          <w:b/>
          <w:bCs/>
        </w:rPr>
        <w:t xml:space="preserve">Why TanStack Start rather than Next.js.</w:t>
      </w:r>
      <w:r>
        <w:t xml:space="preserve"> </w:t>
      </w:r>
      <w: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pPr>
      <w: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t xml:space="preserve"> </w:t>
      </w:r>
      <w:r>
        <w:rPr>
          <w:rStyle w:val="VerbatimChar"/>
        </w:rPr>
        <w:t xml:space="preserve">tool_/result/$historyId.tsx</w:t>
      </w:r>
      <w:r>
        <w:t xml:space="preserve"> </w:t>
      </w:r>
      <w:r>
        <w:t xml:space="preserve">would have required substantially more glue in a Next.js setup.</w:t>
      </w:r>
    </w:p>
    <w:p>
      <w:pPr>
        <w:pStyle w:val="BodyText"/>
      </w:pPr>
      <w: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pPr>
      <w:r>
        <w:t xml:space="preserve">2.3 Backend architecture</w:t>
      </w:r>
    </w:p>
    <w:p>
      <w:pPr>
        <w:pStyle w:val="FirstParagraph"/>
      </w:pPr>
      <w:r>
        <w:t xml:space="preserve">The backend is structured in four horizontal layers (Figure 2.1).</w:t>
      </w:r>
    </w:p>
    <w:p>
      <w:pPr>
        <w:pStyle w:val="CaptionedFigure"/>
      </w:pPr>
      <w:r>
        <w:drawing>
          <wp:inline>
            <wp:extent cx="5504749" cy="3975652"/>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5504749" cy="3975652"/>
                    </a:xfrm>
                    <a:prstGeom prst="rect">
                      <a:avLst/>
                    </a:prstGeom>
                    <a:noFill/>
                    <a:ln w="9525">
                      <a:noFill/>
                      <a:headEnd/>
                      <a:tailEnd/>
                    </a:ln>
                  </pic:spPr>
                </pic:pic>
              </a:graphicData>
            </a:graphic>
          </wp:inline>
        </w:drawing>
      </w:r>
    </w:p>
    <w:p>
      <w:pPr>
        <w:pStyle w:val="ImageCaption"/>
      </w:pPr>
      <w:r>
        <w:t xml:space="preserve">Figure 2.1: Backend layered architecture. The FastAPI surface (routers and schemas) delegates to a service layer that runs every analytical tool through the shared</w:t>
      </w:r>
      <w:r>
        <w:t xml:space="preserve"> </w:t>
      </w:r>
      <w:r>
        <w:rPr>
          <w:rStyle w:val="VerbatimChar"/>
        </w:rPr>
        <w:t xml:space="preserve">run_tool_pipeline</w:t>
      </w:r>
      <w:r>
        <w:t xml:space="preserve">, which in turn invokes the heuristic prepass, the LLM gateway (Vertex AI Gemini 2.5 Flash via</w:t>
      </w:r>
      <w:r>
        <w:t xml:space="preserve"> </w:t>
      </w:r>
      <w:r>
        <w:rPr>
          <w:rStyle w:val="VerbatimChar"/>
        </w:rPr>
        <w:t xml:space="preserve">ai_client.py</w:t>
      </w:r>
      <w:r>
        <w:t xml:space="preserve">), and the persistence layer (SQLAlchemy 2.0 + Alembic over PostgreSQL).</w:t>
      </w:r>
    </w:p>
    <w:bookmarkStart w:id="41" w:name="routers"/>
    <w:p>
      <w:pPr>
        <w:pStyle w:val="Heading3"/>
      </w:pPr>
      <w:r>
        <w:t xml:space="preserve">2.3.1 Routers</w:t>
      </w:r>
    </w:p>
    <w:p>
      <w:pPr>
        <w:pStyle w:val="FirstParagraph"/>
      </w:pPr>
      <w:r>
        <w:t xml:space="preserve">Each domain has its own router file in</w:t>
      </w:r>
      <w:r>
        <w:t xml:space="preserve"> </w:t>
      </w:r>
      <w:r>
        <w:rPr>
          <w:rStyle w:val="VerbatimChar"/>
        </w:rPr>
        <w:t xml:space="preserve">app/routers/</w:t>
      </w:r>
      <w:r>
        <w:t xml:space="preserve">:</w:t>
      </w:r>
      <w:r>
        <w:t xml:space="preserve"> </w:t>
      </w:r>
      <w:r>
        <w:rPr>
          <w:rStyle w:val="VerbatimChar"/>
        </w:rPr>
        <w:t xml:space="preserve">auth</w:t>
      </w:r>
      <w:r>
        <w:t xml:space="preserve">,</w:t>
      </w:r>
      <w:r>
        <w:t xml:space="preserve"> </w:t>
      </w:r>
      <w:r>
        <w:rPr>
          <w:rStyle w:val="VerbatimChar"/>
        </w:rPr>
        <w:t xml:space="preserve">google_auth</w:t>
      </w:r>
      <w:r>
        <w:t xml:space="preserve">,</w:t>
      </w:r>
      <w:r>
        <w:t xml:space="preserve"> </w:t>
      </w:r>
      <w:r>
        <w:rPr>
          <w:rStyle w:val="VerbatimChar"/>
        </w:rPr>
        <w:t xml:space="preserve">resume</w:t>
      </w:r>
      <w:r>
        <w:t xml:space="preserve">,</w:t>
      </w:r>
      <w:r>
        <w:t xml:space="preserve"> </w:t>
      </w:r>
      <w:r>
        <w:rPr>
          <w:rStyle w:val="VerbatimChar"/>
        </w:rPr>
        <w:t xml:space="preserve">job_match</w:t>
      </w:r>
      <w:r>
        <w:t xml:space="preserve">,</w:t>
      </w:r>
      <w:r>
        <w:t xml:space="preserve"> </w:t>
      </w:r>
      <w:r>
        <w:rPr>
          <w:rStyle w:val="VerbatimChar"/>
        </w:rPr>
        <w:t xml:space="preserve">job_posts</w:t>
      </w:r>
      <w:r>
        <w:t xml:space="preserve">,</w:t>
      </w:r>
      <w:r>
        <w:t xml:space="preserve"> </w:t>
      </w:r>
      <w:r>
        <w:rPr>
          <w:rStyle w:val="VerbatimChar"/>
        </w:rPr>
        <w:t xml:space="preserve">career</w:t>
      </w:r>
      <w:r>
        <w:t xml:space="preserve">,</w:t>
      </w:r>
      <w:r>
        <w:t xml:space="preserve"> </w:t>
      </w:r>
      <w:r>
        <w:rPr>
          <w:rStyle w:val="VerbatimChar"/>
        </w:rPr>
        <w:t xml:space="preserve">cover_letter</w:t>
      </w:r>
      <w:r>
        <w:t xml:space="preserve">,</w:t>
      </w:r>
      <w:r>
        <w:t xml:space="preserve"> </w:t>
      </w:r>
      <w:r>
        <w:rPr>
          <w:rStyle w:val="VerbatimChar"/>
        </w:rPr>
        <w:t xml:space="preserve">interview</w:t>
      </w:r>
      <w:r>
        <w:t xml:space="preserve">,</w:t>
      </w:r>
      <w:r>
        <w:t xml:space="preserve"> </w:t>
      </w:r>
      <w:r>
        <w:rPr>
          <w:rStyle w:val="VerbatimChar"/>
        </w:rPr>
        <w:t xml:space="preserve">portfolio</w:t>
      </w:r>
      <w:r>
        <w:t xml:space="preserve">,</w:t>
      </w:r>
      <w:r>
        <w:t xml:space="preserve"> </w:t>
      </w:r>
      <w:r>
        <w:rPr>
          <w:rStyle w:val="VerbatimChar"/>
        </w:rPr>
        <w:t xml:space="preserve">history</w:t>
      </w:r>
      <w:r>
        <w:t xml:space="preserve">,</w:t>
      </w:r>
      <w:r>
        <w:t xml:space="preserve"> </w:t>
      </w:r>
      <w:r>
        <w:rPr>
          <w:rStyle w:val="VerbatimChar"/>
        </w:rPr>
        <w:t xml:space="preserve">files</w:t>
      </w:r>
      <w:r>
        <w:t xml:space="preserve">,</w:t>
      </w:r>
      <w:r>
        <w:t xml:space="preserve"> </w:t>
      </w:r>
      <w:r>
        <w:rPr>
          <w:rStyle w:val="VerbatimChar"/>
        </w:rPr>
        <w:t xml:space="preserve">admin</w:t>
      </w:r>
      <w:r>
        <w:t xml:space="preserve">,</w:t>
      </w:r>
      <w:r>
        <w:t xml:space="preserve"> </w:t>
      </w:r>
      <w:r>
        <w:rPr>
          <w:rStyle w:val="VerbatimChar"/>
        </w:rPr>
        <w:t xml:space="preserve">health</w:t>
      </w:r>
      <w:r>
        <w:t xml:space="preserve">, and</w:t>
      </w:r>
      <w:r>
        <w:t xml:space="preserve"> </w:t>
      </w:r>
      <w:r>
        <w:rPr>
          <w:rStyle w:val="VerbatimChar"/>
        </w:rPr>
        <w:t xml:space="preserve">telemetry</w:t>
      </w:r>
      <w:r>
        <w:t xml:space="preserve">. All routers are mounted under the API prefix</w:t>
      </w:r>
      <w:r>
        <w:t xml:space="preserve"> </w:t>
      </w:r>
      <w:r>
        <w:rPr>
          <w:rStyle w:val="VerbatimChar"/>
        </w:rPr>
        <w:t xml:space="preserve">/api/v1</w:t>
      </w:r>
      <w: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pPr>
      <w:r>
        <w:t xml:space="preserve">2.3.2 The shared tool pipeline</w:t>
      </w:r>
    </w:p>
    <w:p>
      <w:pPr>
        <w:pStyle w:val="FirstParagraph"/>
      </w:pPr>
      <w:r>
        <w:t xml:space="preserve">The six functional tools share a single cross-cutting pipeline implemented in</w:t>
      </w:r>
      <w:r>
        <w:t xml:space="preserve"> </w:t>
      </w:r>
      <w:r>
        <w:rPr>
          <w:rStyle w:val="VerbatimChar"/>
        </w:rPr>
        <w:t xml:space="preserve">services/tool_pipeline.py</w:t>
      </w:r>
      <w:r>
        <w:t xml:space="preserve"> </w:t>
      </w:r>
      <w:r>
        <w:t xml:space="preserve">and exposed as the asynchronous function</w:t>
      </w:r>
      <w:r>
        <w:t xml:space="preserve"> </w:t>
      </w:r>
      <w:r>
        <w:rPr>
          <w:rStyle w:val="VerbatimChar"/>
        </w:rPr>
        <w:t xml:space="preserve">run_tool_pipeline(...)</w:t>
      </w:r>
      <w:r>
        <w:t xml:space="preserve">. Every tool router invokes this pipeline rather than calling the tool service directly. The pipeline has six stages, executed in order (Figure 2.2):</w:t>
      </w:r>
    </w:p>
    <w:p>
      <w:pPr>
        <w:pStyle w:val="Compact"/>
        <w:numPr>
          <w:ilvl w:val="0"/>
          <w:numId w:val="1003"/>
        </w:numPr>
      </w:pPr>
      <w:r>
        <w:rPr>
          <w:b/>
          <w:bCs/>
        </w:rPr>
        <w:t xml:space="preserve">Sanitise.</w:t>
      </w:r>
      <w:r>
        <w:t xml:space="preserve"> </w:t>
      </w:r>
      <w:r>
        <w:t xml:space="preserve">The resume text, the job description (if any), and any feedback string are passed through</w:t>
      </w:r>
      <w:r>
        <w:t xml:space="preserve"> </w:t>
      </w:r>
      <w:r>
        <w:rPr>
          <w:rStyle w:val="VerbatimChar"/>
        </w:rPr>
        <w:t xml:space="preserve">sanitize_user_input</w:t>
      </w:r>
      <w:r>
        <w:t xml:space="preserve">, which strips control characters, normalises whitespace, and bounds the input length. This is a defence-in-depth measure against prompt-injection-style payloads embedded in resumes.</w:t>
      </w:r>
    </w:p>
    <w:p>
      <w:pPr>
        <w:pStyle w:val="Compact"/>
        <w:numPr>
          <w:ilvl w:val="0"/>
          <w:numId w:val="1003"/>
        </w:numPr>
      </w:pPr>
      <w:r>
        <w:rPr>
          <w:b/>
          <w:bCs/>
        </w:rPr>
        <w:t xml:space="preserve">Cache lookup.</w:t>
      </w:r>
      <w:r>
        <w:t xml:space="preserve"> </w:t>
      </w:r>
      <w: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pPr>
      <w:r>
        <w:rPr>
          <w:b/>
          <w:bCs/>
        </w:rPr>
        <w:t xml:space="preserve">Service call.</w:t>
      </w:r>
      <w:r>
        <w:t xml:space="preserve"> </w:t>
      </w:r>
      <w:r>
        <w:t xml:space="preserve">The tool-specific service function is invoked. Each tool service is a coroutine that returns a fully populated response dictionary.</w:t>
      </w:r>
    </w:p>
    <w:p>
      <w:pPr>
        <w:pStyle w:val="Compact"/>
        <w:numPr>
          <w:ilvl w:val="0"/>
          <w:numId w:val="1003"/>
        </w:numPr>
      </w:pPr>
      <w:r>
        <w:rPr>
          <w:b/>
          <w:bCs/>
        </w:rPr>
        <w:t xml:space="preserve">Persistence.</w:t>
      </w:r>
      <w:r>
        <w:t xml:space="preserve"> </w:t>
      </w:r>
      <w:r>
        <w:t xml:space="preserve">The result is persisted as a</w:t>
      </w:r>
      <w:r>
        <w:t xml:space="preserve"> </w:t>
      </w:r>
      <w:r>
        <w:rPr>
          <w:rStyle w:val="VerbatimChar"/>
        </w:rPr>
        <w:t xml:space="preserve">ToolRun</w:t>
      </w:r>
      <w:r>
        <w:t xml:space="preserve"> </w:t>
      </w:r>
      <w: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pPr>
      <w:r>
        <w:rPr>
          <w:b/>
          <w:bCs/>
        </w:rPr>
        <w:t xml:space="preserve">Response assembly.</w:t>
      </w:r>
      <w:r>
        <w:t xml:space="preserve"> </w:t>
      </w:r>
      <w:r>
        <w:t xml:space="preserve">A unified response shape is built from the persisted record, including the history identifier and the access mode.</w:t>
      </w:r>
    </w:p>
    <w:p>
      <w:pPr>
        <w:pStyle w:val="Compact"/>
        <w:numPr>
          <w:ilvl w:val="0"/>
          <w:numId w:val="1003"/>
        </w:numPr>
      </w:pPr>
      <w:r>
        <w:rPr>
          <w:b/>
          <w:bCs/>
        </w:rPr>
        <w:t xml:space="preserve">Observability.</w:t>
      </w:r>
      <w:r>
        <w:t xml:space="preserve"> </w:t>
      </w:r>
      <w: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pPr>
      <w:r>
        <w:drawing>
          <wp:inline>
            <wp:extent cx="5504749" cy="3975652"/>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5504749" cy="3975652"/>
                    </a:xfrm>
                    <a:prstGeom prst="rect">
                      <a:avLst/>
                    </a:prstGeom>
                    <a:noFill/>
                    <a:ln w="9525">
                      <a:noFill/>
                      <a:headEnd/>
                      <a:tailEnd/>
                    </a:ln>
                  </pic:spPr>
                </pic:pic>
              </a:graphicData>
            </a:graphic>
          </wp:inline>
        </w:drawing>
      </w:r>
    </w:p>
    <w:p>
      <w:pPr>
        <w:pStyle w:val="ImageCaption"/>
      </w:pPr>
      <w:r>
        <w:t xml:space="preserve">Figure 2.2: Tool pipeline (</w:t>
      </w:r>
      <w:r>
        <w:rPr>
          <w:rStyle w:val="VerbatimChar"/>
        </w:rPr>
        <w:t xml:space="preserve">run_tool_pipeline</w:t>
      </w:r>
      <w: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pPr>
      <w: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pPr>
      <w: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t xml:space="preserve"> </w:t>
      </w:r>
      <w:r>
        <w:rPr>
          <w:rStyle w:val="VerbatimChar"/>
        </w:rPr>
        <w:t xml:space="preserve">run_tool_pipeline</w:t>
      </w:r>
      <w: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t xml:space="preserve"> </w:t>
      </w:r>
      <w:r>
        <w:rPr>
          <w:rStyle w:val="VerbatimChar"/>
        </w:rPr>
        <w:t xml:space="preserve">parent_run_id</w:t>
      </w:r>
      <w:r>
        <w:t xml:space="preserve">, optional feedback, and the same persistence contract.</w:t>
      </w:r>
    </w:p>
    <w:bookmarkEnd w:id="45"/>
    <w:bookmarkStart w:id="46" w:name="tool-services-and-prompt-builders"/>
    <w:p>
      <w:pPr>
        <w:pStyle w:val="Heading3"/>
      </w:pPr>
      <w:r>
        <w:t xml:space="preserve">2.3.3 Tool services and prompt builders</w:t>
      </w:r>
    </w:p>
    <w:p>
      <w:pPr>
        <w:pStyle w:val="FirstParagraph"/>
      </w:pPr>
      <w:r>
        <w:t xml:space="preserve">The body of each tool’s logic lives in two files: a service module (</w:t>
      </w:r>
      <w:r>
        <w:rPr>
          <w:rStyle w:val="VerbatimChar"/>
        </w:rPr>
        <w:t xml:space="preserve">services/&lt;tool&gt;_*.py</w:t>
      </w:r>
      <w:r>
        <w:t xml:space="preserve">) and a prompt module (</w:t>
      </w:r>
      <w:r>
        <w:rPr>
          <w:rStyle w:val="VerbatimChar"/>
        </w:rPr>
        <w:t xml:space="preserve">prompts/&lt;tool&gt;.py</w:t>
      </w:r>
      <w:r>
        <w:t xml:space="preserve">). The service module orchestrates the heuristic prepass, builds the prompt by delegating to the prompt module, calls</w:t>
      </w:r>
      <w:r>
        <w:t xml:space="preserve"> </w:t>
      </w:r>
      <w:r>
        <w:rPr>
          <w:rStyle w:val="VerbatimChar"/>
        </w:rPr>
        <w:t xml:space="preserve">complete_structured</w:t>
      </w:r>
      <w:r>
        <w:t xml:space="preserve"> </w:t>
      </w:r>
      <w:r>
        <w:t xml:space="preserve">from</w:t>
      </w:r>
      <w:r>
        <w:t xml:space="preserve"> </w:t>
      </w:r>
      <w:r>
        <w:rPr>
          <w:rStyle w:val="VerbatimChar"/>
        </w:rPr>
        <w:t xml:space="preserve">services/ai_client.py</w:t>
      </w:r>
      <w:r>
        <w:t xml:space="preserve"> </w:t>
      </w:r>
      <w:r>
        <w:t xml:space="preserve">to obtain a validated JSON response from Gemini, and post-processes the result. The prompt module is responsible only for assembling the</w:t>
      </w:r>
      <w:r>
        <w:t xml:space="preserve"> </w:t>
      </w:r>
      <w:r>
        <w:rPr>
          <w:rStyle w:val="VerbatimChar"/>
        </w:rPr>
        <w:t xml:space="preserve">system</w:t>
      </w:r>
      <w:r>
        <w:t xml:space="preserve"> </w:t>
      </w:r>
      <w:r>
        <w:t xml:space="preserve">and</w:t>
      </w:r>
      <w:r>
        <w:t xml:space="preserve"> </w:t>
      </w:r>
      <w:r>
        <w:rPr>
          <w:rStyle w:val="VerbatimChar"/>
        </w:rPr>
        <w:t xml:space="preserve">user</w:t>
      </w:r>
      <w:r>
        <w:t xml:space="preserve"> </w:t>
      </w:r>
      <w:r>
        <w:t xml:space="preserve">messages from the inputs and the heuristic prepass. Splitting these responsibilities keeps the prompt content under version control without coupling it to the service-orchestration code.</w:t>
      </w:r>
    </w:p>
    <w:p>
      <w:pPr>
        <w:pStyle w:val="BodyText"/>
      </w:pPr>
      <w:r>
        <w:t xml:space="preserve">The service modules are also where mode-specific behaviour is isolated. Analytical services can return a heuristic-only response when</w:t>
      </w:r>
      <w:r>
        <w:t xml:space="preserve"> </w:t>
      </w:r>
      <w:r>
        <w:rPr>
          <w:rStyle w:val="VerbatimChar"/>
        </w:rPr>
        <w:t xml:space="preserve">SCORING_MODE=heuristic</w:t>
      </w:r>
      <w:r>
        <w:t xml:space="preserve"> </w:t>
      </w:r>
      <w: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pPr>
      <w:r>
        <w:t xml:space="preserve">2.3.4 The heuristic prepass</w:t>
      </w:r>
    </w:p>
    <w:p>
      <w:pPr>
        <w:pStyle w:val="FirstParagraph"/>
      </w:pPr>
      <w: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t xml:space="preserve"> </w:t>
      </w:r>
      <w:r>
        <w:rPr>
          <w:i/>
          <w:iCs/>
        </w:rPr>
        <w:t xml:space="preserve">locked payload</w:t>
      </w:r>
      <w: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pPr>
      <w:r>
        <w:t xml:space="preserve">2.4 Frontend architecture</w:t>
      </w:r>
    </w:p>
    <w:p>
      <w:pPr>
        <w:pStyle w:val="FirstParagraph"/>
      </w:pPr>
      <w:r>
        <w:t xml:space="preserve">The frontend is a single-page application served from a Railway service that lives in the same Railway project as the backend service; both share one external hostname through path-based routing (the backend handles</w:t>
      </w:r>
      <w:r>
        <w:t xml:space="preserve"> </w:t>
      </w:r>
      <w:r>
        <w:rPr>
          <w:rStyle w:val="VerbatimChar"/>
        </w:rPr>
        <w:t xml:space="preserve">/api/*</w:t>
      </w:r>
      <w:r>
        <w:t xml:space="preserve">, the frontend handles everything else). The deployment topology is described in detail in Section 2.7.</w:t>
      </w:r>
    </w:p>
    <w:bookmarkStart w:id="49" w:name="route-structure"/>
    <w:p>
      <w:pPr>
        <w:pStyle w:val="Heading3"/>
      </w:pPr>
      <w:r>
        <w:t xml:space="preserve">2.4.1 Route structure</w:t>
      </w:r>
    </w:p>
    <w:p>
      <w:pPr>
        <w:pStyle w:val="FirstParagraph"/>
      </w:pPr>
      <w:r>
        <w:t xml:space="preserve">Routes live in</w:t>
      </w:r>
      <w:r>
        <w:t xml:space="preserve"> </w:t>
      </w:r>
      <w:r>
        <w:rPr>
          <w:rStyle w:val="VerbatimChar"/>
        </w:rPr>
        <w:t xml:space="preserve">frontend/src/routes/</w:t>
      </w:r>
      <w:r>
        <w:t xml:space="preserve"> </w:t>
      </w:r>
      <w:r>
        <w:t xml:space="preserve">and are file-based. The route tree is generated at build time by TanStack Router. Each tool has a pair of routes:</w:t>
      </w:r>
    </w:p>
    <w:p>
      <w:pPr>
        <w:pStyle w:val="Compact"/>
        <w:numPr>
          <w:ilvl w:val="0"/>
          <w:numId w:val="1004"/>
        </w:numPr>
      </w:pPr>
      <w:r>
        <w:t xml:space="preserve">An</w:t>
      </w:r>
      <w:r>
        <w:t xml:space="preserve"> </w:t>
      </w:r>
      <w:r>
        <w:rPr>
          <w:i/>
          <w:iCs/>
        </w:rPr>
        <w:t xml:space="preserve">input</w:t>
      </w:r>
      <w:r>
        <w:t xml:space="preserve"> </w:t>
      </w:r>
      <w:r>
        <w:t xml:space="preserve">route at</w:t>
      </w:r>
      <w:r>
        <w:t xml:space="preserve"> </w:t>
      </w:r>
      <w:r>
        <w:rPr>
          <w:rStyle w:val="VerbatimChar"/>
        </w:rPr>
        <w:t xml:space="preserve">/&lt;tool&gt;</w:t>
      </w:r>
      <w:r>
        <w:t xml:space="preserve"> </w:t>
      </w:r>
      <w:r>
        <w:t xml:space="preserve">(for example,</w:t>
      </w:r>
      <w:r>
        <w:t xml:space="preserve"> </w:t>
      </w:r>
      <w:r>
        <w:rPr>
          <w:rStyle w:val="VerbatimChar"/>
        </w:rPr>
        <w:t xml:space="preserve">/resume</w:t>
      </w:r>
      <w:r>
        <w:t xml:space="preserve">,</w:t>
      </w:r>
      <w:r>
        <w:t xml:space="preserve"> </w:t>
      </w:r>
      <w:r>
        <w:rPr>
          <w:rStyle w:val="VerbatimChar"/>
        </w:rPr>
        <w:t xml:space="preserve">/job-match</w:t>
      </w:r>
      <w:r>
        <w:t xml:space="preserve">); this workspace page contains the resume input, the job-description input where applicable, and per-tool animation, copy, and chips.</w:t>
      </w:r>
    </w:p>
    <w:p>
      <w:pPr>
        <w:pStyle w:val="Compact"/>
        <w:numPr>
          <w:ilvl w:val="0"/>
          <w:numId w:val="1004"/>
        </w:numPr>
      </w:pPr>
      <w:r>
        <w:t xml:space="preserve">A</w:t>
      </w:r>
      <w:r>
        <w:t xml:space="preserve"> </w:t>
      </w:r>
      <w:r>
        <w:rPr>
          <w:i/>
          <w:iCs/>
        </w:rPr>
        <w:t xml:space="preserve">result</w:t>
      </w:r>
      <w:r>
        <w:t xml:space="preserve"> </w:t>
      </w:r>
      <w:r>
        <w:t xml:space="preserve">route at</w:t>
      </w:r>
      <w:r>
        <w:t xml:space="preserve"> </w:t>
      </w:r>
      <w:r>
        <w:rPr>
          <w:rStyle w:val="VerbatimChar"/>
        </w:rPr>
        <w:t xml:space="preserve">/&lt;tool&gt;_/result/$historyId</w:t>
      </w:r>
      <w:r>
        <w:t xml:space="preserve">, the page rendered after a tool run completes. The route segment</w:t>
      </w:r>
      <w:r>
        <w:t xml:space="preserve"> </w:t>
      </w:r>
      <w:r>
        <w:rPr>
          <w:rStyle w:val="VerbatimChar"/>
        </w:rPr>
        <w:t xml:space="preserve">_/</w:t>
      </w:r>
      <w:r>
        <w:t xml:space="preserve"> </w:t>
      </w:r>
      <w:r>
        <w:t xml:space="preserve">declares a layout split, and the dynamic segment</w:t>
      </w:r>
      <w:r>
        <w:t xml:space="preserve"> </w:t>
      </w:r>
      <w:r>
        <w:rPr>
          <w:rStyle w:val="VerbatimChar"/>
        </w:rPr>
        <w:t xml:space="preserve">$historyId</w:t>
      </w:r>
      <w:r>
        <w:t xml:space="preserve"> </w:t>
      </w:r>
      <w:r>
        <w:t xml:space="preserve">is the persistent identifier of the</w:t>
      </w:r>
      <w:r>
        <w:t xml:space="preserve"> </w:t>
      </w:r>
      <w:r>
        <w:rPr>
          <w:rStyle w:val="VerbatimChar"/>
        </w:rPr>
        <w:t xml:space="preserve">ToolRun</w:t>
      </w:r>
      <w:r>
        <w:t xml:space="preserve"> </w:t>
      </w:r>
      <w:r>
        <w:t xml:space="preserve">record on the backend.</w:t>
      </w:r>
    </w:p>
    <w:p>
      <w:pPr>
        <w:pStyle w:val="FirstParagraph"/>
      </w:pPr>
      <w: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pPr>
      <w:r>
        <w:t xml:space="preserve">2.4.2 State management</w:t>
      </w:r>
    </w:p>
    <w:p>
      <w:pPr>
        <w:pStyle w:val="FirstParagraph"/>
      </w:pPr>
      <w:r>
        <w:t xml:space="preserve">Application state is partitioned into three scopes.</w:t>
      </w:r>
    </w:p>
    <w:p>
      <w:pPr>
        <w:pStyle w:val="Compact"/>
        <w:numPr>
          <w:ilvl w:val="0"/>
          <w:numId w:val="1005"/>
        </w:numPr>
      </w:pPr>
      <w:r>
        <w:rPr>
          <w:b/>
          <w:bCs/>
        </w:rPr>
        <w:t xml:space="preserve">Server state</w:t>
      </w:r>
      <w:r>
        <w:t xml:space="preserve"> </w:t>
      </w:r>
      <w: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pPr>
      <w:r>
        <w:rPr>
          <w:b/>
          <w:bCs/>
        </w:rPr>
        <w:t xml:space="preserve">Workflow state</w:t>
      </w:r>
      <w:r>
        <w:t xml:space="preserve"> </w:t>
      </w:r>
      <w:r>
        <w:t xml:space="preserve">(the resume text being carried between tools and the most recent tool result the user is referencing) is held in</w:t>
      </w:r>
      <w:r>
        <w:t xml:space="preserve"> </w:t>
      </w:r>
      <w:r>
        <w:rPr>
          <w:rStyle w:val="VerbatimChar"/>
        </w:rPr>
        <w:t xml:space="preserve">sessionStorage</w:t>
      </w:r>
      <w:r>
        <w:t xml:space="preserve"> </w:t>
      </w:r>
      <w:r>
        <w:t xml:space="preserve">and read through small custom hooks (</w:t>
      </w:r>
      <w:r>
        <w:rPr>
          <w:rStyle w:val="VerbatimChar"/>
        </w:rPr>
        <w:t xml:space="preserve">useResumeCarry</w:t>
      </w:r>
      <w:r>
        <w:t xml:space="preserve">,</w:t>
      </w:r>
      <w:r>
        <w:t xml:space="preserve"> </w:t>
      </w:r>
      <w:r>
        <w:rPr>
          <w:rStyle w:val="VerbatimChar"/>
        </w:rPr>
        <w:t xml:space="preserve">useSession</w:t>
      </w:r>
      <w:r>
        <w:t xml:space="preserve">). Workflow state is tab-scoped by design: opening the same site in a second tab does not share workflow context, which prevents accidental cross-talk between unrelated tool runs.</w:t>
      </w:r>
    </w:p>
    <w:p>
      <w:pPr>
        <w:pStyle w:val="Compact"/>
        <w:numPr>
          <w:ilvl w:val="0"/>
          <w:numId w:val="1005"/>
        </w:numPr>
      </w:pPr>
      <w:r>
        <w:rPr>
          <w:b/>
          <w:bCs/>
        </w:rPr>
        <w:t xml:space="preserve">Component state</w:t>
      </w:r>
      <w:r>
        <w:t xml:space="preserve"> </w:t>
      </w:r>
      <w:r>
        <w:t xml:space="preserve">(input values, sheet open/closed flags, animation timing) is local to each component and uses standard React</w:t>
      </w:r>
      <w:r>
        <w:t xml:space="preserve"> </w:t>
      </w:r>
      <w:r>
        <w:rPr>
          <w:rStyle w:val="VerbatimChar"/>
        </w:rPr>
        <w:t xml:space="preserve">useState</w:t>
      </w:r>
      <w:r>
        <w:t xml:space="preserve"> </w:t>
      </w:r>
      <w:r>
        <w:t xml:space="preserve">and</w:t>
      </w:r>
      <w:r>
        <w:t xml:space="preserve"> </w:t>
      </w:r>
      <w:r>
        <w:rPr>
          <w:rStyle w:val="VerbatimChar"/>
        </w:rPr>
        <w:t xml:space="preserve">useReducer</w:t>
      </w:r>
      <w:r>
        <w:t xml:space="preserve">.</w:t>
      </w:r>
    </w:p>
    <w:bookmarkEnd w:id="50"/>
    <w:bookmarkStart w:id="51" w:name="layout-shell-and-navigation"/>
    <w:p>
      <w:pPr>
        <w:pStyle w:val="Heading3"/>
      </w:pPr>
      <w:r>
        <w:t xml:space="preserve">2.4.3 Layout shell and navigation</w:t>
      </w:r>
    </w:p>
    <w:p>
      <w:pPr>
        <w:pStyle w:val="FirstParagraph"/>
      </w:pPr>
      <w:r>
        <w:t xml:space="preserve">The application shell consists of a dark sidebar and topbar with a light content area; there is no dark-mode toggle. The sidebar groups the six tools into three semantic clusters,</w:t>
      </w:r>
      <w:r>
        <w:t xml:space="preserve"> </w:t>
      </w:r>
      <w:r>
        <w:rPr>
          <w:i/>
          <w:iCs/>
        </w:rPr>
        <w:t xml:space="preserve">primary</w:t>
      </w:r>
      <w:r>
        <w:t xml:space="preserve"> </w:t>
      </w:r>
      <w:r>
        <w:t xml:space="preserve">(Resume, Job Match),</w:t>
      </w:r>
      <w:r>
        <w:t xml:space="preserve"> </w:t>
      </w:r>
      <w:r>
        <w:rPr>
          <w:i/>
          <w:iCs/>
        </w:rPr>
        <w:t xml:space="preserve">application</w:t>
      </w:r>
      <w:r>
        <w:t xml:space="preserve"> </w:t>
      </w:r>
      <w:r>
        <w:t xml:space="preserve">(Cover Letter, Interview Q&amp;A), and</w:t>
      </w:r>
      <w:r>
        <w:t xml:space="preserve"> </w:t>
      </w:r>
      <w:r>
        <w:rPr>
          <w:i/>
          <w:iCs/>
        </w:rPr>
        <w:t xml:space="preserve">planning</w:t>
      </w:r>
      <w:r>
        <w:t xml:space="preserve"> </w:t>
      </w:r>
      <w:r>
        <w:t xml:space="preserve">(Career Path, Portfolio), to reduce the cognitive load of navigation. On mobile breakpoints, the sidebar collapses into a bottom tab bar (</w:t>
      </w:r>
      <w:r>
        <w:rPr>
          <w:rStyle w:val="VerbatimChar"/>
        </w:rPr>
        <w:t xml:space="preserve">MobileNav</w:t>
      </w:r>
      <w:r>
        <w:t xml:space="preserve">) and a tools sheet (</w:t>
      </w:r>
      <w:r>
        <w:rPr>
          <w:rStyle w:val="VerbatimChar"/>
        </w:rPr>
        <w:t xml:space="preserve">ToolGridSheet</w:t>
      </w:r>
      <w:r>
        <w:t xml:space="preserve">). All tool metadata that drives the sidebar, the dashboard cards, and the tools-sheet grid is centralised in</w:t>
      </w:r>
      <w:r>
        <w:t xml:space="preserve"> </w:t>
      </w:r>
      <w:r>
        <w:rPr>
          <w:rStyle w:val="VerbatimChar"/>
        </w:rPr>
        <w:t xml:space="preserve">frontend/src/lib/tools/registry.ts</w:t>
      </w:r>
      <w:r>
        <w:t xml:space="preserve">, so a new tool can be exposed across the entire UI with a single registry entry.</w:t>
      </w:r>
    </w:p>
    <w:bookmarkEnd w:id="51"/>
    <w:bookmarkEnd w:id="52"/>
    <w:bookmarkStart w:id="53" w:name="data-model-and-persistence"/>
    <w:p>
      <w:pPr>
        <w:pStyle w:val="Heading2"/>
      </w:pPr>
      <w:r>
        <w:t xml:space="preserve">2.5 Data model and persistence</w:t>
      </w:r>
    </w:p>
    <w:p>
      <w:pPr>
        <w:pStyle w:val="FirstParagraph"/>
      </w:pPr>
      <w:r>
        <w:t xml:space="preserve">The persistence model contains three primary tables, summarised in Table 2.3.</w:t>
      </w:r>
    </w:p>
    <w:p>
      <w:pPr>
        <w:pStyle w:val="BodyText"/>
      </w:pPr>
      <w:r>
        <w:rPr>
          <w:i/>
          <w:iCs/>
        </w:rPr>
        <w:t xml:space="preserve">Table 2.3: Primary persistence tables. The schema is intentionally narrow: every row in</w:t>
      </w:r>
      <w:r>
        <w:rPr>
          <w:i/>
          <w:iCs/>
        </w:rPr>
        <w:t xml:space="preserve"> </w:t>
      </w:r>
      <w:r>
        <w:rPr>
          <w:rStyle w:val="VerbatimChar"/>
          <w:i/>
          <w:iCs/>
        </w:rPr>
        <w:t xml:space="preserve">tool_runs</w:t>
      </w:r>
      <w:r>
        <w:rPr>
          <w:i/>
          <w:iCs/>
        </w:rPr>
        <w:t xml:space="preserve"> </w:t>
      </w:r>
      <w:r>
        <w:rPr>
          <w:i/>
          <w:iCs/>
        </w:rPr>
        <w:t xml:space="preserve">is the unit of audit and history, and the regeneration parent pointer plus the linked-context list together carry the workflow graph without requiring an additional table.</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Table</w:t>
            </w:r>
          </w:p>
        </w:tc>
        <w:tc>
          <w:tcPr/>
          <w:p>
            <w:pPr>
              <w:pStyle w:val="Compact"/>
            </w:pPr>
            <w:r>
              <w:t xml:space="preserve">Purpose</w:t>
            </w:r>
          </w:p>
        </w:tc>
        <w:tc>
          <w:tcPr/>
          <w:p>
            <w:pPr>
              <w:pStyle w:val="Compact"/>
            </w:pPr>
            <w:r>
              <w:t xml:space="preserve">Key columns</w:t>
            </w:r>
          </w:p>
        </w:tc>
      </w:tr>
      <w:tr>
        <w:tc>
          <w:tcPr/>
          <w:p>
            <w:pPr>
              <w:pStyle w:val="Compact"/>
            </w:pPr>
            <w:r>
              <w:rPr>
                <w:rStyle w:val="VerbatimChar"/>
              </w:rPr>
              <w:t xml:space="preserve">users</w:t>
            </w:r>
          </w:p>
        </w:tc>
        <w:tc>
          <w:tcPr/>
          <w:p>
            <w:pPr>
              <w:pStyle w:val="Compact"/>
            </w:pPr>
            <w:r>
              <w:t xml:space="preserve">One row per registered account</w:t>
            </w:r>
          </w:p>
        </w:tc>
        <w:tc>
          <w:tcPr/>
          <w:p>
            <w:pPr>
              <w:pStyle w:val="Compact"/>
            </w:pPr>
            <w:r>
              <w:rPr>
                <w:rStyle w:val="VerbatimChar"/>
              </w:rPr>
              <w:t xml:space="preserve">id</w:t>
            </w:r>
            <w:r>
              <w:t xml:space="preserve"> </w:t>
            </w:r>
            <w:r>
              <w:t xml:space="preserve">(UUID),</w:t>
            </w:r>
            <w:r>
              <w:t xml:space="preserve"> </w:t>
            </w:r>
            <w:r>
              <w:rPr>
                <w:rStyle w:val="VerbatimChar"/>
              </w:rPr>
              <w:t xml:space="preserve">email</w:t>
            </w:r>
            <w:r>
              <w:t xml:space="preserve">,</w:t>
            </w:r>
            <w:r>
              <w:t xml:space="preserve"> </w:t>
            </w:r>
            <w:r>
              <w:rPr>
                <w:rStyle w:val="VerbatimChar"/>
              </w:rPr>
              <w:t xml:space="preserve">password_hash</w:t>
            </w:r>
            <w:r>
              <w:t xml:space="preserve"> </w:t>
            </w:r>
            <w:r>
              <w:t xml:space="preserve">(bcrypt) or null for OAuth-only accounts,</w:t>
            </w:r>
            <w:r>
              <w:t xml:space="preserve"> </w:t>
            </w:r>
            <w:r>
              <w:rPr>
                <w:rStyle w:val="VerbatimChar"/>
              </w:rPr>
              <w:t xml:space="preserve">google_subject</w:t>
            </w:r>
            <w:r>
              <w:t xml:space="preserve"> </w:t>
            </w:r>
            <w:r>
              <w:t xml:space="preserve">for federated identities, timestamps.</w:t>
            </w:r>
          </w:p>
        </w:tc>
      </w:tr>
      <w:tr>
        <w:tc>
          <w:tcPr/>
          <w:p>
            <w:pPr>
              <w:pStyle w:val="Compact"/>
            </w:pPr>
            <w:r>
              <w:rPr>
                <w:rStyle w:val="VerbatimChar"/>
              </w:rPr>
              <w:t xml:space="preserve">tool_runs</w:t>
            </w:r>
          </w:p>
        </w:tc>
        <w:tc>
          <w:tcPr/>
          <w:p>
            <w:pPr>
              <w:pStyle w:val="Compact"/>
            </w:pPr>
            <w:r>
              <w:t xml:space="preserve">One row per tool invocation that the system chose to persist</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tool_name</w:t>
            </w:r>
            <w:r>
              <w:t xml:space="preserve">,</w:t>
            </w:r>
            <w:r>
              <w:t xml:space="preserve"> </w:t>
            </w:r>
            <w:r>
              <w:rPr>
                <w:rStyle w:val="VerbatimChar"/>
              </w:rPr>
              <w:t xml:space="preserve">label</w:t>
            </w:r>
            <w:r>
              <w:t xml:space="preserve">,</w:t>
            </w:r>
            <w:r>
              <w:t xml:space="preserve"> </w:t>
            </w:r>
            <w:r>
              <w:rPr>
                <w:rStyle w:val="VerbatimChar"/>
              </w:rPr>
              <w:t xml:space="preserve">result_json</w:t>
            </w:r>
            <w:r>
              <w:t xml:space="preserve">,</w:t>
            </w:r>
            <w:r>
              <w:t xml:space="preserve"> </w:t>
            </w:r>
            <w:r>
              <w:rPr>
                <w:rStyle w:val="VerbatimChar"/>
              </w:rPr>
              <w:t xml:space="preserve">parent_run_id</w:t>
            </w:r>
            <w:r>
              <w:t xml:space="preserve"> </w:t>
            </w:r>
            <w:r>
              <w:t xml:space="preserve">for regeneration chains,</w:t>
            </w:r>
            <w:r>
              <w:t xml:space="preserve"> </w:t>
            </w:r>
            <w:r>
              <w:rPr>
                <w:rStyle w:val="VerbatimChar"/>
              </w:rPr>
              <w:t xml:space="preserve">linked_context_ids</w:t>
            </w:r>
            <w:r>
              <w:t xml:space="preserve">,</w:t>
            </w:r>
            <w:r>
              <w:t xml:space="preserve"> </w:t>
            </w:r>
            <w:r>
              <w:rPr>
                <w:rStyle w:val="VerbatimChar"/>
              </w:rPr>
              <w:t xml:space="preserve">workspace_id</w:t>
            </w:r>
            <w:r>
              <w:t xml:space="preserve">,</w:t>
            </w:r>
            <w:r>
              <w:t xml:space="preserve"> </w:t>
            </w:r>
            <w:r>
              <w:rPr>
                <w:rStyle w:val="VerbatimChar"/>
              </w:rPr>
              <w:t xml:space="preserve">feedback_text</w:t>
            </w:r>
            <w:r>
              <w:t xml:space="preserve">,</w:t>
            </w:r>
            <w:r>
              <w:t xml:space="preserve"> </w:t>
            </w:r>
            <w:r>
              <w:rPr>
                <w:rStyle w:val="VerbatimChar"/>
              </w:rPr>
              <w:t xml:space="preserve">created_at</w:t>
            </w:r>
            <w:r>
              <w:t xml:space="preserve">.</w:t>
            </w:r>
          </w:p>
        </w:tc>
      </w:tr>
      <w:tr>
        <w:tc>
          <w:tcPr/>
          <w:p>
            <w:pPr>
              <w:pStyle w:val="Compact"/>
            </w:pPr>
            <w:r>
              <w:rPr>
                <w:rStyle w:val="VerbatimChar"/>
              </w:rPr>
              <w:t xml:space="preserve">workspaces</w:t>
            </w:r>
          </w:p>
        </w:tc>
        <w:tc>
          <w:tcPr/>
          <w:p>
            <w:pPr>
              <w:pStyle w:val="Compact"/>
            </w:pPr>
            <w:r>
              <w:t xml:space="preserve">Optional grouping of tool runs around a single role search</w:t>
            </w:r>
          </w:p>
        </w:tc>
        <w:tc>
          <w:tcPr/>
          <w:p>
            <w:pPr>
              <w:pStyle w:val="Compact"/>
            </w:pP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label</w:t>
            </w:r>
            <w:r>
              <w:t xml:space="preserve">, timestamps.</w:t>
            </w:r>
          </w:p>
        </w:tc>
      </w:tr>
    </w:tbl>
    <w:p>
      <w:pPr>
        <w:pStyle w:val="BodyText"/>
      </w:pPr>
      <w:r>
        <w:t xml:space="preserve">Two design choices on the data model deserve note.</w:t>
      </w:r>
    </w:p>
    <w:p>
      <w:pPr>
        <w:pStyle w:val="BodyText"/>
      </w:pPr>
      <w:r>
        <w:t xml:space="preserve">First,</w:t>
      </w:r>
      <w:r>
        <w:t xml:space="preserve"> </w:t>
      </w:r>
      <w:r>
        <w:rPr>
          <w:b/>
          <w:bCs/>
        </w:rPr>
        <w:t xml:space="preserve">regeneration never overwrites</w:t>
      </w:r>
      <w:r>
        <w:t xml:space="preserve">. A regenerated tool run is a new</w:t>
      </w:r>
      <w:r>
        <w:t xml:space="preserve"> </w:t>
      </w:r>
      <w:r>
        <w:rPr>
          <w:rStyle w:val="VerbatimChar"/>
        </w:rPr>
        <w:t xml:space="preserve">tool_runs</w:t>
      </w:r>
      <w:r>
        <w:t xml:space="preserve"> </w:t>
      </w:r>
      <w:r>
        <w:t xml:space="preserve">row whose</w:t>
      </w:r>
      <w:r>
        <w:t xml:space="preserve"> </w:t>
      </w:r>
      <w:r>
        <w:rPr>
          <w:rStyle w:val="VerbatimChar"/>
        </w:rPr>
        <w:t xml:space="preserve">parent_run_id</w:t>
      </w:r>
      <w:r>
        <w:t xml:space="preserve"> </w:t>
      </w:r>
      <w:r>
        <w:t xml:space="preserve">points to the original. This produces a complete audit trail of the user’s iteration on any single piece of analytical work, and supports rolling back a result that the user found less useful than its predecessor.</w:t>
      </w:r>
    </w:p>
    <w:p>
      <w:pPr>
        <w:pStyle w:val="BodyText"/>
      </w:pPr>
      <w:r>
        <w:t xml:space="preserve">Second,</w:t>
      </w:r>
      <w:r>
        <w:t xml:space="preserve"> </w:t>
      </w:r>
      <w:r>
        <w:rPr>
          <w:b/>
          <w:bCs/>
        </w:rPr>
        <w:t xml:space="preserve">guest tool runs are never persisted to the database</w:t>
      </w:r>
      <w: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pPr>
      <w:r>
        <w:t xml:space="preserve">The</w:t>
      </w:r>
      <w:r>
        <w:t xml:space="preserve"> </w:t>
      </w:r>
      <w:r>
        <w:rPr>
          <w:rStyle w:val="VerbatimChar"/>
        </w:rPr>
        <w:t xml:space="preserve">linked_context_ids</w:t>
      </w:r>
      <w:r>
        <w:t xml:space="preserve"> </w:t>
      </w:r>
      <w: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pPr>
      <w:r>
        <w:t xml:space="preserve">2.6 Authentication and security</w:t>
      </w:r>
    </w:p>
    <w:p>
      <w:pPr>
        <w:pStyle w:val="FirstParagraph"/>
      </w:pPr>
      <w:r>
        <w:t xml:space="preserve">Authentication uses JSON Web Tokens carried in HttpOnly cookies. There are two cookies: a 30-minute</w:t>
      </w:r>
      <w:r>
        <w:t xml:space="preserve"> </w:t>
      </w:r>
      <w:r>
        <w:rPr>
          <w:i/>
          <w:iCs/>
        </w:rPr>
        <w:t xml:space="preserve">access</w:t>
      </w:r>
      <w:r>
        <w:t xml:space="preserve"> </w:t>
      </w:r>
      <w:r>
        <w:t xml:space="preserve">token and a 7-day</w:t>
      </w:r>
      <w:r>
        <w:t xml:space="preserve"> </w:t>
      </w:r>
      <w:r>
        <w:rPr>
          <w:i/>
          <w:iCs/>
        </w:rPr>
        <w:t xml:space="preserve">refresh</w:t>
      </w:r>
      <w:r>
        <w:t xml:space="preserve"> </w:t>
      </w:r>
      <w:r>
        <w:t xml:space="preserve">token. The access token carries the user identifier and is validated on every protected request through a FastAPI dependency. The refresh token is sent only to a single endpoint (</w:t>
      </w:r>
      <w:r>
        <w:rPr>
          <w:rStyle w:val="VerbatimChar"/>
        </w:rPr>
        <w:t xml:space="preserve">/auth/refresh</w:t>
      </w:r>
      <w:r>
        <w:t xml:space="preserve">) and is rotated on every successful refresh; the previous refresh token is invalidated atomically with the issue of the new pair to prevent replay. Cookies are marked</w:t>
      </w:r>
      <w:r>
        <w:t xml:space="preserve"> </w:t>
      </w:r>
      <w:r>
        <w:rPr>
          <w:rStyle w:val="VerbatimChar"/>
        </w:rPr>
        <w:t xml:space="preserve">Secure</w:t>
      </w:r>
      <w:r>
        <w:t xml:space="preserve">,</w:t>
      </w:r>
      <w:r>
        <w:t xml:space="preserve"> </w:t>
      </w:r>
      <w:r>
        <w:rPr>
          <w:rStyle w:val="VerbatimChar"/>
        </w:rPr>
        <w:t xml:space="preserve">SameSite=Lax</w:t>
      </w:r>
      <w:r>
        <w:t xml:space="preserve">, and</w:t>
      </w:r>
      <w:r>
        <w:t xml:space="preserve"> </w:t>
      </w:r>
      <w:r>
        <w:rPr>
          <w:rStyle w:val="VerbatimChar"/>
        </w:rPr>
        <w:t xml:space="preserve">HttpOnly</w:t>
      </w:r>
      <w:r>
        <w:t xml:space="preserve">. No CSRF tokens are issued, because the API accepts only</w:t>
      </w:r>
      <w:r>
        <w:t xml:space="preserve"> </w:t>
      </w:r>
      <w:r>
        <w:rPr>
          <w:rStyle w:val="VerbatimChar"/>
        </w:rPr>
        <w:t xml:space="preserve">application/json</w:t>
      </w:r>
      <w:r>
        <w:t xml:space="preserve"> </w:t>
      </w:r>
      <w:r>
        <w:t xml:space="preserve">request bodies and the SameSite policy is sufficient against the threat model.</w:t>
      </w:r>
    </w:p>
    <w:p>
      <w:pPr>
        <w:pStyle w:val="BodyText"/>
      </w:pPr>
      <w:r>
        <w:t xml:space="preserve">Federated login is supported through Google OAuth using the</w:t>
      </w:r>
      <w:r>
        <w:t xml:space="preserve"> </w:t>
      </w:r>
      <w:r>
        <w:rPr>
          <w:rStyle w:val="VerbatimChar"/>
        </w:rPr>
        <w:t xml:space="preserve">authlib</w:t>
      </w:r>
      <w:r>
        <w:t xml:space="preserve"> </w:t>
      </w:r>
      <w:r>
        <w:t xml:space="preserve">library. Password reset is implemented through a single-use token sent by Resend; the token is bound to a hash of the user’s current password hash, so a successful reset implicitly invalidates earlier reset tokens.</w:t>
      </w:r>
    </w:p>
    <w:p>
      <w:pPr>
        <w:pStyle w:val="BodyText"/>
      </w:pPr>
      <w:r>
        <w:t xml:space="preserve">Beyond authentication, three additional security measures are worth noting. Inputs are sanitised before reaching any prompt builder (Section 2.3.2). Disposable-email domains are blocklisted at signup. Rate limiting is enforced through</w:t>
      </w:r>
      <w:r>
        <w:t xml:space="preserve"> </w:t>
      </w:r>
      <w:r>
        <w:rPr>
          <w:rStyle w:val="VerbatimChar"/>
        </w:rPr>
        <w:t xml:space="preserve">slowapi</w:t>
      </w:r>
      <w: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pPr>
      <w:r>
        <w:t xml:space="preserve">2.7 Deployment topology</w:t>
      </w:r>
    </w:p>
    <w:p>
      <w:pPr>
        <w:pStyle w:val="FirstParagraph"/>
      </w:pPr>
      <w:r>
        <w:t xml:space="preserve">The production deployment runs as a single Railway project containing two application services (frontend and backend) plus a managed PostgreSQL add-on (Figure 2.3).</w:t>
      </w:r>
    </w:p>
    <w:p>
      <w:pPr>
        <w:pStyle w:val="CaptionedFigure"/>
      </w:pPr>
      <w:r>
        <w:drawing>
          <wp:inline>
            <wp:extent cx="5504749" cy="3822742"/>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5504749" cy="3822742"/>
                    </a:xfrm>
                    <a:prstGeom prst="rect">
                      <a:avLst/>
                    </a:prstGeom>
                    <a:noFill/>
                    <a:ln w="9525">
                      <a:noFill/>
                      <a:headEnd/>
                      <a:tailEnd/>
                    </a:ln>
                  </pic:spPr>
                </pic:pic>
              </a:graphicData>
            </a:graphic>
          </wp:inline>
        </w:drawing>
      </w:r>
    </w:p>
    <w:p>
      <w:pPr>
        <w:pStyle w:val="ImageCaption"/>
      </w:pPr>
      <w:r>
        <w:t xml:space="preserve">Figure 2.3: Production deployment topology. Browser traffic resolves through Cloudflare DNS and TLS into a single Railway hostname; path-based routing at the Railway edge delivers the</w:t>
      </w:r>
      <w:r>
        <w:t xml:space="preserve"> </w:t>
      </w:r>
      <w:r>
        <w:rPr>
          <w:rStyle w:val="VerbatimChar"/>
        </w:rPr>
        <w:t xml:space="preserve">/</w:t>
      </w:r>
      <w:r>
        <w:t xml:space="preserve"> </w:t>
      </w:r>
      <w:r>
        <w:t xml:space="preserve">path to the Vite-built frontend service and the</w:t>
      </w:r>
      <w:r>
        <w:t xml:space="preserve"> </w:t>
      </w:r>
      <w:r>
        <w:rPr>
          <w:rStyle w:val="VerbatimChar"/>
        </w:rPr>
        <w:t xml:space="preserve">/api/v1/*</w:t>
      </w:r>
      <w:r>
        <w:t xml:space="preserve"> </w:t>
      </w:r>
      <w: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pPr>
      <w: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pPr>
      <w:r>
        <w:t xml:space="preserve">Continuous deployment is wired to a single branch (</w:t>
      </w:r>
      <w:r>
        <w:rPr>
          <w:rStyle w:val="VerbatimChar"/>
        </w:rPr>
        <w:t xml:space="preserve">deploy</w:t>
      </w:r>
      <w:r>
        <w:t xml:space="preserve">). Pushing to</w:t>
      </w:r>
      <w:r>
        <w:t xml:space="preserve"> </w:t>
      </w:r>
      <w:r>
        <w:rPr>
          <w:rStyle w:val="VerbatimChar"/>
        </w:rPr>
        <w:t xml:space="preserve">main</w:t>
      </w:r>
      <w:r>
        <w:t xml:space="preserve"> </w:t>
      </w:r>
      <w:r>
        <w:t xml:space="preserve">is a development checkpoint; promoting a commit to</w:t>
      </w:r>
      <w:r>
        <w:t xml:space="preserve"> </w:t>
      </w:r>
      <w:r>
        <w:rPr>
          <w:rStyle w:val="VerbatimChar"/>
        </w:rPr>
        <w:t xml:space="preserve">deploy</w:t>
      </w:r>
      <w:r>
        <w:t xml:space="preserve"> </w:t>
      </w:r>
      <w: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pPr>
      <w:r>
        <w:t xml:space="preserve">The Railway choice was driven by the desire for a unified deployment surface. Serving the frontend at</w:t>
      </w:r>
      <w:r>
        <w:t xml:space="preserve"> </w:t>
      </w:r>
      <w:r>
        <w:rPr>
          <w:rStyle w:val="VerbatimChar"/>
        </w:rPr>
        <w:t xml:space="preserve">/</w:t>
      </w:r>
      <w:r>
        <w:t xml:space="preserve"> </w:t>
      </w:r>
      <w:r>
        <w:t xml:space="preserve">and the backend at</w:t>
      </w:r>
      <w:r>
        <w:t xml:space="preserve"> </w:t>
      </w:r>
      <w:r>
        <w:rPr>
          <w:rStyle w:val="VerbatimChar"/>
        </w:rPr>
        <w:t xml:space="preserve">/api/*</w:t>
      </w:r>
      <w:r>
        <w:t xml:space="preserve"> </w:t>
      </w:r>
      <w:r>
        <w:t xml:space="preserve">from a single hostname collapses the entire system into one domain, which removes an entire class of CORS and</w:t>
      </w:r>
      <w:r>
        <w:t xml:space="preserve"> </w:t>
      </w:r>
      <w:r>
        <w:rPr>
          <w:rStyle w:val="VerbatimChar"/>
        </w:rPr>
        <w:t xml:space="preserve">SameSite</w:t>
      </w:r>
      <w: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pPr>
      <w: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pPr>
      <w:r>
        <w:t xml:space="preserve">The next chapter details the implementation of each of the six tools that this architecture supports.</w:t>
      </w:r>
    </w:p>
    <w:bookmarkEnd w:id="58"/>
    <w:bookmarkEnd w:id="59"/>
    <w:bookmarkStart w:id="85" w:name="chapter-3-tool-implementations"/>
    <w:p>
      <w:pPr>
        <w:pStyle w:val="Heading1"/>
      </w:pPr>
      <w:r>
        <w:t xml:space="preserve">Chapter 3 — Tool implementations</w:t>
      </w:r>
    </w:p>
    <w:p>
      <w:pPr>
        <w:pStyle w:val="FirstParagraph"/>
      </w:pPr>
      <w: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t xml:space="preserve"> </w:t>
      </w:r>
      <w:r>
        <w:rPr>
          <w:i/>
          <w:iCs/>
        </w:rPr>
        <w:t xml:space="preserve">primary</w:t>
      </w:r>
      <w:r>
        <w:t xml:space="preserve"> </w:t>
      </w:r>
      <w:r>
        <w:t xml:space="preserve">tools (Resume, Job Match) produce numerical assessments and can therefore be run in either the blended or the fully-heuristic mode introduced in Chapter 4. The</w:t>
      </w:r>
      <w:r>
        <w:t xml:space="preserve"> </w:t>
      </w:r>
      <w:r>
        <w:rPr>
          <w:i/>
          <w:iCs/>
        </w:rPr>
        <w:t xml:space="preserve">application</w:t>
      </w:r>
      <w:r>
        <w:t xml:space="preserve"> </w:t>
      </w:r>
      <w:r>
        <w:t xml:space="preserve">tools (Cover Letter, Interview Q&amp;A) generate creative artefacts and are LLM-only by construction. The</w:t>
      </w:r>
      <w:r>
        <w:t xml:space="preserve"> </w:t>
      </w:r>
      <w:r>
        <w:rPr>
          <w:i/>
          <w:iCs/>
        </w:rPr>
        <w:t xml:space="preserve">planning</w:t>
      </w:r>
      <w:r>
        <w:t xml:space="preserve"> </w:t>
      </w:r>
      <w: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pPr>
      <w:r>
        <w:t xml:space="preserve">Before discussing each tool, Section 3.1 isolates the cross-cutting concerns that all six share, so that the per-tool sections can focus on what is specific to each.</w:t>
      </w:r>
    </w:p>
    <w:bookmarkStart w:id="65" w:name="cross-cutting-design"/>
    <w:p>
      <w:pPr>
        <w:pStyle w:val="Heading2"/>
      </w:pPr>
      <w:r>
        <w:t xml:space="preserve">3.1 Cross-cutting design</w:t>
      </w:r>
    </w:p>
    <w:bookmarkStart w:id="60" w:name="the-structured-output-llm-client"/>
    <w:p>
      <w:pPr>
        <w:pStyle w:val="Heading3"/>
      </w:pPr>
      <w:r>
        <w:t xml:space="preserve">3.1.1 The structured-output LLM client</w:t>
      </w:r>
    </w:p>
    <w:p>
      <w:pPr>
        <w:pStyle w:val="FirstParagraph"/>
      </w:pPr>
      <w:r>
        <w:t xml:space="preserve">All LLM calls go through a single coroutine,</w:t>
      </w:r>
      <w:r>
        <w:t xml:space="preserve"> </w:t>
      </w:r>
      <w:r>
        <w:rPr>
          <w:rStyle w:val="VerbatimChar"/>
        </w:rPr>
        <w:t xml:space="preserve">complete_structured(system_prompt, user_prompt, schema=None, model_override=None)</w:t>
      </w:r>
      <w:r>
        <w:t xml:space="preserve">, defined in</w:t>
      </w:r>
      <w:r>
        <w:t xml:space="preserve"> </w:t>
      </w:r>
      <w:r>
        <w:rPr>
          <w:rStyle w:val="VerbatimChar"/>
        </w:rPr>
        <w:t xml:space="preserve">app/services/ai_client.py</w:t>
      </w:r>
      <w:r>
        <w:t xml:space="preserve">. The function lazily initialises the Vertex AI SDK once per process, dispatches the request to the configured provider (</w:t>
      </w:r>
      <w:r>
        <w:rPr>
          <w:rStyle w:val="VerbatimChar"/>
        </w:rPr>
        <w:t xml:space="preserve">vertex</w:t>
      </w:r>
      <w:r>
        <w:t xml:space="preserve"> </w:t>
      </w:r>
      <w:r>
        <w:t xml:space="preserve">in production), requests JSON output, and returns a parsed Python dictionary.</w:t>
      </w:r>
    </w:p>
    <w:p>
      <w:pPr>
        <w:pStyle w:val="BodyText"/>
      </w:pPr>
      <w:r>
        <w:t xml:space="preserve">Two reliability mechanisms are built into the client.</w:t>
      </w:r>
      <w:r>
        <w:t xml:space="preserve"> </w:t>
      </w:r>
      <w:r>
        <w:rPr>
          <w:b/>
          <w:bCs/>
        </w:rPr>
        <w:t xml:space="preserve">Per-call timeout</w:t>
      </w:r>
      <w:r>
        <w:t xml:space="preserve"> </w:t>
      </w:r>
      <w:r>
        <w:t xml:space="preserve">bounds an individual generation at 120 seconds; this is well above the 95th-percentile latency observed in practice but short enough that a stuck request does not tie up a worker indefinitely.</w:t>
      </w:r>
      <w:r>
        <w:t xml:space="preserve"> </w:t>
      </w:r>
      <w:r>
        <w:rPr>
          <w:b/>
          <w:bCs/>
        </w:rPr>
        <w:t xml:space="preserve">Exponential backoff with jitter</w:t>
      </w:r>
      <w:r>
        <w:t xml:space="preserve"> </w:t>
      </w:r>
      <w:r>
        <w:t xml:space="preserve">retries up to four times (at 5, 10, 20, and 40 seconds, plus a small random offset) for transient errors (</w:t>
      </w:r>
      <w:r>
        <w:rPr>
          <w:rStyle w:val="VerbatimChar"/>
        </w:rPr>
        <w:t xml:space="preserve">TimeoutError</w:t>
      </w:r>
      <w:r>
        <w:t xml:space="preserve">,</w:t>
      </w:r>
      <w:r>
        <w:t xml:space="preserve"> </w:t>
      </w:r>
      <w:r>
        <w:rPr>
          <w:rStyle w:val="VerbatimChar"/>
        </w:rPr>
        <w:t xml:space="preserve">RuntimeError</w:t>
      </w:r>
      <w:r>
        <w:t xml:space="preserve">,</w:t>
      </w:r>
      <w:r>
        <w:t xml:space="preserve"> </w:t>
      </w:r>
      <w:r>
        <w:rPr>
          <w:rStyle w:val="VerbatimChar"/>
        </w:rPr>
        <w:t xml:space="preserve">json.JSONDecodeError</w:t>
      </w:r>
      <w:r>
        <w:t xml:space="preserve">). JSON-decode errors are retried because Gemini occasionally truncates structured output under load; the retry loop deliberately excludes</w:t>
      </w:r>
      <w:r>
        <w:t xml:space="preserve"> </w:t>
      </w:r>
      <w:r>
        <w:rPr>
          <w:rStyle w:val="VerbatimChar"/>
        </w:rPr>
        <w:t xml:space="preserve">ValueError</w:t>
      </w:r>
      <w: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pPr>
      <w: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pPr>
      <w:r>
        <w:t xml:space="preserve">3.1.2 The locked-payload prompt pattern</w:t>
      </w:r>
    </w:p>
    <w:p>
      <w:pPr>
        <w:pStyle w:val="FirstParagraph"/>
      </w:pPr>
      <w:r>
        <w:t xml:space="preserve">For the analytical tools (Resume Analyzer, Job Match) the prompt builder constructs three blocks: a</w:t>
      </w:r>
      <w:r>
        <w:t xml:space="preserve"> </w:t>
      </w:r>
      <w:r>
        <w:rPr>
          <w:i/>
          <w:iCs/>
        </w:rPr>
        <w:t xml:space="preserve">system</w:t>
      </w:r>
      <w:r>
        <w:t xml:space="preserve"> </w:t>
      </w:r>
      <w:r>
        <w:t xml:space="preserve">prompt that establishes role, register, and forbidden behaviours; a</w:t>
      </w:r>
      <w:r>
        <w:t xml:space="preserve"> </w:t>
      </w:r>
      <w:r>
        <w:rPr>
          <w:i/>
          <w:iCs/>
        </w:rPr>
        <w:t xml:space="preserve">user</w:t>
      </w:r>
      <w:r>
        <w:t xml:space="preserve"> </w:t>
      </w:r>
      <w:r>
        <w:t xml:space="preserve">prompt that contains the resume and (where applicable) the job description; and a</w:t>
      </w:r>
      <w:r>
        <w:t xml:space="preserve"> </w:t>
      </w:r>
      <w:r>
        <w:rPr>
          <w:i/>
          <w:iCs/>
        </w:rPr>
        <w:t xml:space="preserve">locked-payload</w:t>
      </w:r>
      <w:r>
        <w:t xml:space="preserve"> </w:t>
      </w:r>
      <w: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pPr>
      <w:r>
        <w:t xml:space="preserve">3.1.3 Pydantic-validated structured output</w:t>
      </w:r>
    </w:p>
    <w:p>
      <w:pPr>
        <w:pStyle w:val="FirstParagraph"/>
      </w:pPr>
      <w:r>
        <w:t xml:space="preserve">Every API response returned from a tool router is validated against a Pydantic response model in</w:t>
      </w:r>
      <w:r>
        <w:t xml:space="preserve"> </w:t>
      </w:r>
      <w:r>
        <w:rPr>
          <w:rStyle w:val="VerbatimChar"/>
        </w:rPr>
        <w:t xml:space="preserve">app/schemas/tools.py</w:t>
      </w:r>
      <w:r>
        <w:t xml:space="preserve">. The frontend mirrors those response contracts with Zod schemas in</w:t>
      </w:r>
      <w:r>
        <w:t xml:space="preserve"> </w:t>
      </w:r>
      <w:r>
        <w:rPr>
          <w:rStyle w:val="VerbatimChar"/>
        </w:rPr>
        <w:t xml:space="preserve">frontend/src/lib/api/schemas.ts</w:t>
      </w:r>
      <w:r>
        <w:t xml:space="preserve"> </w:t>
      </w:r>
      <w: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pPr>
      <w:r>
        <w:t xml:space="preserve">3.1.4 Fallback policy</w:t>
      </w:r>
    </w:p>
    <w:p>
      <w:pPr>
        <w:pStyle w:val="FirstParagraph"/>
      </w:pPr>
      <w:r>
        <w:t xml:space="preserve">The system distinguishes two failure modes for an LLM call: a recoverable failure that should produce a degraded but useful response, and an unrecoverable failure that should surface as an explicit error to the user.</w:t>
      </w:r>
    </w:p>
    <w:p>
      <w:pPr>
        <w:pStyle w:val="BodyText"/>
      </w:pPr>
      <w:r>
        <w:t xml:space="preserve">For</w:t>
      </w:r>
      <w:r>
        <w:t xml:space="preserve"> </w:t>
      </w:r>
      <w:r>
        <w:rPr>
          <w:i/>
          <w:iCs/>
        </w:rPr>
        <w:t xml:space="preserve">analytical</w:t>
      </w:r>
      <w:r>
        <w:t xml:space="preserve"> </w:t>
      </w:r>
      <w:r>
        <w:t xml:space="preserve">tools (Resume Analyzer, Job Match) the recoverable path is taken: when</w:t>
      </w:r>
      <w:r>
        <w:t xml:space="preserve"> </w:t>
      </w:r>
      <w:r>
        <w:rPr>
          <w:rStyle w:val="VerbatimChar"/>
        </w:rPr>
        <w:t xml:space="preserve">complete_structured</w:t>
      </w:r>
      <w:r>
        <w:t xml:space="preserve"> </w:t>
      </w:r>
      <w: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t xml:space="preserve"> </w:t>
      </w:r>
      <w:r>
        <w:rPr>
          <w:rStyle w:val="VerbatimChar"/>
        </w:rPr>
        <w:t xml:space="preserve">confidence_note</w:t>
      </w:r>
      <w:r>
        <w:t xml:space="preserve"> </w:t>
      </w:r>
      <w:r>
        <w:t xml:space="preserve">indicating that the analysis ran in heuristic-only mode. This design satisfies non-functional requirement N3 of Chapter 2.</w:t>
      </w:r>
    </w:p>
    <w:p>
      <w:pPr>
        <w:pStyle w:val="BodyText"/>
      </w:pPr>
      <w: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pPr>
      <w:r>
        <w:t xml:space="preserve">For</w:t>
      </w:r>
      <w:r>
        <w:t xml:space="preserve"> </w:t>
      </w:r>
      <w:r>
        <w:rPr>
          <w:i/>
          <w:iCs/>
        </w:rPr>
        <w:t xml:space="preserve">generative</w:t>
      </w:r>
      <w:r>
        <w:t xml:space="preserve"> </w:t>
      </w:r>
      <w: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pPr>
      <w:r>
        <w:t xml:space="preserve">3.1.5 Caching</w:t>
      </w:r>
    </w:p>
    <w:p>
      <w:pPr>
        <w:pStyle w:val="FirstParagraph"/>
      </w:pPr>
      <w: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Section 5.3 documents the Redis-backed shared cache as the planned operational upgrade.</w:t>
      </w:r>
    </w:p>
    <w:bookmarkEnd w:id="64"/>
    <w:bookmarkEnd w:id="65"/>
    <w:bookmarkStart w:id="69" w:name="resume-analyzer"/>
    <w:p>
      <w:pPr>
        <w:pStyle w:val="Heading2"/>
      </w:pPr>
      <w:r>
        <w:t xml:space="preserve">3.2 Resume Analyzer</w:t>
      </w:r>
    </w:p>
    <w:p>
      <w:pPr>
        <w:pStyle w:val="FirstParagraph"/>
      </w:pPr>
      <w: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pPr>
      <w:r>
        <w:t xml:space="preserve">3.2.1 Input contract</w:t>
      </w:r>
    </w:p>
    <w:p>
      <w:pPr>
        <w:pStyle w:val="FirstParagraph"/>
      </w:pPr>
      <w:r>
        <w:t xml:space="preserve">The request body contains the raw resume text (free-form, minimum 50 characters), an optional job description text, and an optional</w:t>
      </w:r>
      <w:r>
        <w:t xml:space="preserve"> </w:t>
      </w:r>
      <w:r>
        <w:rPr>
          <w:rStyle w:val="VerbatimChar"/>
        </w:rPr>
        <w:t xml:space="preserve">feedback</w:t>
      </w:r>
      <w:r>
        <w:t xml:space="preserve"> </w:t>
      </w:r>
      <w:r>
        <w:t xml:space="preserve">string used when the user regenerates with a specific instruction.</w:t>
      </w:r>
    </w:p>
    <w:bookmarkEnd w:id="66"/>
    <w:bookmarkStart w:id="67" w:name="heuristic-prepass"/>
    <w:p>
      <w:pPr>
        <w:pStyle w:val="Heading3"/>
      </w:pPr>
      <w:r>
        <w:t xml:space="preserve">3.2.2 Heuristic prepass</w:t>
      </w:r>
    </w:p>
    <w:p>
      <w:pPr>
        <w:pStyle w:val="FirstParagraph"/>
      </w:pPr>
      <w:r>
        <w:rPr>
          <w:rStyle w:val="VerbatimChar"/>
        </w:rPr>
        <w:t xml:space="preserve">build_resume_prepass(resume_text, job_description)</w:t>
      </w:r>
      <w:r>
        <w:t xml:space="preserve"> </w:t>
      </w:r>
      <w:r>
        <w:t xml:space="preserve">performs five extractions in a single pass over the resume text.</w:t>
      </w:r>
    </w:p>
    <w:p>
      <w:pPr>
        <w:pStyle w:val="Compact"/>
        <w:numPr>
          <w:ilvl w:val="0"/>
          <w:numId w:val="1006"/>
        </w:numPr>
      </w:pPr>
      <w:r>
        <w:rPr>
          <w:b/>
          <w:bCs/>
        </w:rPr>
        <w:t xml:space="preserve">Section detection.</w:t>
      </w:r>
      <w:r>
        <w:t xml:space="preserve"> </w:t>
      </w:r>
      <w:r>
        <w:t xml:space="preserve">A regular-expression pass identifies common resume section headers (</w:t>
      </w:r>
      <w:r>
        <w:rPr>
          <w:rStyle w:val="VerbatimChar"/>
        </w:rPr>
        <w:t xml:space="preserve">Summary</w:t>
      </w:r>
      <w:r>
        <w:t xml:space="preserve">,</w:t>
      </w:r>
      <w:r>
        <w:t xml:space="preserve"> </w:t>
      </w:r>
      <w:r>
        <w:rPr>
          <w:rStyle w:val="VerbatimChar"/>
        </w:rPr>
        <w:t xml:space="preserve">Experience</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Projects</w:t>
      </w:r>
      <w:r>
        <w:t xml:space="preserve">,</w:t>
      </w:r>
      <w:r>
        <w:t xml:space="preserve"> </w:t>
      </w:r>
      <w:r>
        <w:rPr>
          <w:rStyle w:val="VerbatimChar"/>
        </w:rPr>
        <w:t xml:space="preserve">Certifications</w:t>
      </w:r>
      <w:r>
        <w:t xml:space="preserve">) and returns the set of sections present.</w:t>
      </w:r>
    </w:p>
    <w:p>
      <w:pPr>
        <w:pStyle w:val="Compact"/>
        <w:numPr>
          <w:ilvl w:val="0"/>
          <w:numId w:val="1006"/>
        </w:numPr>
      </w:pPr>
      <w:r>
        <w:rPr>
          <w:b/>
          <w:bCs/>
        </w:rPr>
        <w:t xml:space="preserve">Keyword extraction.</w:t>
      </w:r>
      <w:r>
        <w:t xml:space="preserve"> </w:t>
      </w:r>
      <w: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pPr>
      <w:r>
        <w:rPr>
          <w:b/>
          <w:bCs/>
        </w:rPr>
        <w:t xml:space="preserve">Quantification detection.</w:t>
      </w:r>
      <w:r>
        <w:t xml:space="preserve"> </w:t>
      </w:r>
      <w:r>
        <w:t xml:space="preserve">Bullet lines are scanned for numbers, percentages, currency tokens, and time periods that indicate measurable outcomes. The count of quantified bullets is one of the inputs to the</w:t>
      </w:r>
      <w:r>
        <w:t xml:space="preserve"> </w:t>
      </w:r>
      <w:r>
        <w:rPr>
          <w:i/>
          <w:iCs/>
        </w:rPr>
        <w:t xml:space="preserve">impact</w:t>
      </w:r>
      <w:r>
        <w:t xml:space="preserve"> </w:t>
      </w:r>
      <w:r>
        <w:t xml:space="preserve">sub-score.</w:t>
      </w:r>
    </w:p>
    <w:p>
      <w:pPr>
        <w:pStyle w:val="Compact"/>
        <w:numPr>
          <w:ilvl w:val="0"/>
          <w:numId w:val="1006"/>
        </w:numPr>
      </w:pPr>
      <w:r>
        <w:rPr>
          <w:b/>
          <w:bCs/>
        </w:rPr>
        <w:t xml:space="preserve">Skill extraction.</w:t>
      </w:r>
      <w:r>
        <w:t xml:space="preserve"> </w:t>
      </w:r>
      <w: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pPr>
      <w:r>
        <w:rPr>
          <w:b/>
          <w:bCs/>
        </w:rPr>
        <w:t xml:space="preserve">Structural metrics.</w:t>
      </w:r>
      <w:r>
        <w:t xml:space="preserve"> </w:t>
      </w:r>
      <w:r>
        <w:t xml:space="preserve">The total bullet count, the word count, and the number of detected sections are returned as inputs to the</w:t>
      </w:r>
      <w:r>
        <w:t xml:space="preserve"> </w:t>
      </w:r>
      <w:r>
        <w:rPr>
          <w:i/>
          <w:iCs/>
        </w:rPr>
        <w:t xml:space="preserve">structure</w:t>
      </w:r>
      <w:r>
        <w:t xml:space="preserve">,</w:t>
      </w:r>
      <w:r>
        <w:t xml:space="preserve"> </w:t>
      </w:r>
      <w:r>
        <w:rPr>
          <w:i/>
          <w:iCs/>
        </w:rPr>
        <w:t xml:space="preserve">clarity</w:t>
      </w:r>
      <w:r>
        <w:t xml:space="preserve">, and</w:t>
      </w:r>
      <w:r>
        <w:t xml:space="preserve"> </w:t>
      </w:r>
      <w:r>
        <w:rPr>
          <w:i/>
          <w:iCs/>
        </w:rPr>
        <w:t xml:space="preserve">completeness</w:t>
      </w:r>
      <w:r>
        <w:t xml:space="preserve"> </w:t>
      </w:r>
      <w:r>
        <w:t xml:space="preserve">sub-scores.</w:t>
      </w:r>
    </w:p>
    <w:p>
      <w:pPr>
        <w:pStyle w:val="FirstParagraph"/>
      </w:pPr>
      <w:r>
        <w:t xml:space="preserve">The five-axis score breakdown (keyword alignment, impact, structure, clarity, and completeness) is computed from these extractions through</w:t>
      </w:r>
      <w:r>
        <w:t xml:space="preserve"> </w:t>
      </w:r>
      <w:r>
        <w:rPr>
          <w:rStyle w:val="VerbatimChar"/>
        </w:rPr>
        <w:t xml:space="preserve">compute_resume_breakdown</w:t>
      </w:r>
      <w:r>
        <w:t xml:space="preserve"> </w:t>
      </w:r>
      <w:r>
        <w:t xml:space="preserve">in</w:t>
      </w:r>
      <w:r>
        <w:t xml:space="preserve"> </w:t>
      </w:r>
      <w:r>
        <w:rPr>
          <w:rStyle w:val="VerbatimChar"/>
        </w:rPr>
        <w:t xml:space="preserve">app/services/quality_signals.py</w:t>
      </w:r>
      <w:r>
        <w:t xml:space="preserve">. Each sub-score is clamped to the integer range [0, 100].</w:t>
      </w:r>
    </w:p>
    <w:bookmarkEnd w:id="67"/>
    <w:bookmarkStart w:id="68" w:name="prompt-and-post-processing"/>
    <w:p>
      <w:pPr>
        <w:pStyle w:val="Heading3"/>
      </w:pPr>
      <w:r>
        <w:t xml:space="preserve">3.2.3 Prompt and post-processing</w:t>
      </w:r>
    </w:p>
    <w:p>
      <w:pPr>
        <w:pStyle w:val="FirstParagraph"/>
      </w:pPr>
      <w:r>
        <w:t xml:space="preserve">The resume prompt (</w:t>
      </w:r>
      <w:r>
        <w:rPr>
          <w:rStyle w:val="VerbatimChar"/>
        </w:rPr>
        <w:t xml:space="preserve">app/prompts/resume.py</w:t>
      </w:r>
      <w: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t xml:space="preserve"> </w:t>
      </w:r>
      <w:r>
        <w:rPr>
          <w:rStyle w:val="VerbatimChar"/>
        </w:rPr>
        <w:t xml:space="preserve">why_it_matters</w:t>
      </w:r>
      <w:r>
        <w:t xml:space="preserve">,</w:t>
      </w:r>
      <w:r>
        <w:t xml:space="preserve"> </w:t>
      </w:r>
      <w:r>
        <w:rPr>
          <w:rStyle w:val="VerbatimChar"/>
        </w:rPr>
        <w:t xml:space="preserve">evidence</w:t>
      </w:r>
      <w:r>
        <w:t xml:space="preserve">, and</w:t>
      </w:r>
      <w:r>
        <w:t xml:space="preserve"> </w:t>
      </w:r>
      <w:r>
        <w:rPr>
          <w:rStyle w:val="VerbatimChar"/>
        </w:rPr>
        <w:t xml:space="preserve">fix</w:t>
      </w:r>
      <w:r>
        <w:t xml:space="preserve"> </w:t>
      </w:r>
      <w:r>
        <w:t xml:space="preserve">fields, and to produce up to three prioritised top actions that may be different in framing from the issues. When the user has specified a target role label in the job description, the LLM additionally produces a</w:t>
      </w:r>
      <w:r>
        <w:t xml:space="preserve"> </w:t>
      </w:r>
      <w:r>
        <w:rPr>
          <w:rStyle w:val="VerbatimChar"/>
        </w:rPr>
        <w:t xml:space="preserve">role_fit</w:t>
      </w:r>
      <w:r>
        <w:t xml:space="preserve"> </w:t>
      </w:r>
      <w:r>
        <w:t xml:space="preserve">block with a fit score and a rationale.</w:t>
      </w:r>
    </w:p>
    <w:p>
      <w:pPr>
        <w:pStyle w:val="BodyText"/>
      </w:pPr>
      <w: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t xml:space="preserve"> </w:t>
      </w:r>
      <w:r>
        <w:rPr>
          <w:rStyle w:val="VerbatimChar"/>
        </w:rPr>
        <w:t xml:space="preserve">confidence_note</w:t>
      </w:r>
      <w:r>
        <w:t xml:space="preserve"> </w:t>
      </w:r>
      <w:r>
        <w:t xml:space="preserve">is added to the response surface so that the user understands that two estimates disagreed.</w:t>
      </w:r>
    </w:p>
    <w:bookmarkEnd w:id="68"/>
    <w:bookmarkEnd w:id="69"/>
    <w:bookmarkStart w:id="73" w:name="job-match"/>
    <w:p>
      <w:pPr>
        <w:pStyle w:val="Heading2"/>
      </w:pPr>
      <w:r>
        <w:t xml:space="preserve">3.3 Job Match</w:t>
      </w:r>
    </w:p>
    <w:p>
      <w:pPr>
        <w:pStyle w:val="FirstParagraph"/>
      </w:pPr>
      <w:r>
        <w:t xml:space="preserve">The Job Match tool accepts a resume and a job description (provided as text or as a URL) and produces a structured match assessment.</w:t>
      </w:r>
    </w:p>
    <w:bookmarkStart w:id="70" w:name="input-contract-1"/>
    <w:p>
      <w:pPr>
        <w:pStyle w:val="Heading3"/>
      </w:pPr>
      <w:r>
        <w:t xml:space="preserve">3.3.1 Input contract</w:t>
      </w:r>
    </w:p>
    <w:p>
      <w:pPr>
        <w:pStyle w:val="FirstParagraph"/>
      </w:pPr>
      <w: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pPr>
      <w:r>
        <w:t xml:space="preserve">3.3.2 Heuristic prepass</w:t>
      </w:r>
    </w:p>
    <w:p>
      <w:pPr>
        <w:pStyle w:val="FirstParagraph"/>
      </w:pPr>
      <w:r>
        <w:t xml:space="preserve">The Job Match prepass extends the Resume Analyzer prepass with a single additional output: a deterministic match score computed from the matched-keyword and missing-keyword lists through</w:t>
      </w:r>
      <w:r>
        <w:t xml:space="preserve"> </w:t>
      </w:r>
      <w:r>
        <w:rPr>
          <w:rStyle w:val="VerbatimChar"/>
        </w:rPr>
        <w:t xml:space="preserve">compute_match_score</w:t>
      </w:r>
      <w:r>
        <w:t xml:space="preserve"> </w:t>
      </w:r>
      <w:r>
        <w:t xml:space="preserve">in</w:t>
      </w:r>
      <w:r>
        <w:t xml:space="preserve"> </w:t>
      </w:r>
      <w:r>
        <w:rPr>
          <w:rStyle w:val="VerbatimChar"/>
        </w:rPr>
        <w:t xml:space="preserve">app/services/quality_signals.py</w:t>
      </w:r>
      <w:r>
        <w:t xml:space="preserve">. The function returns a value in [0, 100] derived from the matched-to-total ratio. The deterministic verdict (</w:t>
      </w:r>
      <w:r>
        <w:rPr>
          <w:rStyle w:val="VerbatimChar"/>
        </w:rPr>
        <w:t xml:space="preserve">strong</w:t>
      </w:r>
      <w:r>
        <w:t xml:space="preserve">,</w:t>
      </w:r>
      <w:r>
        <w:t xml:space="preserve"> </w:t>
      </w:r>
      <w:r>
        <w:rPr>
          <w:rStyle w:val="VerbatimChar"/>
        </w:rPr>
        <w:t xml:space="preserve">borderline</w:t>
      </w:r>
      <w:r>
        <w:t xml:space="preserve">,</w:t>
      </w:r>
      <w:r>
        <w:t xml:space="preserve"> </w:t>
      </w:r>
      <w:r>
        <w:rPr>
          <w:rStyle w:val="VerbatimChar"/>
        </w:rPr>
        <w:t xml:space="preserve">stretch</w:t>
      </w:r>
      <w:r>
        <w:t xml:space="preserve">) is read off this score by</w:t>
      </w:r>
      <w:r>
        <w:t xml:space="preserve"> </w:t>
      </w:r>
      <w:r>
        <w:rPr>
          <w:rStyle w:val="VerbatimChar"/>
        </w:rPr>
        <w:t xml:space="preserve">job_match_verdict</w:t>
      </w:r>
      <w:r>
        <w:t xml:space="preserve">.</w:t>
      </w:r>
    </w:p>
    <w:bookmarkEnd w:id="71"/>
    <w:bookmarkStart w:id="72" w:name="prompt-and-post-processing-1"/>
    <w:p>
      <w:pPr>
        <w:pStyle w:val="Heading3"/>
      </w:pPr>
      <w:r>
        <w:t xml:space="preserve">3.3.3 Prompt and post-processing</w:t>
      </w:r>
    </w:p>
    <w:p>
      <w:pPr>
        <w:pStyle w:val="FirstParagraph"/>
      </w:pPr>
      <w:r>
        <w:t xml:space="preserve">The Job Match prompt (</w:t>
      </w:r>
      <w:r>
        <w:rPr>
          <w:rStyle w:val="VerbatimChar"/>
        </w:rPr>
        <w:t xml:space="preserve">app/prompts/job_match.py</w:t>
      </w:r>
      <w:r>
        <w:t xml:space="preserve">) instructs the LLM to produce a structured requirement-by-requirement breakdown. For each detected role requirement, the LLM populates an importance (</w:t>
      </w:r>
      <w:r>
        <w:rPr>
          <w:rStyle w:val="VerbatimChar"/>
        </w:rPr>
        <w:t xml:space="preserve">must</w:t>
      </w:r>
      <w:r>
        <w:t xml:space="preserve"> </w:t>
      </w:r>
      <w:r>
        <w:t xml:space="preserve">/</w:t>
      </w:r>
      <w:r>
        <w:t xml:space="preserve"> </w:t>
      </w:r>
      <w:r>
        <w:rPr>
          <w:rStyle w:val="VerbatimChar"/>
        </w:rPr>
        <w:t xml:space="preserve">preferred</w:t>
      </w:r>
      <w:r>
        <w:t xml:space="preserve">), a status (</w:t>
      </w:r>
      <w:r>
        <w:rPr>
          <w:rStyle w:val="VerbatimChar"/>
        </w:rPr>
        <w:t xml:space="preserve">matched</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missing</w:t>
      </w:r>
      <w: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pPr>
      <w: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pPr>
      <w:r>
        <w:t xml:space="preserve">3.4 Career Path</w:t>
      </w:r>
    </w:p>
    <w:p>
      <w:pPr>
        <w:pStyle w:val="FirstParagraph"/>
      </w:pPr>
      <w:r>
        <w:t xml:space="preserve">The Career Path tool produces forward-looking career suggestions from the resume alone. Unlike Resume Analyzer and Job Match, it does not consume a job description; the user instead optionally supplies a free-form preference string (</w:t>
      </w:r>
      <w:r>
        <w:t xml:space="preserve">“interested in management”</w:t>
      </w:r>
      <w:r>
        <w:t xml:space="preserve">,</w:t>
      </w:r>
      <w:r>
        <w:t xml:space="preserve"> </w:t>
      </w:r>
      <w:r>
        <w:t xml:space="preserve">“want to stay technical”</w:t>
      </w:r>
      <w:r>
        <w:t xml:space="preserve">) that is folded into the prompt.</w:t>
      </w:r>
    </w:p>
    <w:bookmarkStart w:id="74" w:name="heuristic-prepass-2"/>
    <w:p>
      <w:pPr>
        <w:pStyle w:val="Heading3"/>
      </w:pPr>
      <w:r>
        <w:t xml:space="preserve">3.4.1 Heuristic prepass</w:t>
      </w:r>
    </w:p>
    <w:p>
      <w:pPr>
        <w:pStyle w:val="FirstParagraph"/>
      </w:pPr>
      <w:r>
        <w:t xml:space="preserve">The prepass extracts three coarse profile signals from the resume: an inferred</w:t>
      </w:r>
      <w:r>
        <w:t xml:space="preserve"> </w:t>
      </w:r>
      <w:r>
        <w:rPr>
          <w:i/>
          <w:iCs/>
        </w:rPr>
        <w:t xml:space="preserve">discipline</w:t>
      </w:r>
      <w:r>
        <w:t xml:space="preserve"> </w:t>
      </w:r>
      <w:r>
        <w:t xml:space="preserve">(backend-engineering, frontend-engineering, full-stack-engineering, data-analytics, product-design, etc., among ~10 supported categories), an inferred</w:t>
      </w:r>
      <w:r>
        <w:t xml:space="preserve"> </w:t>
      </w:r>
      <w:r>
        <w:rPr>
          <w:i/>
          <w:iCs/>
        </w:rPr>
        <w:t xml:space="preserve">seniority</w:t>
      </w:r>
      <w:r>
        <w:t xml:space="preserve"> </w:t>
      </w:r>
      <w:r>
        <w:t xml:space="preserve">(junior, mid, senior), and an estimated</w:t>
      </w:r>
      <w:r>
        <w:t xml:space="preserve"> </w:t>
      </w:r>
      <w:r>
        <w:rPr>
          <w:i/>
          <w:iCs/>
        </w:rPr>
        <w:t xml:space="preserve">years of experience</w:t>
      </w:r>
      <w:r>
        <w:t xml:space="preserve">. Each inference is conservative; when confidence is low, the prepass returns the most general label.</w:t>
      </w:r>
    </w:p>
    <w:p>
      <w:pPr>
        <w:pStyle w:val="BodyText"/>
      </w:pPr>
      <w:r>
        <w:t xml:space="preserve">For every discipline, a curated</w:t>
      </w:r>
      <w:r>
        <w:t xml:space="preserve"> </w:t>
      </w:r>
      <w:r>
        <w:rPr>
          <w:rStyle w:val="VerbatimChar"/>
        </w:rPr>
        <w:t xml:space="preserve">DISCIPLINE_TARGET_SKILLS</w:t>
      </w:r>
      <w:r>
        <w:t xml:space="preserve"> </w:t>
      </w:r>
      <w:r>
        <w:t xml:space="preserve">mapping defined in</w:t>
      </w:r>
      <w:r>
        <w:t xml:space="preserve"> </w:t>
      </w:r>
      <w:r>
        <w:rPr>
          <w:rStyle w:val="VerbatimChar"/>
        </w:rPr>
        <w:t xml:space="preserve">app/services/career_recommender.py</w:t>
      </w:r>
      <w:r>
        <w:t xml:space="preserve"> </w:t>
      </w:r>
      <w: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pPr>
      <w:r>
        <w:t xml:space="preserve">3.4.2 Prompt and post-processing</w:t>
      </w:r>
    </w:p>
    <w:p>
      <w:pPr>
        <w:pStyle w:val="FirstParagraph"/>
      </w:pPr>
      <w: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pPr>
      <w:r>
        <w:t xml:space="preserve">3.5 Cover Letter</w:t>
      </w:r>
    </w:p>
    <w:p>
      <w:pPr>
        <w:pStyle w:val="FirstParagraph"/>
      </w:pPr>
      <w: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pPr>
      <w:r>
        <w:t xml:space="preserve">3.5.1 Prompt and post-processing</w:t>
      </w:r>
    </w:p>
    <w:p>
      <w:pPr>
        <w:pStyle w:val="FirstParagraph"/>
      </w:pPr>
      <w: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t xml:space="preserve"> </w:t>
      </w:r>
      <w:r>
        <w:t xml:space="preserve">“team player”</w:t>
      </w:r>
      <w:r>
        <w:t xml:space="preserve">,</w:t>
      </w:r>
      <w:r>
        <w:t xml:space="preserve"> </w:t>
      </w:r>
      <w:r>
        <w:t xml:space="preserve">“synergy”</w:t>
      </w:r>
      <w:r>
        <w:t xml:space="preserve">, and</w:t>
      </w:r>
      <w:r>
        <w:t xml:space="preserve"> </w:t>
      </w:r>
      <w:r>
        <w:t xml:space="preserve">“passionate self-starter”</w:t>
      </w:r>
      <w:r>
        <w:t xml:space="preserve">). The response also includes three short alternative opening lines, allowing the user to swap the opening without regenerating the whole letter.</w:t>
      </w:r>
    </w:p>
    <w:bookmarkEnd w:id="77"/>
    <w:bookmarkEnd w:id="78"/>
    <w:bookmarkStart w:id="80" w:name="interview-qa"/>
    <w:p>
      <w:pPr>
        <w:pStyle w:val="Heading2"/>
      </w:pPr>
      <w:r>
        <w:t xml:space="preserve">3.6 Interview Q&amp;A</w:t>
      </w:r>
    </w:p>
    <w:p>
      <w:pPr>
        <w:pStyle w:val="FirstParagraph"/>
      </w:pPr>
      <w:r>
        <w:t xml:space="preserve">The Interview Q&amp;A tool produces a curated list of likely interview questions for a given resume and job description. It is LLM-only.</w:t>
      </w:r>
    </w:p>
    <w:bookmarkStart w:id="79" w:name="prompt-and-post-processing-4"/>
    <w:p>
      <w:pPr>
        <w:pStyle w:val="Heading3"/>
      </w:pPr>
      <w:r>
        <w:t xml:space="preserve">3.6.1 Prompt and post-processing</w:t>
      </w:r>
    </w:p>
    <w:p>
      <w:pPr>
        <w:pStyle w:val="FirstParagraph"/>
      </w:pPr>
      <w:r>
        <w:t xml:space="preserve">The prompt asks the LLM to cluster the generated questions into three categories (</w:t>
      </w:r>
      <w:r>
        <w:rPr>
          <w:i/>
          <w:iCs/>
        </w:rPr>
        <w:t xml:space="preserve">behavioural</w:t>
      </w:r>
      <w:r>
        <w:t xml:space="preserve">,</w:t>
      </w:r>
      <w:r>
        <w:t xml:space="preserve"> </w:t>
      </w:r>
      <w:r>
        <w:rPr>
          <w:i/>
          <w:iCs/>
        </w:rPr>
        <w:t xml:space="preserve">technical</w:t>
      </w:r>
      <w:r>
        <w:t xml:space="preserve">, and</w:t>
      </w:r>
      <w:r>
        <w:t xml:space="preserve"> </w:t>
      </w:r>
      <w:r>
        <w:rPr>
          <w:i/>
          <w:iCs/>
        </w:rPr>
        <w:t xml:space="preserve">role-specific</w:t>
      </w:r>
      <w: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pPr>
      <w: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t xml:space="preserve"> </w:t>
      </w:r>
      <w:r>
        <w:rPr>
          <w:rStyle w:val="VerbatimChar"/>
        </w:rPr>
        <w:t xml:space="preserve">LLM_PRACTICE_MODEL</w:t>
      </w:r>
      <w: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pPr>
      <w:r>
        <w:t xml:space="preserve">3.7 Portfolio Planner</w:t>
      </w:r>
    </w:p>
    <w:p>
      <w:pPr>
        <w:pStyle w:val="FirstParagraph"/>
      </w:pPr>
      <w: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pPr>
      <w:r>
        <w:t xml:space="preserve">3.7.1 Prompt and post-processing</w:t>
      </w:r>
    </w:p>
    <w:p>
      <w:pPr>
        <w:pStyle w:val="FirstParagraph"/>
      </w:pPr>
      <w:r>
        <w:t xml:space="preserve">The prepass detects the resume’s discipline and seniority (the same inference used by Career Path) and identifies up to ten skills that the resume</w:t>
      </w:r>
      <w:r>
        <w:t xml:space="preserve"> </w:t>
      </w:r>
      <w:r>
        <w:rPr>
          <w:i/>
          <w:iCs/>
        </w:rPr>
        <w:t xml:space="preserve">does not</w:t>
      </w:r>
      <w:r>
        <w:t xml:space="preserve"> </w:t>
      </w:r>
      <w: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pPr>
      <w:r>
        <w:t xml:space="preserve">3.8 Persistence, regeneration, and result history</w:t>
      </w:r>
    </w:p>
    <w:p>
      <w:pPr>
        <w:pStyle w:val="FirstParagraph"/>
      </w:pPr>
      <w:r>
        <w:t xml:space="preserve">Every tool result that runs in</w:t>
      </w:r>
      <w:r>
        <w:t xml:space="preserve"> </w:t>
      </w:r>
      <w:r>
        <w:rPr>
          <w:i/>
          <w:iCs/>
        </w:rPr>
        <w:t xml:space="preserve">authenticated</w:t>
      </w:r>
      <w:r>
        <w:t xml:space="preserve"> </w:t>
      </w:r>
      <w:r>
        <w:t xml:space="preserve">mode is persisted as a</w:t>
      </w:r>
      <w:r>
        <w:t xml:space="preserve"> </w:t>
      </w:r>
      <w:r>
        <w:rPr>
          <w:rStyle w:val="VerbatimChar"/>
        </w:rPr>
        <w:t xml:space="preserve">ToolRun</w:t>
      </w:r>
      <w:r>
        <w:t xml:space="preserve"> </w:t>
      </w:r>
      <w:r>
        <w:t xml:space="preserve">row through the shared pipeline (Chapter 2.3.2). The persistence layer adds three behaviours that are visible to the user.</w:t>
      </w:r>
    </w:p>
    <w:p>
      <w:pPr>
        <w:pStyle w:val="BodyText"/>
      </w:pPr>
      <w:r>
        <w:rPr>
          <w:b/>
          <w:bCs/>
        </w:rPr>
        <w:t xml:space="preserve">Result pages by history identifier.</w:t>
      </w:r>
      <w:r>
        <w:t xml:space="preserve"> </w:t>
      </w:r>
      <w:r>
        <w:t xml:space="preserve">The result of a tool run is rendered at</w:t>
      </w:r>
      <w:r>
        <w:t xml:space="preserve"> </w:t>
      </w:r>
      <w:r>
        <w:rPr>
          <w:rStyle w:val="VerbatimChar"/>
        </w:rPr>
        <w:t xml:space="preserve">/&lt;tool&gt;_/result/&lt;historyId&gt;</w:t>
      </w:r>
      <w:r>
        <w:t xml:space="preserve">, where the history identifier is the primary key of the</w:t>
      </w:r>
      <w:r>
        <w:t xml:space="preserve"> </w:t>
      </w:r>
      <w:r>
        <w:rPr>
          <w:rStyle w:val="VerbatimChar"/>
        </w:rPr>
        <w:t xml:space="preserve">ToolRun</w:t>
      </w:r>
      <w:r>
        <w:t xml:space="preserve"> </w:t>
      </w:r>
      <w:r>
        <w:t xml:space="preserve">row. The user can return to a result page later by visiting the URL directly, share the URL with a collaborator who has access to the same account, or reach the result through the</w:t>
      </w:r>
      <w:r>
        <w:t xml:space="preserve"> </w:t>
      </w:r>
      <w:r>
        <w:rPr>
          <w:i/>
          <w:iCs/>
        </w:rPr>
        <w:t xml:space="preserve">History</w:t>
      </w:r>
      <w:r>
        <w:t xml:space="preserve"> </w:t>
      </w:r>
      <w:r>
        <w:t xml:space="preserve">page that lists every run in reverse-chronological order.</w:t>
      </w:r>
    </w:p>
    <w:p>
      <w:pPr>
        <w:pStyle w:val="BodyText"/>
      </w:pPr>
      <w:r>
        <w:rPr>
          <w:b/>
          <w:bCs/>
        </w:rPr>
        <w:t xml:space="preserve">Regeneration as a parent–child chain.</w:t>
      </w:r>
      <w:r>
        <w:t xml:space="preserve"> </w:t>
      </w:r>
      <w:r>
        <w:t xml:space="preserve">When the user regenerates a result with feedback, a new</w:t>
      </w:r>
      <w:r>
        <w:t xml:space="preserve"> </w:t>
      </w:r>
      <w:r>
        <w:rPr>
          <w:rStyle w:val="VerbatimChar"/>
        </w:rPr>
        <w:t xml:space="preserve">ToolRun</w:t>
      </w:r>
      <w:r>
        <w:t xml:space="preserve"> </w:t>
      </w:r>
      <w:r>
        <w:t xml:space="preserve">row is written whose</w:t>
      </w:r>
      <w:r>
        <w:t xml:space="preserve"> </w:t>
      </w:r>
      <w:r>
        <w:rPr>
          <w:rStyle w:val="VerbatimChar"/>
        </w:rPr>
        <w:t xml:space="preserve">parent_run_id</w:t>
      </w:r>
      <w:r>
        <w:t xml:space="preserve"> </w:t>
      </w:r>
      <w:r>
        <w:t xml:space="preserve">points to the original. The history page renders this as a chain rather than as two unrelated entries, making it possible to walk back through earlier iterations of a single piece of analytical work.</w:t>
      </w:r>
    </w:p>
    <w:p>
      <w:pPr>
        <w:pStyle w:val="BodyText"/>
      </w:pPr>
      <w:r>
        <w:rPr>
          <w:b/>
          <w:bCs/>
        </w:rPr>
        <w:t xml:space="preserve">Cross-tool linkage.</w:t>
      </w:r>
      <w:r>
        <w:t xml:space="preserve"> </w:t>
      </w:r>
      <w: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pPr>
      <w:r>
        <w:t xml:space="preserve">3.9 Reliability behaviour observed in production</w:t>
      </w:r>
    </w:p>
    <w:p>
      <w:pPr>
        <w:pStyle w:val="FirstParagraph"/>
      </w:pPr>
      <w: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pPr>
      <w: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t xml:space="preserve"> </w:t>
      </w:r>
      <w:r>
        <w:rPr>
          <w:rStyle w:val="VerbatimChar"/>
        </w:rPr>
        <w:t xml:space="preserve">LLM_PRACTICE_MODEL</w:t>
      </w:r>
      <w:r>
        <w:t xml:space="preserve"> </w:t>
      </w:r>
      <w: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pPr>
      <w: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pPr>
      <w:r>
        <w:t xml:space="preserve">Chapter 4 — Conducted studies and results</w:t>
      </w:r>
    </w:p>
    <w:p>
      <w:pPr>
        <w:pStyle w:val="FirstParagraph"/>
      </w:pPr>
      <w:r>
        <w:t xml:space="preserve">This chapter reports the empirical comparison between the two analytical scoring modes implemented in the system:</w:t>
      </w:r>
      <w:r>
        <w:t xml:space="preserve"> </w:t>
      </w:r>
      <w:r>
        <w:rPr>
          <w:i/>
          <w:iCs/>
        </w:rPr>
        <w:t xml:space="preserve">blended mode</w:t>
      </w:r>
      <w:r>
        <w:t xml:space="preserve"> </w:t>
      </w:r>
      <w:r>
        <w:t xml:space="preserve">(40% heuristic, 60% language-model output) and</w:t>
      </w:r>
      <w:r>
        <w:t xml:space="preserve"> </w:t>
      </w:r>
      <w:r>
        <w:rPr>
          <w:i/>
          <w:iCs/>
        </w:rPr>
        <w:t xml:space="preserve">fully heuristic mode</w:t>
      </w:r>
      <w:r>
        <w:t xml:space="preserve"> </w:t>
      </w:r>
      <w: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pPr>
      <w:r>
        <w:t xml:space="preserve">4.1 Methodology</w:t>
      </w:r>
    </w:p>
    <w:bookmarkStart w:id="86" w:name="evaluation-dataset"/>
    <w:p>
      <w:pPr>
        <w:pStyle w:val="Heading3"/>
      </w:pPr>
      <w:r>
        <w:t xml:space="preserve">4.1.1 Evaluation dataset</w:t>
      </w:r>
    </w:p>
    <w:p>
      <w:pPr>
        <w:pStyle w:val="FirstParagraph"/>
      </w:pPr>
      <w:r>
        <w:t xml:space="preserve">The evaluation dataset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pPr>
      <w:r>
        <w:t xml:space="preserve">The dataset is generated deterministically by</w:t>
      </w:r>
      <w:r>
        <w:t xml:space="preserve"> </w:t>
      </w:r>
      <w:r>
        <w:rPr>
          <w:rStyle w:val="VerbatimChar"/>
        </w:rPr>
        <w:t xml:space="preserve">scripts/synthesise_eval_dataset.py</w:t>
      </w:r>
      <w:r>
        <w:t xml:space="preserve"> </w:t>
      </w:r>
      <w:r>
        <w:t xml:space="preserve">with</w:t>
      </w:r>
      <w:r>
        <w:t xml:space="preserve"> </w:t>
      </w:r>
      <w:r>
        <w:rPr>
          <w:rStyle w:val="VerbatimChar"/>
        </w:rPr>
        <w:t xml:space="preserve">SEED = 42</w:t>
      </w:r>
      <w:r>
        <w:t xml:space="preserve">. Resume content is drawn from track-specific</w:t>
      </w:r>
      <w:r>
        <w:t xml:space="preserve"> </w:t>
      </w:r>
      <w:r>
        <w:rPr>
          <w:rStyle w:val="VerbatimChar"/>
        </w:rPr>
        <w:t xml:space="preserve">resume_phrases</w:t>
      </w:r>
      <w:r>
        <w:t xml:space="preserve"> </w:t>
      </w:r>
      <w:r>
        <w:t xml:space="preserve">and job-description content from separate</w:t>
      </w:r>
      <w:r>
        <w:t xml:space="preserve"> </w:t>
      </w:r>
      <w:r>
        <w:rPr>
          <w:rStyle w:val="VerbatimChar"/>
        </w:rPr>
        <w:t xml:space="preserve">jd_phrases</w:t>
      </w:r>
      <w:r>
        <w:t xml:space="preserve">; after stop-words and role-domain skill terms are removed, the two pools share negligible content vocabulary (per-track residual overlap of 0–6 tokens), with per-pair overlap bounded as reported in Section 4.1.4.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pPr>
      <w: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pPr>
      <w:r>
        <w:t xml:space="preserve">4.1.2 Metrics</w:t>
      </w:r>
    </w:p>
    <w:p>
      <w:pPr>
        <w:pStyle w:val="FirstParagraph"/>
      </w:pPr>
      <w:r>
        <w:t xml:space="preserve">Four metric families are computed per pair.</w:t>
      </w:r>
    </w:p>
    <w:p>
      <w:pPr>
        <w:pStyle w:val="BodyText"/>
      </w:pPr>
      <w:r>
        <w:rPr>
          <w:b/>
          <w:bCs/>
        </w:rPr>
        <w:t xml:space="preserve">Score agreement.</w:t>
      </w:r>
      <w:r>
        <w:t xml:space="preserve"> </w:t>
      </w:r>
      <w:r>
        <w:t xml:space="preserve">Pearson</w:t>
      </w:r>
      <w:r>
        <w:t xml:space="preserve"> </w:t>
      </w:r>
      <w:r>
        <w:rPr>
          <w:i/>
          <w:iCs/>
        </w:rPr>
        <w:t xml:space="preserve">r</w:t>
      </w:r>
      <w:r>
        <w:t xml:space="preserve"> </w:t>
      </w:r>
      <w:r>
        <w:t xml:space="preserve">measures linear association between the two modes’ overall scores. Spearman ρ and Kendall τ measure rank agreement, which is more relevant when the score is used as a screening signal. The value</w:t>
      </w:r>
      <w:r>
        <w:t xml:space="preserve"> </w:t>
      </w:r>
      <w:r>
        <w:rPr>
          <w:i/>
          <w:iCs/>
        </w:rPr>
        <w:t xml:space="preserve">r</w:t>
      </w:r>
      <w:r>
        <w:t xml:space="preserve"> </w:t>
      </w:r>
      <w:r>
        <w:t xml:space="preserve">≈ 0.7 is used as a practical interpretation anchor following Cohen’s conventional benchmarks for large effects in behavioural research [26], not as a formal hypothesis or a literature-derived pass/fail threshold.</w:t>
      </w:r>
    </w:p>
    <w:p>
      <w:pPr>
        <w:pStyle w:val="BodyText"/>
      </w:pPr>
      <w:r>
        <w:rPr>
          <w:b/>
          <w:bCs/>
        </w:rPr>
        <w:t xml:space="preserve">Score distribution.</w:t>
      </w:r>
      <w:r>
        <w:t xml:space="preserve"> </w:t>
      </w:r>
      <w:r>
        <w:t xml:space="preserve">The Kolmogorov–Smirnov distance compares the overall score distributions and shows whether the heuristic shifts or compresses the score scale even when ranking is similar.</w:t>
      </w:r>
    </w:p>
    <w:p>
      <w:pPr>
        <w:pStyle w:val="BodyText"/>
      </w:pPr>
      <w:r>
        <w:rPr>
          <w:b/>
          <w:bCs/>
        </w:rPr>
        <w:t xml:space="preserve">Latency.</w:t>
      </w:r>
      <w:r>
        <w:t xml:space="preserve"> </w:t>
      </w:r>
      <w:r>
        <w:t xml:space="preserve">Wall-clock service time is measured from request entry into the tool service until a complete response is returned. Network round-trip time between browser and backend is excluded.</w:t>
      </w:r>
    </w:p>
    <w:p>
      <w:pPr>
        <w:pStyle w:val="BodyText"/>
      </w:pPr>
      <w:r>
        <w:rPr>
          <w:b/>
          <w:bCs/>
        </w:rPr>
        <w:t xml:space="preserve">Per-call cost.</w:t>
      </w:r>
      <w:r>
        <w:t xml:space="preserve"> </w:t>
      </w:r>
      <w:r>
        <w:t xml:space="preserve">Marginal LLM-side cost is estimated in US dollars. Blended mode incurs Gemini 2.5 Flash token cost; fully heuristic mode incurs no third-party inference charge.</w:t>
      </w:r>
    </w:p>
    <w:bookmarkEnd w:id="87"/>
    <w:bookmarkStart w:id="88" w:name="controls"/>
    <w:p>
      <w:pPr>
        <w:pStyle w:val="Heading3"/>
      </w:pPr>
      <w:r>
        <w:t xml:space="preserve">4.1.3 Controls</w:t>
      </w:r>
    </w:p>
    <w:p>
      <w:pPr>
        <w:pStyle w:val="FirstParagraph"/>
      </w:pPr>
      <w:r>
        <w:t xml:space="preserve">Three controls isolate the comparison.</w:t>
      </w:r>
      <w:r>
        <w:t xml:space="preserve"> </w:t>
      </w:r>
      <w:r>
        <w:rPr>
          <w:rStyle w:val="VerbatimChar"/>
        </w:rPr>
        <w:t xml:space="preserve">RESULT_CACHE_ENABLED=false</w:t>
      </w:r>
      <w:r>
        <w:t xml:space="preserve"> </w:t>
      </w:r>
      <w:r>
        <w:t xml:space="preserve">prevents cache reuse from contaminating latency, and</w:t>
      </w:r>
      <w:r>
        <w:t xml:space="preserve"> </w:t>
      </w:r>
      <w:r>
        <w:rPr>
          <w:rStyle w:val="VerbatimChar"/>
        </w:rPr>
        <w:t xml:space="preserve">scripts/eval_scoring.py</w:t>
      </w:r>
      <w:r>
        <w:t xml:space="preserve"> </w:t>
      </w:r>
      <w:r>
        <w:t xml:space="preserve">sets</w:t>
      </w:r>
      <w:r>
        <w:t xml:space="preserve"> </w:t>
      </w:r>
      <w:r>
        <w:rPr>
          <w:rStyle w:val="VerbatimChar"/>
        </w:rPr>
        <w:t xml:space="preserve">HEURISTIC_VERSION=v2</w:t>
      </w:r>
      <w:r>
        <w:t xml:space="preserve"> </w:t>
      </w:r>
      <w:r>
        <w:t xml:space="preserve">before importing the application settings so that both modes use the same strong heuristic implementation. The remaining experimental difference is whether</w:t>
      </w:r>
      <w:r>
        <w:t xml:space="preserve"> </w:t>
      </w:r>
      <w:r>
        <w:rPr>
          <w:rStyle w:val="VerbatimChar"/>
        </w:rPr>
        <w:t xml:space="preserve">complete_structured</w:t>
      </w:r>
      <w:r>
        <w:t xml:space="preserve"> </w:t>
      </w:r>
      <w: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pPr>
      <w:r>
        <w:t xml:space="preserve">4.1.4 Threats to validity</w:t>
      </w:r>
    </w:p>
    <w:p>
      <w:pPr>
        <w:pStyle w:val="FirstParagraph"/>
      </w:pPr>
      <w:r>
        <w:t xml:space="preserve">Four threats are tracked so that the interpretation of Section 4.3 remains bounded.</w:t>
      </w:r>
    </w:p>
    <w:p>
      <w:pPr>
        <w:pStyle w:val="BodyText"/>
      </w:pPr>
      <w:r>
        <w:rPr>
          <w:b/>
          <w:bCs/>
        </w:rPr>
        <w:t xml:space="preserve">T1 (Shared-vocabulary leakage between resume and job-description pools, MITIGATED).</w:t>
      </w:r>
      <w:r>
        <w:t xml:space="preserve"> </w:t>
      </w:r>
      <w:r>
        <w:t xml:space="preserve">The early synthesis script drew resume bullets and job-description responsibilities from the same per-track list. In pair</w:t>
      </w:r>
      <w:r>
        <w:t xml:space="preserve"> </w:t>
      </w:r>
      <w:r>
        <w:rPr>
          <w:rStyle w:val="VerbatimChar"/>
        </w:rPr>
        <w:t xml:space="preserve">r-backend-01__jd-backend-02</w:t>
      </w:r>
      <w:r>
        <w:t xml:space="preserve">, the sentence</w:t>
      </w:r>
      <w:r>
        <w:t xml:space="preserve"> </w:t>
      </w:r>
      <w:r>
        <w:t xml:space="preserve">“designed and shipped REST APIs serving production traffic”</w:t>
      </w:r>
      <w:r>
        <w:t xml:space="preserve"> </w:t>
      </w:r>
      <w:r>
        <w:t xml:space="preserve">appeared on both sides, and the leakage-version keyword-axis correlation was Pearson</w:t>
      </w:r>
      <w:r>
        <w:t xml:space="preserve"> </w:t>
      </w:r>
      <w:r>
        <w:rPr>
          <w:i/>
          <w:iCs/>
        </w:rPr>
        <w:t xml:space="preserve">r</w:t>
      </w:r>
      <w:r>
        <w:t xml:space="preserve"> </w:t>
      </w:r>
      <w:r>
        <w:t xml:space="preserve">= 0.941. The regenerated dataset separates</w:t>
      </w:r>
      <w:r>
        <w:t xml:space="preserve"> </w:t>
      </w:r>
      <w:r>
        <w:rPr>
          <w:rStyle w:val="VerbatimChar"/>
        </w:rPr>
        <w:t xml:space="preserve">resume_phrases</w:t>
      </w:r>
      <w:r>
        <w:t xml:space="preserve"> </w:t>
      </w:r>
      <w:r>
        <w:t xml:space="preserve">and</w:t>
      </w:r>
      <w:r>
        <w:t xml:space="preserve"> </w:t>
      </w:r>
      <w:r>
        <w:rPr>
          <w:rStyle w:val="VerbatimChar"/>
        </w:rPr>
        <w:t xml:space="preserve">jd_phrases</w:t>
      </w:r>
      <w:r>
        <w:t xml:space="preserve">;</w:t>
      </w:r>
      <w:r>
        <w:t xml:space="preserve"> </w:t>
      </w:r>
      <w:r>
        <w:rPr>
          <w:rStyle w:val="VerbatimChar"/>
        </w:rPr>
        <w:t xml:space="preserve">scripts/verify_disjoint_pools.py</w:t>
      </w:r>
      <w:r>
        <w:t xml:space="preserve"> </w:t>
      </w:r>
      <w:r>
        <w:t xml:space="preserve">reports mean per-pair content-token overlap falling from 11.82 to 0.44, a 27× reduction, with zero pairs above the &gt;3-token threshold instead of 97. The results below use the post-mitigation dataset; leakage artefacts remain archived as</w:t>
      </w:r>
      <w:r>
        <w:t xml:space="preserve"> </w:t>
      </w:r>
      <w:r>
        <w:rPr>
          <w:rStyle w:val="VerbatimChar"/>
        </w:rPr>
        <w:t xml:space="preserve">thesis/eval-dataset-with-leakage.json</w:t>
      </w:r>
      <w:r>
        <w:t xml:space="preserve"> </w:t>
      </w:r>
      <w:r>
        <w:t xml:space="preserve">and</w:t>
      </w:r>
      <w:r>
        <w:t xml:space="preserve"> </w:t>
      </w:r>
      <w:r>
        <w:rPr>
          <w:rStyle w:val="VerbatimChar"/>
        </w:rPr>
        <w:t xml:space="preserve">thesis/eval-results-with-leakage.json</w:t>
      </w:r>
      <w:r>
        <w:t xml:space="preserve">.</w:t>
      </w:r>
    </w:p>
    <w:p>
      <w:pPr>
        <w:pStyle w:val="BodyText"/>
      </w:pPr>
      <w:r>
        <w:rPr>
          <w:b/>
          <w:bCs/>
        </w:rPr>
        <w:t xml:space="preserve">T2 (Self-correlation between compared modes, MEASURED).</w:t>
      </w:r>
      <w:r>
        <w:t xml:space="preserve"> </w:t>
      </w:r>
      <w: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t xml:space="preserve"> </w:t>
      </w:r>
      <w:r>
        <w:rPr>
          <w:i/>
          <w:iCs/>
        </w:rPr>
        <w:t xml:space="preserve">llm_only = (blended − 0.4 × heuristic) / 0.6</w:t>
      </w:r>
      <w:r>
        <w:t xml:space="preserve">. Section 4.3.1’ reports this baseline.</w:t>
      </w:r>
    </w:p>
    <w:p>
      <w:pPr>
        <w:pStyle w:val="BodyText"/>
      </w:pPr>
      <w:r>
        <w:rPr>
          <w:b/>
          <w:bCs/>
        </w:rPr>
        <w:t xml:space="preserve">T3 (Non-independent paired observations, ADDRESSED).</w:t>
      </w:r>
      <w:r>
        <w:t xml:space="preserve"> </w:t>
      </w:r>
      <w:r>
        <w:t xml:space="preserve">The 100 observations are not independent because each resume appears in three or four pairs and each job description in five pairs. Pearson confidence intervals are therefore computed by cluster bootstrap on</w:t>
      </w:r>
      <w:r>
        <w:t xml:space="preserve"> </w:t>
      </w:r>
      <w:r>
        <w:rPr>
          <w:rStyle w:val="VerbatimChar"/>
        </w:rPr>
        <w:t xml:space="preserve">resume_id</w:t>
      </w:r>
      <w:r>
        <w:t xml:space="preserve"> </w:t>
      </w:r>
      <w:r>
        <w:t xml:space="preserve">[28] with 2 000 resamples and</w:t>
      </w:r>
      <w:r>
        <w:t xml:space="preserve"> </w:t>
      </w:r>
      <w:r>
        <w:rPr>
          <w:rStyle w:val="VerbatimChar"/>
        </w:rPr>
        <w:t xml:space="preserve">seed=42</w:t>
      </w:r>
      <w:r>
        <w:t xml:space="preserve">.</w:t>
      </w:r>
    </w:p>
    <w:p>
      <w:pPr>
        <w:pStyle w:val="BodyText"/>
      </w:pPr>
      <w:r>
        <w:rPr>
          <w:b/>
          <w:bCs/>
        </w:rPr>
        <w:t xml:space="preserve">T4 (Post-hoc heuristic design, DISCLOSED).</w:t>
      </w:r>
      <w:r>
        <w:t xml:space="preserve"> </w:t>
      </w:r>
      <w: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pPr>
      <w:r>
        <w:t xml:space="preserve">T1, T2, and T3 are mitigated by regeneration, LLM-only decomposition, and clustered intervals. T4 remains a disclosed limitation.</w:t>
      </w:r>
    </w:p>
    <w:p>
      <w:pPr>
        <w:pStyle w:val="BodyText"/>
      </w:pPr>
      <w: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the most consequential next step before any generalisation beyond the synthetic benchmark.</w:t>
      </w:r>
    </w:p>
    <w:p>
      <w:pPr>
        <w:pStyle w:val="BodyText"/>
      </w:pPr>
      <w: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pPr>
      <w:r>
        <w:t xml:space="preserve">4.2 The strong heuristic (v2)</w:t>
      </w:r>
    </w:p>
    <w:p>
      <w:pPr>
        <w:pStyle w:val="FirstParagraph"/>
      </w:pPr>
      <w: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pPr>
      <w:r>
        <w:t xml:space="preserve">4.2.1 TF–IDF–weighted keyword evidence</w:t>
      </w:r>
    </w:p>
    <w:p>
      <w:pPr>
        <w:pStyle w:val="FirstParagraph"/>
      </w:pPr>
      <w:r>
        <w:t xml:space="preserve">The v2 heuristic weights keyword evidence by inverse document frequency, so rare technical terms contribute more than common words [5, 6]. Keyword alignment is computed as</w:t>
      </w:r>
    </w:p>
    <w:p>
      <w:pPr>
        <w:pStyle w:val="BodyText"/>
      </w:pPr>
      <w:r>
        <w:t xml:space="preserve">[</w:t>
      </w:r>
      <w:r>
        <w:t xml:space="preserve"> </w:t>
      </w:r>
      <w:r>
        <w:t xml:space="preserve">(R, J) ;=;</w:t>
      </w:r>
      <w:r>
        <w:t xml:space="preserve"> </w:t>
      </w:r>
      <w:r>
        <w:t xml:space="preserve"> </w:t>
      </w:r>
      <w:r>
        <w:t xml:space="preserve">;</w:t>
      </w:r>
      <w:r>
        <w:t xml:space="preserve">; 100,</w:t>
      </w:r>
      <w:r>
        <w:t xml:space="preserve"> </w:t>
      </w:r>
      <w:r>
        <w:t xml:space="preserve">]</w:t>
      </w:r>
    </w:p>
    <w:p>
      <w:pPr>
        <w:pStyle w:val="BodyText"/>
      </w:pPr>
      <w:r>
        <w:t xml:space="preserve">where</w:t>
      </w:r>
      <w:r>
        <w:t xml:space="preserve"> </w:t>
      </w:r>
      <w:r>
        <w:rPr>
          <w:i/>
          <w:iCs/>
        </w:rPr>
        <w:t xml:space="preserve">R</w:t>
      </w:r>
      <w:r>
        <w:t xml:space="preserve"> </w:t>
      </w:r>
      <w:r>
        <w:t xml:space="preserve">is the resume,</w:t>
      </w:r>
      <w:r>
        <w:t xml:space="preserve"> </w:t>
      </w:r>
      <w:r>
        <w:rPr>
          <w:i/>
          <w:iCs/>
        </w:rPr>
        <w:t xml:space="preserve">J</w:t>
      </w:r>
      <w:r>
        <w:t xml:space="preserve"> </w:t>
      </w:r>
      <w:r>
        <w:t xml:space="preserve">is the job description, and</w:t>
      </w:r>
      <w:r>
        <w:t xml:space="preserve"> </w:t>
      </w:r>
      <w:r>
        <w:rPr>
          <w:i/>
          <w:iCs/>
        </w:rPr>
        <w:t xml:space="preserve">K</w:t>
      </w:r>
      <w:r>
        <w:t xml:space="preserve">(·) extracts the keyword set. BM25 is implemented in</w:t>
      </w:r>
      <w:r>
        <w:t xml:space="preserve"> </w:t>
      </w:r>
      <w:r>
        <w:rPr>
          <w:rStyle w:val="VerbatimChar"/>
        </w:rPr>
        <w:t xml:space="preserve">app/services/quality_signals_v2.py</w:t>
      </w:r>
      <w:r>
        <w:t xml:space="preserve"> </w:t>
      </w:r>
      <w:r>
        <w:t xml:space="preserve">as</w:t>
      </w:r>
      <w:r>
        <w:t xml:space="preserve"> </w:t>
      </w:r>
      <w:r>
        <w:rPr>
          <w:rStyle w:val="VerbatimChar"/>
        </w:rPr>
        <w:t xml:space="preserve">_bm25_score</w:t>
      </w:r>
      <w:r>
        <w:t xml:space="preserve"> </w:t>
      </w:r>
      <w:r>
        <w:t xml:space="preserve">with</w:t>
      </w:r>
      <w:r>
        <w:t xml:space="preserve"> </w:t>
      </w:r>
      <w:r>
        <w:rPr>
          <w:i/>
          <w:iCs/>
        </w:rPr>
        <w:t xml:space="preserve">k₁</w:t>
      </w:r>
      <w:r>
        <w:t xml:space="preserve"> </w:t>
      </w:r>
      <w:r>
        <w:t xml:space="preserve">= 1.5 and</w:t>
      </w:r>
      <w:r>
        <w:t xml:space="preserve"> </w:t>
      </w:r>
      <w:r>
        <w:rPr>
          <w:i/>
          <w:iCs/>
        </w:rPr>
        <w:t xml:space="preserve">b</w:t>
      </w:r>
      <w:r>
        <w:t xml:space="preserve"> </w:t>
      </w:r>
      <w:r>
        <w:t xml:space="preserve">= 0.75. The final keyword-axis score is</w:t>
      </w:r>
      <w:r>
        <w:t xml:space="preserve"> </w:t>
      </w:r>
      <w:r>
        <w:rPr>
          <w:rStyle w:val="VerbatimChar"/>
        </w:rPr>
        <w:t xml:space="preserve">0.7 × weighted_keyword_score + 0.3 × min(100, BM25 × 4)</w:t>
      </w:r>
      <w: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pPr>
      <w:r>
        <w:t xml:space="preserve">4.2.2 ESCO-aligned skill normalisation</w:t>
      </w:r>
    </w:p>
    <w:p>
      <w:pPr>
        <w:pStyle w:val="FirstParagraph"/>
      </w:pPr>
      <w:r>
        <w:t xml:space="preserve">The heuristic normalises surface variants such as</w:t>
      </w:r>
      <w:r>
        <w:t xml:space="preserve"> </w:t>
      </w:r>
      <w:r>
        <w:rPr>
          <w:i/>
          <w:iCs/>
        </w:rPr>
        <w:t xml:space="preserve">Postgres</w:t>
      </w:r>
      <w:r>
        <w:t xml:space="preserve">,</w:t>
      </w:r>
      <w:r>
        <w:t xml:space="preserve"> </w:t>
      </w:r>
      <w:r>
        <w:rPr>
          <w:i/>
          <w:iCs/>
        </w:rPr>
        <w:t xml:space="preserve">PostgreSQL</w:t>
      </w:r>
      <w:r>
        <w:t xml:space="preserve">, and</w:t>
      </w:r>
      <w:r>
        <w:t xml:space="preserve"> </w:t>
      </w:r>
      <w:r>
        <w:rPr>
          <w:i/>
          <w:iCs/>
        </w:rPr>
        <w:t xml:space="preserve">postgres database</w:t>
      </w:r>
      <w:r>
        <w:t xml:space="preserve"> </w:t>
      </w:r>
      <w: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pPr>
      <w: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pPr>
      <w:r>
        <w:t xml:space="preserve">4.2.3 Fuzzy matching</w:t>
      </w:r>
    </w:p>
    <w:p>
      <w:pPr>
        <w:pStyle w:val="FirstParagraph"/>
      </w:pPr>
      <w:r>
        <w:t xml:space="preserve">For skills or keywords outside the bundled ESCO subset, v2 applies a normalised string-similarity pass related to edit-distance matching [7] using Python’s</w:t>
      </w:r>
      <w:r>
        <w:t xml:space="preserve"> </w:t>
      </w:r>
      <w:r>
        <w:rPr>
          <w:rStyle w:val="VerbatimChar"/>
        </w:rPr>
        <w:t xml:space="preserve">difflib.SequenceMatcher</w:t>
      </w:r>
      <w:r>
        <w:t xml:space="preserve">. A job-description keyword is counted when it appears exactly, maps through ESCO, or reaches similarity threshold</w:t>
      </w:r>
      <w:r>
        <w:t xml:space="preserve"> </w:t>
      </w:r>
      <w:r>
        <w:rPr>
          <w:i/>
          <w:iCs/>
        </w:rPr>
        <w:t xml:space="preserve">τ</w:t>
      </w:r>
      <w:r>
        <w:t xml:space="preserve"> </w:t>
      </w:r>
      <w:r>
        <w:t xml:space="preserve">= 0.85 against a resume candidate phrase. The threshold admits typographic variants such as</w:t>
      </w:r>
      <w:r>
        <w:t xml:space="preserve"> </w:t>
      </w:r>
      <w:r>
        <w:rPr>
          <w:i/>
          <w:iCs/>
        </w:rPr>
        <w:t xml:space="preserve">Javacript</w:t>
      </w:r>
      <w:r>
        <w:t xml:space="preserve"> </w:t>
      </w:r>
      <w:r>
        <w:t xml:space="preserve">for</w:t>
      </w:r>
      <w:r>
        <w:t xml:space="preserve"> </w:t>
      </w:r>
      <w:r>
        <w:rPr>
          <w:i/>
          <w:iCs/>
        </w:rPr>
        <w:t xml:space="preserve">JavaScript</w:t>
      </w:r>
      <w:r>
        <w:t xml:space="preserve"> </w:t>
      </w:r>
      <w:r>
        <w:t xml:space="preserve">while rejecting unrelated tokens.</w:t>
      </w:r>
    </w:p>
    <w:bookmarkEnd w:id="93"/>
    <w:bookmarkStart w:id="94" w:name="section-weighted-features"/>
    <w:p>
      <w:pPr>
        <w:pStyle w:val="Heading3"/>
      </w:pPr>
      <w:r>
        <w:t xml:space="preserve">4.2.4 Section-weighted features</w:t>
      </w:r>
    </w:p>
    <w:p>
      <w:pPr>
        <w:pStyle w:val="FirstParagraph"/>
      </w:pPr>
      <w:r>
        <w:t xml:space="preserve">Skill evidence is weighted by resume section because a skill in</w:t>
      </w:r>
      <w:r>
        <w:t xml:space="preserve"> </w:t>
      </w:r>
      <w:r>
        <w:rPr>
          <w:i/>
          <w:iCs/>
        </w:rPr>
        <w:t xml:space="preserve">Skills</w:t>
      </w:r>
      <w:r>
        <w:t xml:space="preserve"> </w:t>
      </w:r>
      <w:r>
        <w:t xml:space="preserve">carries a different signal from the same word in</w:t>
      </w:r>
      <w:r>
        <w:t xml:space="preserve"> </w:t>
      </w:r>
      <w:r>
        <w:rPr>
          <w:i/>
          <w:iCs/>
        </w:rPr>
        <w:t xml:space="preserve">Education</w:t>
      </w:r>
      <w:r>
        <w:t xml:space="preserve"> </w:t>
      </w:r>
      <w:r>
        <w:t xml:space="preserve">or a project description [18]. Matches in</w:t>
      </w:r>
      <w:r>
        <w:t xml:space="preserve"> </w:t>
      </w:r>
      <w:r>
        <w:rPr>
          <w:i/>
          <w:iCs/>
        </w:rPr>
        <w:t xml:space="preserve">Skills</w:t>
      </w:r>
      <w:r>
        <w:t xml:space="preserve"> </w:t>
      </w:r>
      <w:r>
        <w:t xml:space="preserve">contribute 1.0,</w:t>
      </w:r>
      <w:r>
        <w:t xml:space="preserve"> </w:t>
      </w:r>
      <w:r>
        <w:rPr>
          <w:i/>
          <w:iCs/>
        </w:rPr>
        <w:t xml:space="preserve">Experience</w:t>
      </w:r>
      <w:r>
        <w:t xml:space="preserve"> </w:t>
      </w:r>
      <w:r>
        <w:t xml:space="preserve">or</w:t>
      </w:r>
      <w:r>
        <w:t xml:space="preserve"> </w:t>
      </w:r>
      <w:r>
        <w:rPr>
          <w:i/>
          <w:iCs/>
        </w:rPr>
        <w:t xml:space="preserve">Projects</w:t>
      </w:r>
      <w:r>
        <w:t xml:space="preserve"> </w:t>
      </w:r>
      <w:r>
        <w:t xml:space="preserve">0.7,</w:t>
      </w:r>
      <w:r>
        <w:t xml:space="preserve"> </w:t>
      </w:r>
      <w:r>
        <w:rPr>
          <w:i/>
          <w:iCs/>
        </w:rPr>
        <w:t xml:space="preserve">Summary</w:t>
      </w:r>
      <w:r>
        <w:t xml:space="preserve"> </w:t>
      </w:r>
      <w:r>
        <w:t xml:space="preserve">0.5, and</w:t>
      </w:r>
      <w:r>
        <w:t xml:space="preserve"> </w:t>
      </w:r>
      <w:r>
        <w:rPr>
          <w:i/>
          <w:iCs/>
        </w:rPr>
        <w:t xml:space="preserve">Education</w:t>
      </w:r>
      <w:r>
        <w:t xml:space="preserve"> </w:t>
      </w:r>
      <w:r>
        <w:t xml:space="preserve">0.3. The weighted match total is normalised against the maximum possible weighted match.</w:t>
      </w:r>
    </w:p>
    <w:bookmarkEnd w:id="94"/>
    <w:bookmarkStart w:id="95" w:name="quantification-regex"/>
    <w:p>
      <w:pPr>
        <w:pStyle w:val="Heading3"/>
      </w:pPr>
      <w:r>
        <w:t xml:space="preserve">4.2.5 Quantification regex</w:t>
      </w:r>
    </w:p>
    <w:p>
      <w:pPr>
        <w:pStyle w:val="FirstParagraph"/>
      </w:pPr>
      <w: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pPr>
      <w:r>
        <w:t xml:space="preserve">4.2.6 Action-verb scoring</w:t>
      </w:r>
    </w:p>
    <w:p>
      <w:pPr>
        <w:pStyle w:val="FirstParagraph"/>
      </w:pPr>
      <w: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t xml:space="preserve"> </w:t>
      </w:r>
      <w:r>
        <w:t xml:space="preserve">“led”</w:t>
      </w:r>
      <w:r>
        <w:t xml:space="preserve">,</w:t>
      </w:r>
      <w:r>
        <w:t xml:space="preserve"> </w:t>
      </w:r>
      <w:r>
        <w:t xml:space="preserve">“shipped”</w:t>
      </w:r>
      <w:r>
        <w:t xml:space="preserve">, and</w:t>
      </w:r>
      <w:r>
        <w:t xml:space="preserve"> </w:t>
      </w:r>
      <w:r>
        <w:t xml:space="preserve">“automated”</w:t>
      </w:r>
      <w:r>
        <w:t xml:space="preserve"> </w:t>
      </w:r>
      <w:r>
        <w:t xml:space="preserve">are treated as stronger ownership evidence than passive or filler openings.</w:t>
      </w:r>
    </w:p>
    <w:bookmarkEnd w:id="96"/>
    <w:bookmarkStart w:id="97" w:name="score-combination"/>
    <w:p>
      <w:pPr>
        <w:pStyle w:val="Heading3"/>
      </w:pPr>
      <w:r>
        <w:t xml:space="preserve">4.2.7 Score combination</w:t>
      </w:r>
    </w:p>
    <w:p>
      <w:pPr>
        <w:pStyle w:val="FirstParagraph"/>
      </w:pPr>
      <w: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pPr>
      <w:r>
        <w:t xml:space="preserve">4.2.8 Implementation notes</w:t>
      </w:r>
    </w:p>
    <w:p>
      <w:pPr>
        <w:pStyle w:val="FirstParagraph"/>
      </w:pPr>
      <w:r>
        <w:t xml:space="preserve">The strong heuristic v2 lives in</w:t>
      </w:r>
      <w:r>
        <w:t xml:space="preserve"> </w:t>
      </w:r>
      <w:r>
        <w:rPr>
          <w:rStyle w:val="VerbatimChar"/>
        </w:rPr>
        <w:t xml:space="preserve">app/services/quality_signals_v2.py</w:t>
      </w:r>
      <w:r>
        <w:t xml:space="preserve"> </w:t>
      </w:r>
      <w:r>
        <w:t xml:space="preserve">alongside the lightweight</w:t>
      </w:r>
      <w:r>
        <w:t xml:space="preserve"> </w:t>
      </w:r>
      <w:r>
        <w:rPr>
          <w:rStyle w:val="VerbatimChar"/>
        </w:rPr>
        <w:t xml:space="preserve">quality_signals.py</w:t>
      </w:r>
      <w:r>
        <w:t xml:space="preserve">.</w:t>
      </w:r>
      <w:r>
        <w:t xml:space="preserve"> </w:t>
      </w:r>
      <w:r>
        <w:rPr>
          <w:rStyle w:val="VerbatimChar"/>
        </w:rPr>
        <w:t xml:space="preserve">HEURISTIC_VERSION=v2</w:t>
      </w:r>
      <w:r>
        <w:t xml:space="preserve"> </w:t>
      </w:r>
      <w:r>
        <w:t xml:space="preserve">selects the strong implementation for the analytical tools and is the default for the experimental run reported here.</w:t>
      </w:r>
    </w:p>
    <w:bookmarkEnd w:id="98"/>
    <w:bookmarkStart w:id="99" w:name="the-administrative-toggle"/>
    <w:p>
      <w:pPr>
        <w:pStyle w:val="Heading3"/>
      </w:pPr>
      <w:r>
        <w:t xml:space="preserve">4.2.9 The administrative toggle</w:t>
      </w:r>
    </w:p>
    <w:p>
      <w:pPr>
        <w:pStyle w:val="FirstParagraph"/>
      </w:pPr>
      <w:r>
        <w:t xml:space="preserve">Runtime switchability is provided by</w:t>
      </w:r>
      <w:r>
        <w:t xml:space="preserve"> </w:t>
      </w:r>
      <w:r>
        <w:rPr>
          <w:rStyle w:val="VerbatimChar"/>
        </w:rPr>
        <w:t xml:space="preserve">SCORING_MODE</w:t>
      </w:r>
      <w:r>
        <w:t xml:space="preserve">, which accepts</w:t>
      </w:r>
      <w:r>
        <w:t xml:space="preserve"> </w:t>
      </w:r>
      <w:r>
        <w:rPr>
          <w:rStyle w:val="VerbatimChar"/>
        </w:rPr>
        <w:t xml:space="preserve">blended</w:t>
      </w:r>
      <w:r>
        <w:t xml:space="preserve"> </w:t>
      </w:r>
      <w:r>
        <w:t xml:space="preserve">and</w:t>
      </w:r>
      <w:r>
        <w:t xml:space="preserve"> </w:t>
      </w:r>
      <w:r>
        <w:rPr>
          <w:rStyle w:val="VerbatimChar"/>
        </w:rPr>
        <w:t xml:space="preserve">heuristic</w:t>
      </w:r>
      <w:r>
        <w:t xml:space="preserve">. An in-memory override in</w:t>
      </w:r>
      <w:r>
        <w:t xml:space="preserve"> </w:t>
      </w:r>
      <w:r>
        <w:rPr>
          <w:rStyle w:val="VerbatimChar"/>
        </w:rPr>
        <w:t xml:space="preserve">app/services/runtime_settings.py</w:t>
      </w:r>
      <w:r>
        <w:t xml:space="preserve"> </w:t>
      </w:r>
      <w:r>
        <w:t xml:space="preserve">is updated through</w:t>
      </w:r>
      <w:r>
        <w:t xml:space="preserve"> </w:t>
      </w:r>
      <w:r>
        <w:rPr>
          <w:rStyle w:val="VerbatimChar"/>
        </w:rPr>
        <w:t xml:space="preserve">POST /api/v1/admin/scoring-mode</w:t>
      </w:r>
      <w:r>
        <w:t xml:space="preserve"> </w:t>
      </w:r>
      <w: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pPr>
      <w:r>
        <w:t xml:space="preserve">4.3 Results</w:t>
      </w:r>
    </w:p>
    <w:p>
      <w:pPr>
        <w:pStyle w:val="FirstParagraph"/>
      </w:pPr>
      <w:r>
        <w:t xml:space="preserve">The evaluation harness</w:t>
      </w:r>
      <w:r>
        <w:t xml:space="preserve"> </w:t>
      </w:r>
      <w:r>
        <w:rPr>
          <w:rStyle w:val="VerbatimChar"/>
        </w:rPr>
        <w:t xml:space="preserve">scripts/eval_scoring.py</w:t>
      </w:r>
      <w:r>
        <w:t xml:space="preserve"> </w:t>
      </w:r>
      <w:r>
        <w:t xml:space="preserve">produced 100 paired observations. Both modes succeeded on every pair, and</w:t>
      </w:r>
      <w:r>
        <w:t xml:space="preserve"> </w:t>
      </w:r>
      <w:r>
        <w:rPr>
          <w:rStyle w:val="VerbatimChar"/>
        </w:rPr>
        <w:t xml:space="preserve">scripts/analyze_eval_results.py</w:t>
      </w:r>
      <w:r>
        <w:t xml:space="preserve"> </w:t>
      </w:r>
      <w:r>
        <w:t xml:space="preserve">generated the tables below from</w:t>
      </w:r>
      <w:r>
        <w:t xml:space="preserve"> </w:t>
      </w:r>
      <w:r>
        <w:rPr>
          <w:rStyle w:val="VerbatimChar"/>
        </w:rPr>
        <w:t xml:space="preserve">thesis/eval-results.json</w:t>
      </w:r>
      <w:r>
        <w:t xml:space="preserve">.</w:t>
      </w:r>
    </w:p>
    <w:bookmarkStart w:id="101" w:name="score-agreement"/>
    <w:p>
      <w:pPr>
        <w:pStyle w:val="Heading3"/>
      </w:pPr>
      <w:r>
        <w:t xml:space="preserve">4.3.1 Score agreement</w:t>
      </w:r>
    </w:p>
    <w:p>
      <w:pPr>
        <w:pStyle w:val="FirstParagraph"/>
      </w:pPr>
      <w:r>
        <w:t xml:space="preserve">Across the 100 (resume, job-description) pairs in the evaluation set, three rank- and value-agreement statistics are computed between the overall score in the blended mode and the overall score in the fully heuristic v2 mode: Pearson</w:t>
      </w:r>
      <w:r>
        <w:t xml:space="preserve"> </w:t>
      </w:r>
      <w:r>
        <w:rPr>
          <w:i/>
          <w:iCs/>
        </w:rPr>
        <w:t xml:space="preserve">r</w:t>
      </w:r>
      <w:r>
        <w:t xml:space="preserve">, Spearman ρ, and Kendall τ-b. Table 4.1 reports the post-mitigation values computed on the disjoint-vocabulary dataset described in Section 4.1.1 alongside the pre-mitigation values from the archived leakage-version run, for an explicit before/after comparison.</w:t>
      </w:r>
    </w:p>
    <w:p>
      <w:pPr>
        <w:pStyle w:val="BodyText"/>
      </w:pPr>
      <w:r>
        <w:rPr>
          <w:i/>
          <w:iCs/>
        </w:rPr>
        <w:t xml:space="preserve">Table 4.1: Overall agreement between blended and fully heuristic modes (n = 100 pairs). Pearson confidence intervals are computed by cluster bootstrap on</w:t>
      </w:r>
      <w:r>
        <w:rPr>
          <w:i/>
          <w:iCs/>
        </w:rPr>
        <w:t xml:space="preserve"> </w:t>
      </w:r>
      <w:r>
        <w:rPr>
          <w:rStyle w:val="VerbatimChar"/>
          <w:i/>
          <w:iCs/>
        </w:rPr>
        <w:t xml:space="preserve">resume_id</w:t>
      </w:r>
      <w:r>
        <w:rPr>
          <w:i/>
          <w:iCs/>
        </w:rPr>
        <w:t xml:space="preserve"> </w:t>
      </w:r>
      <w:r>
        <w:rPr>
          <w:i/>
          <w:iCs/>
        </w:rPr>
        <w:t xml:space="preserve">with 2 000 resamples and seed = 42, addressing threat T3 of Section 4.1.4.</w:t>
      </w:r>
    </w:p>
    <w:tbl>
      <w:tblPr>
        <w:tblStyle w:val="Table"/>
        <w:tblW w:type="pct" w:w="5000"/>
        <w:tblLayout w:type="fixed"/>
        <w:tblLook w:firstRow="1" w:lastRow="0" w:firstColumn="0" w:lastColumn="0" w:noHBand="0" w:noVBand="0" w:val="0020"/>
      </w:tblPr>
      <w:tblGrid>
        <w:gridCol w:w="978"/>
        <w:gridCol w:w="2491"/>
        <w:gridCol w:w="3025"/>
        <w:gridCol w:w="1423"/>
      </w:tblGrid>
      <w:tr>
        <w:trPr>
          <w:tblHeader w:val="on"/>
        </w:trPr>
        <w:tc>
          <w:tcPr/>
          <w:p>
            <w:pPr>
              <w:pStyle w:val="Compact"/>
            </w:pPr>
            <w:r>
              <w:t xml:space="preserve">Statistic</w:t>
            </w:r>
          </w:p>
        </w:tc>
        <w:tc>
          <w:tcPr/>
          <w:p>
            <w:pPr>
              <w:pStyle w:val="Compact"/>
            </w:pPr>
            <w:r>
              <w:t xml:space="preserve">Post-mitigation (disjoint)</w:t>
            </w:r>
          </w:p>
        </w:tc>
        <w:tc>
          <w:tcPr/>
          <w:p>
            <w:pPr>
              <w:pStyle w:val="Compact"/>
            </w:pPr>
            <w:r>
              <w:t xml:space="preserve">Pre-mitigation (leakage version)</w:t>
            </w:r>
          </w:p>
        </w:tc>
        <w:tc>
          <w:tcPr/>
          <w:p>
            <w:pPr>
              <w:pStyle w:val="Compact"/>
            </w:pPr>
            <w:r>
              <w:t xml:space="preserve">Interpretation</w:t>
            </w:r>
          </w:p>
        </w:tc>
      </w:tr>
      <w:tr>
        <w:tc>
          <w:tcPr/>
          <w:p>
            <w:pPr>
              <w:pStyle w:val="Compact"/>
            </w:pPr>
            <w:r>
              <w:t xml:space="preserve">Pearson</w:t>
            </w:r>
            <w:r>
              <w:t xml:space="preserve"> </w:t>
            </w:r>
            <w:r>
              <w:rPr>
                <w:i/>
                <w:iCs/>
              </w:rPr>
              <w:t xml:space="preserve">r</w:t>
            </w:r>
          </w:p>
        </w:tc>
        <w:tc>
          <w:tcPr/>
          <w:p>
            <w:pPr>
              <w:pStyle w:val="Compact"/>
            </w:pPr>
            <w:r>
              <w:rPr>
                <w:b/>
                <w:bCs/>
              </w:rPr>
              <w:t xml:space="preserve">0.836</w:t>
            </w:r>
            <w:r>
              <w:t xml:space="preserve"> </w:t>
            </w:r>
            <w:r>
              <w:t xml:space="preserve">[95% CI 0.762, 0.896]</w:t>
            </w:r>
          </w:p>
        </w:tc>
        <w:tc>
          <w:tcPr/>
          <w:p>
            <w:pPr>
              <w:pStyle w:val="Compact"/>
            </w:pPr>
            <w:r>
              <w:t xml:space="preserve">0.727 [95% CI 0.609, 0.814]</w:t>
            </w:r>
          </w:p>
        </w:tc>
        <w:tc>
          <w:tcPr/>
          <w:p>
            <w:pPr>
              <w:pStyle w:val="Compact"/>
            </w:pPr>
            <w:r>
              <w:t xml:space="preserve">Linear association between mode scores.</w:t>
            </w:r>
          </w:p>
        </w:tc>
      </w:tr>
      <w:tr>
        <w:tc>
          <w:tcPr/>
          <w:p>
            <w:pPr>
              <w:pStyle w:val="Compact"/>
            </w:pPr>
            <w:r>
              <w:t xml:space="preserve">Spearman ρ</w:t>
            </w:r>
          </w:p>
        </w:tc>
        <w:tc>
          <w:tcPr/>
          <w:p>
            <w:pPr>
              <w:pStyle w:val="Compact"/>
            </w:pPr>
            <w:r>
              <w:rPr>
                <w:b/>
                <w:bCs/>
              </w:rPr>
              <w:t xml:space="preserve">0.847</w:t>
            </w:r>
          </w:p>
        </w:tc>
        <w:tc>
          <w:tcPr/>
          <w:p>
            <w:pPr>
              <w:pStyle w:val="Compact"/>
            </w:pPr>
            <w:r>
              <w:t xml:space="preserve">0.708</w:t>
            </w:r>
          </w:p>
        </w:tc>
        <w:tc>
          <w:tcPr/>
          <w:p>
            <w:pPr>
              <w:pStyle w:val="Compact"/>
            </w:pPr>
            <w:r>
              <w:t xml:space="preserve">Rank agreement; the property most relevant to screening use.</w:t>
            </w:r>
          </w:p>
        </w:tc>
      </w:tr>
      <w:tr>
        <w:tc>
          <w:tcPr/>
          <w:p>
            <w:pPr>
              <w:pStyle w:val="Compact"/>
            </w:pPr>
            <w:r>
              <w:t xml:space="preserve">Kendall τ-b</w:t>
            </w:r>
          </w:p>
        </w:tc>
        <w:tc>
          <w:tcPr/>
          <w:p>
            <w:pPr>
              <w:pStyle w:val="Compact"/>
            </w:pPr>
            <w:r>
              <w:rPr>
                <w:b/>
                <w:bCs/>
              </w:rPr>
              <w:t xml:space="preserve">0.669</w:t>
            </w:r>
          </w:p>
        </w:tc>
        <w:tc>
          <w:tcPr/>
          <w:p>
            <w:pPr>
              <w:pStyle w:val="Compact"/>
            </w:pPr>
            <w:r>
              <w:t xml:space="preserve">0.526</w:t>
            </w:r>
          </w:p>
        </w:tc>
        <w:tc>
          <w:tcPr/>
          <w:p>
            <w:pPr>
              <w:pStyle w:val="Compact"/>
            </w:pPr>
            <w:r>
              <w:t xml:space="preserve">Concordance-based rank agreement.</w:t>
            </w:r>
          </w:p>
        </w:tc>
      </w:tr>
    </w:tbl>
    <w:p>
      <w:pPr>
        <w:pStyle w:val="BodyText"/>
      </w:pPr>
      <w:r>
        <w:t xml:space="preserve">The post-mitigation Pearson</w:t>
      </w:r>
      <w:r>
        <w:t xml:space="preserve"> </w:t>
      </w:r>
      <w:r>
        <w:rPr>
          <w:i/>
          <w:iCs/>
        </w:rPr>
        <w:t xml:space="preserve">r</w:t>
      </w:r>
      <w:r>
        <w:t xml:space="preserve"> </w:t>
      </w:r>
      <w: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pPr>
      <w:r>
        <w:rPr>
          <w:i/>
          <w:iCs/>
        </w:rPr>
        <w:t xml:space="preserve">Table 4.2: Per-sub-score correlations between blended and heuristic-only modes, post-mitigation versus archived leakage version. Bold entries mark axes above the 0.7 practical interpretation anchor introduced in Section 4.1.2.</w:t>
      </w:r>
    </w:p>
    <w:tbl>
      <w:tblPr>
        <w:tblStyle w:val="Table"/>
        <w:tblW w:type="pct" w:w="5000"/>
        <w:tblLayout w:type="fixed"/>
        <w:tblLook w:firstRow="1" w:lastRow="0" w:firstColumn="0" w:lastColumn="0" w:noHBand="0" w:noVBand="0" w:val="0020"/>
      </w:tblPr>
      <w:tblGrid>
        <w:gridCol w:w="957"/>
        <w:gridCol w:w="2523"/>
        <w:gridCol w:w="2436"/>
        <w:gridCol w:w="1044"/>
        <w:gridCol w:w="957"/>
      </w:tblGrid>
      <w:tr>
        <w:trPr>
          <w:tblHeader w:val="on"/>
        </w:trPr>
        <w:tc>
          <w:tcPr/>
          <w:p>
            <w:pPr>
              <w:pStyle w:val="Compact"/>
            </w:pPr>
            <w:r>
              <w:t xml:space="preserve">Sub-score</w:t>
            </w:r>
          </w:p>
        </w:tc>
        <w:tc>
          <w:tcPr/>
          <w:p>
            <w:pPr>
              <w:pStyle w:val="Compact"/>
            </w:pPr>
            <w:r>
              <w:t xml:space="preserve">Post-mitigation Pearson</w:t>
            </w:r>
            <w:r>
              <w:t xml:space="preserve"> </w:t>
            </w:r>
            <w:r>
              <w:rPr>
                <w:i/>
                <w:iCs/>
              </w:rPr>
              <w:t xml:space="preserve">r</w:t>
            </w:r>
          </w:p>
        </w:tc>
        <w:tc>
          <w:tcPr/>
          <w:p>
            <w:pPr>
              <w:pStyle w:val="Compact"/>
            </w:pPr>
            <w:r>
              <w:t xml:space="preserve">Pre-mitigation Pearson</w:t>
            </w:r>
            <w:r>
              <w:t xml:space="preserve"> </w:t>
            </w:r>
            <w:r>
              <w:rPr>
                <w:i/>
                <w:iCs/>
              </w:rPr>
              <w:t xml:space="preserve">r</w:t>
            </w:r>
          </w:p>
        </w:tc>
        <w:tc>
          <w:tcPr/>
          <w:p>
            <w:pPr>
              <w:pStyle w:val="Compact"/>
            </w:pPr>
            <w:r>
              <w:t xml:space="preserve">Spearman ρ</w:t>
            </w:r>
          </w:p>
        </w:tc>
        <w:tc>
          <w:tcPr/>
          <w:p>
            <w:pPr>
              <w:pStyle w:val="Compact"/>
            </w:pPr>
            <w:r>
              <w:t xml:space="preserve">Kendall τ-b</w:t>
            </w:r>
          </w:p>
        </w:tc>
      </w:tr>
      <w:tr>
        <w:tc>
          <w:tcPr/>
          <w:p>
            <w:pPr>
              <w:pStyle w:val="Compact"/>
            </w:pPr>
            <w:r>
              <w:t xml:space="preserve">Keywords</w:t>
            </w:r>
          </w:p>
        </w:tc>
        <w:tc>
          <w:tcPr/>
          <w:p>
            <w:pPr>
              <w:pStyle w:val="Compact"/>
            </w:pPr>
            <w:r>
              <w:rPr>
                <w:b/>
                <w:bCs/>
              </w:rPr>
              <w:t xml:space="preserve">0.937</w:t>
            </w:r>
          </w:p>
        </w:tc>
        <w:tc>
          <w:tcPr/>
          <w:p>
            <w:pPr>
              <w:pStyle w:val="Compact"/>
            </w:pPr>
            <w:r>
              <w:t xml:space="preserve">0.941</w:t>
            </w:r>
          </w:p>
        </w:tc>
        <w:tc>
          <w:tcPr/>
          <w:p>
            <w:pPr>
              <w:pStyle w:val="Compact"/>
            </w:pPr>
            <w:r>
              <w:t xml:space="preserve">0.946</w:t>
            </w:r>
          </w:p>
        </w:tc>
        <w:tc>
          <w:tcPr/>
          <w:p>
            <w:pPr>
              <w:pStyle w:val="Compact"/>
            </w:pPr>
            <w:r>
              <w:t xml:space="preserve">0.845</w:t>
            </w:r>
          </w:p>
        </w:tc>
      </w:tr>
      <w:tr>
        <w:tc>
          <w:tcPr/>
          <w:p>
            <w:pPr>
              <w:pStyle w:val="Compact"/>
            </w:pPr>
            <w:r>
              <w:t xml:space="preserve">Impact</w:t>
            </w:r>
          </w:p>
        </w:tc>
        <w:tc>
          <w:tcPr/>
          <w:p>
            <w:pPr>
              <w:pStyle w:val="Compact"/>
            </w:pPr>
            <w:r>
              <w:t xml:space="preserve">0.430</w:t>
            </w:r>
          </w:p>
        </w:tc>
        <w:tc>
          <w:tcPr/>
          <w:p>
            <w:pPr>
              <w:pStyle w:val="Compact"/>
            </w:pPr>
            <w:r>
              <w:t xml:space="preserve">0.561</w:t>
            </w:r>
          </w:p>
        </w:tc>
        <w:tc>
          <w:tcPr/>
          <w:p>
            <w:pPr>
              <w:pStyle w:val="Compact"/>
            </w:pPr>
            <w:r>
              <w:t xml:space="preserve">0.447</w:t>
            </w:r>
          </w:p>
        </w:tc>
        <w:tc>
          <w:tcPr/>
          <w:p>
            <w:pPr>
              <w:pStyle w:val="Compact"/>
            </w:pPr>
            <w:r>
              <w:t xml:space="preserve">0.332</w:t>
            </w:r>
          </w:p>
        </w:tc>
      </w:tr>
      <w:tr>
        <w:tc>
          <w:tcPr/>
          <w:p>
            <w:pPr>
              <w:pStyle w:val="Compact"/>
            </w:pPr>
            <w:r>
              <w:t xml:space="preserve">Structure</w:t>
            </w:r>
          </w:p>
        </w:tc>
        <w:tc>
          <w:tcPr/>
          <w:p>
            <w:pPr>
              <w:pStyle w:val="Compact"/>
            </w:pPr>
            <w:r>
              <w:rPr>
                <w:b/>
                <w:bCs/>
              </w:rPr>
              <w:t xml:space="preserve">0.830</w:t>
            </w:r>
          </w:p>
        </w:tc>
        <w:tc>
          <w:tcPr/>
          <w:p>
            <w:pPr>
              <w:pStyle w:val="Compact"/>
            </w:pPr>
            <w:r>
              <w:t xml:space="preserve">0.440</w:t>
            </w:r>
          </w:p>
        </w:tc>
        <w:tc>
          <w:tcPr/>
          <w:p>
            <w:pPr>
              <w:pStyle w:val="Compact"/>
            </w:pPr>
            <w:r>
              <w:t xml:space="preserve">0.865</w:t>
            </w:r>
          </w:p>
        </w:tc>
        <w:tc>
          <w:tcPr/>
          <w:p>
            <w:pPr>
              <w:pStyle w:val="Compact"/>
            </w:pPr>
            <w:r>
              <w:t xml:space="preserve">0.804</w:t>
            </w:r>
          </w:p>
        </w:tc>
      </w:tr>
      <w:tr>
        <w:tc>
          <w:tcPr/>
          <w:p>
            <w:pPr>
              <w:pStyle w:val="Compact"/>
            </w:pPr>
            <w:r>
              <w:t xml:space="preserve">Clarity</w:t>
            </w:r>
          </w:p>
        </w:tc>
        <w:tc>
          <w:tcPr/>
          <w:p>
            <w:pPr>
              <w:pStyle w:val="Compact"/>
            </w:pPr>
            <w:r>
              <w:t xml:space="preserve">0.395</w:t>
            </w:r>
          </w:p>
        </w:tc>
        <w:tc>
          <w:tcPr/>
          <w:p>
            <w:pPr>
              <w:pStyle w:val="Compact"/>
            </w:pPr>
            <w:r>
              <w:t xml:space="preserve">0.475</w:t>
            </w:r>
          </w:p>
        </w:tc>
        <w:tc>
          <w:tcPr/>
          <w:p>
            <w:pPr>
              <w:pStyle w:val="Compact"/>
            </w:pPr>
            <w:r>
              <w:t xml:space="preserve">0.373</w:t>
            </w:r>
          </w:p>
        </w:tc>
        <w:tc>
          <w:tcPr/>
          <w:p>
            <w:pPr>
              <w:pStyle w:val="Compact"/>
            </w:pPr>
            <w:r>
              <w:t xml:space="preserve">0.289</w:t>
            </w:r>
          </w:p>
        </w:tc>
      </w:tr>
      <w:tr>
        <w:tc>
          <w:tcPr/>
          <w:p>
            <w:pPr>
              <w:pStyle w:val="Compact"/>
            </w:pPr>
            <w:r>
              <w:t xml:space="preserve">Completeness</w:t>
            </w:r>
          </w:p>
        </w:tc>
        <w:tc>
          <w:tcPr/>
          <w:p>
            <w:pPr>
              <w:pStyle w:val="Compact"/>
            </w:pPr>
            <w:r>
              <w:rPr>
                <w:b/>
                <w:bCs/>
              </w:rPr>
              <w:t xml:space="preserve">0.756</w:t>
            </w:r>
          </w:p>
        </w:tc>
        <w:tc>
          <w:tcPr/>
          <w:p>
            <w:pPr>
              <w:pStyle w:val="Compact"/>
            </w:pPr>
            <w:r>
              <w:t xml:space="preserve">0.691</w:t>
            </w:r>
          </w:p>
        </w:tc>
        <w:tc>
          <w:tcPr/>
          <w:p>
            <w:pPr>
              <w:pStyle w:val="Compact"/>
            </w:pPr>
            <w:r>
              <w:t xml:space="preserve">0.793</w:t>
            </w:r>
          </w:p>
        </w:tc>
        <w:tc>
          <w:tcPr/>
          <w:p>
            <w:pPr>
              <w:pStyle w:val="Compact"/>
            </w:pPr>
            <w:r>
              <w:t xml:space="preserve">0.689</w:t>
            </w:r>
          </w:p>
        </w:tc>
      </w:tr>
    </w:tbl>
    <w:p>
      <w:pPr>
        <w:pStyle w:val="BodyText"/>
      </w:pPr>
      <w: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t xml:space="preserve"> </w:t>
      </w:r>
      <w:r>
        <w:rPr>
          <w:rStyle w:val="VerbatimChar"/>
        </w:rPr>
        <w:t xml:space="preserve">blended = 0.4 × heuristic + 0.6 × LLM</w:t>
      </w:r>
      <w:r>
        <w:t xml:space="preserve"> </w:t>
      </w:r>
      <w: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pPr>
      <w: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pPr>
      <w:r>
        <w:t xml:space="preserve">4.3.1’ LLM-only baseline (T2 mitigation)</w:t>
      </w:r>
    </w:p>
    <w:p>
      <w:pPr>
        <w:pStyle w:val="FirstParagraph"/>
      </w:pPr>
      <w:r>
        <w:t xml:space="preserve">Because the heuristic prepass is exposed to the language model as a</w:t>
      </w:r>
      <w:r>
        <w:t xml:space="preserve"> </w:t>
      </w:r>
      <w:r>
        <w:rPr>
          <w:i/>
          <w:iCs/>
        </w:rPr>
        <w:t xml:space="preserve">locked payload</w:t>
      </w:r>
      <w:r>
        <w:t xml:space="preserve"> </w:t>
      </w:r>
      <w:r>
        <w:t xml:space="preserve">(Section 3.2.3), the heuristic component of the blended score is invariant under the LLM call. The blended formula</w:t>
      </w:r>
      <w:r>
        <w:t xml:space="preserve"> </w:t>
      </w:r>
      <w:r>
        <w:rPr>
          <w:rStyle w:val="VerbatimChar"/>
        </w:rPr>
        <w:t xml:space="preserve">blended = 0.4 × heuristic + 0.6 × LLM-only</w:t>
      </w:r>
      <w:r>
        <w:t xml:space="preserve"> </w:t>
      </w:r>
      <w:r>
        <w:t xml:space="preserve">is therefore an exact identity, and the LLM-only score per pair is recoverable post-hoc from the blended and heuristic-only scores already reported in the manifest:</w:t>
      </w:r>
    </w:p>
    <w:p>
      <w:pPr>
        <w:pStyle w:val="BodyText"/>
      </w:pPr>
      <w:r>
        <w:t xml:space="preserve">LLM-only = (blended − 0.4 × heuristic) / 0.6</w:t>
      </w:r>
    </w:p>
    <w:p>
      <w:pPr>
        <w:pStyle w:val="BodyText"/>
      </w:pPr>
      <w:r>
        <w:t xml:space="preserve">This recovery requires no additional API calls; it is a deterministic algebraic transformation of the existing per-pair results. The Pearson correlation between the recovered LLM-only score and the heuristic-only score isolates the</w:t>
      </w:r>
      <w:r>
        <w:t xml:space="preserve"> </w:t>
      </w:r>
      <w:r>
        <w:rPr>
          <w:i/>
          <w:iCs/>
        </w:rPr>
        <w:t xml:space="preserve">cross-mode agreement</w:t>
      </w:r>
      <w:r>
        <w:t xml:space="preserve"> </w:t>
      </w:r>
      <w: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pPr>
      <w:r>
        <w:rPr>
          <w:i/>
          <w:iCs/>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Pair</w:t>
            </w:r>
          </w:p>
        </w:tc>
        <w:tc>
          <w:tcPr/>
          <w:p>
            <w:pPr>
              <w:pStyle w:val="Compact"/>
            </w:pPr>
            <w:r>
              <w:t xml:space="preserve">Pearson</w:t>
            </w:r>
            <w:r>
              <w:t xml:space="preserve"> </w:t>
            </w:r>
            <w:r>
              <w:rPr>
                <w:i/>
                <w:iCs/>
              </w:rPr>
              <w:t xml:space="preserve">r</w:t>
            </w:r>
          </w:p>
        </w:tc>
        <w:tc>
          <w:tcPr/>
          <w:p>
            <w:pPr>
              <w:pStyle w:val="Compact"/>
            </w:pPr>
            <w:r>
              <w:t xml:space="preserve">95% CI (cluster bootstrap)</w:t>
            </w:r>
          </w:p>
        </w:tc>
        <w:tc>
          <w:tcPr/>
          <w:p>
            <w:pPr>
              <w:pStyle w:val="Compact"/>
            </w:pPr>
            <w:r>
              <w:t xml:space="preserve">Spearman ρ</w:t>
            </w:r>
          </w:p>
        </w:tc>
      </w:tr>
      <w:tr>
        <w:tc>
          <w:tcPr/>
          <w:p>
            <w:pPr>
              <w:pStyle w:val="Compact"/>
            </w:pPr>
            <w:r>
              <w:t xml:space="preserve">Blended vs heuristic</w:t>
            </w:r>
          </w:p>
        </w:tc>
        <w:tc>
          <w:tcPr/>
          <w:p>
            <w:pPr>
              <w:pStyle w:val="Compact"/>
            </w:pPr>
            <w:r>
              <w:rPr>
                <w:b/>
                <w:bCs/>
              </w:rPr>
              <w:t xml:space="preserve">0.836</w:t>
            </w:r>
          </w:p>
        </w:tc>
        <w:tc>
          <w:tcPr/>
          <w:p>
            <w:pPr>
              <w:pStyle w:val="Compact"/>
            </w:pPr>
            <w:r>
              <w:t xml:space="preserve">[0.762, 0.896]</w:t>
            </w:r>
          </w:p>
        </w:tc>
        <w:tc>
          <w:tcPr/>
          <w:p>
            <w:pPr>
              <w:pStyle w:val="Compact"/>
            </w:pPr>
            <w:r>
              <w:t xml:space="preserve">0.847</w:t>
            </w:r>
          </w:p>
        </w:tc>
      </w:tr>
      <w:tr>
        <w:tc>
          <w:tcPr/>
          <w:p>
            <w:pPr>
              <w:pStyle w:val="Compact"/>
            </w:pPr>
            <w:r>
              <w:t xml:space="preserve">LLM-only vs heuristic</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r>
      <w:tr>
        <w:tc>
          <w:tcPr/>
          <w:p>
            <w:pPr>
              <w:pStyle w:val="Compact"/>
            </w:pPr>
            <w:r>
              <w:t xml:space="preserve">Blended vs LLM-only</w:t>
            </w:r>
          </w:p>
        </w:tc>
        <w:tc>
          <w:tcPr/>
          <w:p>
            <w:pPr>
              <w:pStyle w:val="Compact"/>
            </w:pPr>
            <w:r>
              <w:t xml:space="preserve">0.952</w:t>
            </w:r>
          </w:p>
        </w:tc>
        <w:tc>
          <w:tcPr/>
          <w:p>
            <w:pPr>
              <w:pStyle w:val="Compact"/>
            </w:pPr>
            <w:r>
              <w:t xml:space="preserve">[0.923, 0.973]</w:t>
            </w:r>
          </w:p>
        </w:tc>
        <w:tc>
          <w:tcPr/>
          <w:p>
            <w:pPr>
              <w:pStyle w:val="Compact"/>
            </w:pPr>
            <w:r>
              <w:t xml:space="preserve">—</w:t>
            </w:r>
          </w:p>
        </w:tc>
      </w:tr>
    </w:tbl>
    <w:p>
      <w:pPr>
        <w:pStyle w:val="BodyText"/>
      </w:pPr>
      <w: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pPr>
      <w: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pPr>
      <w:r>
        <w:t xml:space="preserve">4.3.2 Score distribution</w:t>
      </w:r>
    </w:p>
    <w:p>
      <w:pPr>
        <w:pStyle w:val="FirstParagraph"/>
      </w:pPr>
      <w: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pPr>
      <w:r>
        <w:rPr>
          <w:i/>
          <w:iCs/>
        </w:rPr>
        <w:t xml:space="preserve">Table 4.4: Overall score distribution per mode (n = 100 pairs). The KS distance compares the empirical cumulative distribution functions of the two modes; smaller values indicate more similar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Mean</w:t>
            </w:r>
          </w:p>
        </w:tc>
        <w:tc>
          <w:tcPr/>
          <w:p>
            <w:pPr>
              <w:pStyle w:val="Compact"/>
            </w:pPr>
            <w:r>
              <w:t xml:space="preserve">71.84</w:t>
            </w:r>
          </w:p>
        </w:tc>
        <w:tc>
          <w:tcPr/>
          <w:p>
            <w:pPr>
              <w:pStyle w:val="Compact"/>
            </w:pPr>
            <w:r>
              <w:t xml:space="preserve">72.66</w:t>
            </w:r>
          </w:p>
        </w:tc>
      </w:tr>
      <w:tr>
        <w:tc>
          <w:tcPr/>
          <w:p>
            <w:pPr>
              <w:pStyle w:val="Compact"/>
            </w:pPr>
            <w:r>
              <w:t xml:space="preserve">Standard deviation</w:t>
            </w:r>
          </w:p>
        </w:tc>
        <w:tc>
          <w:tcPr/>
          <w:p>
            <w:pPr>
              <w:pStyle w:val="Compact"/>
            </w:pPr>
            <w:r>
              <w:t xml:space="preserve">7.19</w:t>
            </w:r>
          </w:p>
        </w:tc>
        <w:tc>
          <w:tcPr/>
          <w:p>
            <w:pPr>
              <w:pStyle w:val="Compact"/>
            </w:pPr>
            <w:r>
              <w:t xml:space="preserve">7.08</w:t>
            </w:r>
          </w:p>
        </w:tc>
      </w:tr>
      <w:tr>
        <w:tc>
          <w:tcPr/>
          <w:p>
            <w:pPr>
              <w:pStyle w:val="Compact"/>
            </w:pPr>
            <w:r>
              <w:t xml:space="preserve">Median</w:t>
            </w:r>
          </w:p>
        </w:tc>
        <w:tc>
          <w:tcPr/>
          <w:p>
            <w:pPr>
              <w:pStyle w:val="Compact"/>
            </w:pPr>
            <w:r>
              <w:t xml:space="preserve">73.00</w:t>
            </w:r>
          </w:p>
        </w:tc>
        <w:tc>
          <w:tcPr/>
          <w:p>
            <w:pPr>
              <w:pStyle w:val="Compact"/>
            </w:pPr>
            <w:r>
              <w:t xml:space="preserve">74.50</w:t>
            </w:r>
          </w:p>
        </w:tc>
      </w:tr>
      <w:tr>
        <w:tc>
          <w:tcPr/>
          <w:p>
            <w:pPr>
              <w:pStyle w:val="Compact"/>
            </w:pPr>
            <w:r>
              <w:t xml:space="preserve">5th percentile</w:t>
            </w:r>
          </w:p>
        </w:tc>
        <w:tc>
          <w:tcPr/>
          <w:p>
            <w:pPr>
              <w:pStyle w:val="Compact"/>
            </w:pPr>
            <w:r>
              <w:t xml:space="preserve">58.00</w:t>
            </w:r>
          </w:p>
        </w:tc>
        <w:tc>
          <w:tcPr/>
          <w:p>
            <w:pPr>
              <w:pStyle w:val="Compact"/>
            </w:pPr>
            <w:r>
              <w:t xml:space="preserve">59.00</w:t>
            </w:r>
          </w:p>
        </w:tc>
      </w:tr>
      <w:tr>
        <w:tc>
          <w:tcPr/>
          <w:p>
            <w:pPr>
              <w:pStyle w:val="Compact"/>
            </w:pPr>
            <w:r>
              <w:t xml:space="preserve">95th percentile</w:t>
            </w:r>
          </w:p>
        </w:tc>
        <w:tc>
          <w:tcPr/>
          <w:p>
            <w:pPr>
              <w:pStyle w:val="Compact"/>
            </w:pPr>
            <w:r>
              <w:t xml:space="preserve">81.00</w:t>
            </w:r>
          </w:p>
        </w:tc>
        <w:tc>
          <w:tcPr/>
          <w:p>
            <w:pPr>
              <w:pStyle w:val="Compact"/>
            </w:pPr>
            <w:r>
              <w:t xml:space="preserve">82.00</w:t>
            </w:r>
          </w:p>
        </w:tc>
      </w:tr>
      <w:tr>
        <w:tc>
          <w:tcPr/>
          <w:p>
            <w:pPr>
              <w:pStyle w:val="Compact"/>
            </w:pPr>
            <w:r>
              <w:t xml:space="preserve">KS distance vs other mode</w:t>
            </w:r>
          </w:p>
        </w:tc>
        <w:tc>
          <w:tcPr/>
          <w:p>
            <w:pPr>
              <w:pStyle w:val="Compact"/>
            </w:pPr>
            <w:r>
              <w:t xml:space="preserve">0.100</w:t>
            </w:r>
          </w:p>
        </w:tc>
        <w:tc>
          <w:tcPr/>
          <w:p>
            <w:pPr>
              <w:pStyle w:val="Compact"/>
            </w:pPr>
            <w:r>
              <w:t xml:space="preserve">0.100</w:t>
            </w:r>
          </w:p>
        </w:tc>
      </w:tr>
    </w:tbl>
    <w:p>
      <w:pPr>
        <w:pStyle w:val="BodyText"/>
      </w:pPr>
      <w: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pPr>
      <w:r>
        <w:drawing>
          <wp:inline>
            <wp:extent cx="5727700" cy="4051154"/>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5727700" cy="4051154"/>
                    </a:xfrm>
                    <a:prstGeom prst="rect">
                      <a:avLst/>
                    </a:prstGeom>
                    <a:noFill/>
                    <a:ln w="9525">
                      <a:noFill/>
                      <a:headEnd/>
                      <a:tailEnd/>
                    </a:ln>
                  </pic:spPr>
                </pic:pic>
              </a:graphicData>
            </a:graphic>
          </wp:inline>
        </w:drawing>
      </w:r>
    </w:p>
    <w:p>
      <w:pPr>
        <w:pStyle w:val="BodyText"/>
      </w:pPr>
      <w:r>
        <w:rPr>
          <w:i/>
          <w:iCs/>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pPr>
      <w:r>
        <w:t xml:space="preserve">4.3.3 Latency</w:t>
      </w:r>
    </w:p>
    <w:p>
      <w:pPr>
        <w:pStyle w:val="FirstParagraph"/>
      </w:pPr>
      <w: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pPr>
      <w:r>
        <w:rPr>
          <w:i/>
          <w:iCs/>
        </w:rPr>
        <w:t xml:space="preserve">Table 4.5: Service-side latency for a single tool invocation, in milliseconds, with the per-row blended-to-heuristic ratio. The maximum-observed row reflects one transient LLM retry absorbed by the four-retry exponential-backoff policy described in Section 3.1.1.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Blended (ms)</w:t>
            </w:r>
          </w:p>
        </w:tc>
        <w:tc>
          <w:tcPr/>
          <w:p>
            <w:pPr>
              <w:pStyle w:val="Compact"/>
            </w:pPr>
            <w:r>
              <w:t xml:space="preserve">Heuristic v2 (ms)</w:t>
            </w:r>
          </w:p>
        </w:tc>
        <w:tc>
          <w:tcPr/>
          <w:p>
            <w:pPr>
              <w:pStyle w:val="Compact"/>
            </w:pPr>
            <w:r>
              <w:t xml:space="preserve">Ratio</w:t>
            </w:r>
          </w:p>
        </w:tc>
      </w:tr>
      <w:tr>
        <w:tc>
          <w:tcPr/>
          <w:p>
            <w:pPr>
              <w:pStyle w:val="Compact"/>
            </w:pPr>
            <w:r>
              <w:t xml:space="preserve">Median</w:t>
            </w:r>
          </w:p>
        </w:tc>
        <w:tc>
          <w:tcPr/>
          <w:p>
            <w:pPr>
              <w:pStyle w:val="Compact"/>
            </w:pPr>
            <w:r>
              <w:t xml:space="preserve">18 232.1</w:t>
            </w:r>
          </w:p>
        </w:tc>
        <w:tc>
          <w:tcPr/>
          <w:p>
            <w:pPr>
              <w:pStyle w:val="Compact"/>
            </w:pPr>
            <w:r>
              <w:t xml:space="preserve">25.5</w:t>
            </w:r>
          </w:p>
        </w:tc>
        <w:tc>
          <w:tcPr/>
          <w:p>
            <w:pPr>
              <w:pStyle w:val="Compact"/>
            </w:pPr>
            <w:r>
              <w:t xml:space="preserve">714×</w:t>
            </w:r>
          </w:p>
        </w:tc>
      </w:tr>
      <w:tr>
        <w:tc>
          <w:tcPr/>
          <w:p>
            <w:pPr>
              <w:pStyle w:val="Compact"/>
            </w:pPr>
            <w:r>
              <w:t xml:space="preserve">95th percentile</w:t>
            </w:r>
          </w:p>
        </w:tc>
        <w:tc>
          <w:tcPr/>
          <w:p>
            <w:pPr>
              <w:pStyle w:val="Compact"/>
            </w:pPr>
            <w:r>
              <w:t xml:space="preserve">24 713.7</w:t>
            </w:r>
          </w:p>
        </w:tc>
        <w:tc>
          <w:tcPr/>
          <w:p>
            <w:pPr>
              <w:pStyle w:val="Compact"/>
            </w:pPr>
            <w:r>
              <w:t xml:space="preserve">32.1</w:t>
            </w:r>
          </w:p>
        </w:tc>
        <w:tc>
          <w:tcPr/>
          <w:p>
            <w:pPr>
              <w:pStyle w:val="Compact"/>
            </w:pPr>
            <w:r>
              <w:t xml:space="preserve">770×</w:t>
            </w:r>
          </w:p>
        </w:tc>
      </w:tr>
      <w:tr>
        <w:tc>
          <w:tcPr/>
          <w:p>
            <w:pPr>
              <w:pStyle w:val="Compact"/>
            </w:pPr>
            <w:r>
              <w:t xml:space="preserve">Maximum observed</w:t>
            </w:r>
          </w:p>
        </w:tc>
        <w:tc>
          <w:tcPr/>
          <w:p>
            <w:pPr>
              <w:pStyle w:val="Compact"/>
            </w:pPr>
            <w:r>
              <w:t xml:space="preserve">65 926.6</w:t>
            </w:r>
          </w:p>
        </w:tc>
        <w:tc>
          <w:tcPr/>
          <w:p>
            <w:pPr>
              <w:pStyle w:val="Compact"/>
            </w:pPr>
            <w:r>
              <w:t xml:space="preserve">34.1</w:t>
            </w:r>
          </w:p>
        </w:tc>
        <w:tc>
          <w:tcPr/>
          <w:p>
            <w:pPr>
              <w:pStyle w:val="Compact"/>
            </w:pPr>
            <w:r>
              <w:t xml:space="preserve">1 933×</w:t>
            </w:r>
          </w:p>
        </w:tc>
      </w:tr>
    </w:tbl>
    <w:p>
      <w:pPr>
        <w:pStyle w:val="BodyText"/>
      </w:pPr>
      <w:r>
        <w:t xml:space="preserve">Blended latency is dominated by Gemini structured-output inference over approximately 608 input tokens plus prompt overhead and 1 118 output tokens. The maximum of 65 926.6 ms reflects one transient LLM retry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pPr>
      <w:r>
        <w:t xml:space="preserve">4.3.4 Per-call cost</w:t>
      </w:r>
    </w:p>
    <w:p>
      <w:pPr>
        <w:pStyle w:val="FirstParagraph"/>
      </w:pPr>
      <w: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pPr>
      <w:r>
        <w:rPr>
          <w:i/>
          <w:iCs/>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Statistic</w:t>
            </w:r>
          </w:p>
        </w:tc>
        <w:tc>
          <w:tcPr/>
          <w:p>
            <w:pPr>
              <w:pStyle w:val="Compact"/>
            </w:pPr>
            <w:r>
              <w:t xml:space="preserve">Blended mode</w:t>
            </w:r>
          </w:p>
        </w:tc>
        <w:tc>
          <w:tcPr/>
          <w:p>
            <w:pPr>
              <w:pStyle w:val="Compact"/>
            </w:pPr>
            <w:r>
              <w:t xml:space="preserve">Heuristic v2 mode</w:t>
            </w:r>
          </w:p>
        </w:tc>
      </w:tr>
      <w:tr>
        <w:tc>
          <w:tcPr/>
          <w:p>
            <w:pPr>
              <w:pStyle w:val="Compact"/>
            </w:pPr>
            <w:r>
              <w:t xml:space="preserve">Average per-call cost</w:t>
            </w:r>
          </w:p>
        </w:tc>
        <w:tc>
          <w:tcPr/>
          <w:p>
            <w:pPr>
              <w:pStyle w:val="Compact"/>
            </w:pPr>
            <w:r>
              <w:t xml:space="preserve">$0.00038</w:t>
            </w:r>
          </w:p>
        </w:tc>
        <w:tc>
          <w:tcPr/>
          <w:p>
            <w:pPr>
              <w:pStyle w:val="Compact"/>
            </w:pPr>
            <w:r>
              <w:t xml:space="preserve">$0.00000</w:t>
            </w:r>
          </w:p>
        </w:tc>
      </w:tr>
      <w:tr>
        <w:tc>
          <w:tcPr/>
          <w:p>
            <w:pPr>
              <w:pStyle w:val="Compact"/>
            </w:pPr>
            <w:r>
              <w:t xml:space="preserve">95th-percentile per-call cost</w:t>
            </w:r>
          </w:p>
        </w:tc>
        <w:tc>
          <w:tcPr/>
          <w:p>
            <w:pPr>
              <w:pStyle w:val="Compact"/>
            </w:pPr>
            <w:r>
              <w:t xml:space="preserve">$0.00042</w:t>
            </w:r>
          </w:p>
        </w:tc>
        <w:tc>
          <w:tcPr/>
          <w:p>
            <w:pPr>
              <w:pStyle w:val="Compact"/>
            </w:pPr>
            <w:r>
              <w:t xml:space="preserve">$0.00000</w:t>
            </w:r>
          </w:p>
        </w:tc>
      </w:tr>
      <w:tr>
        <w:tc>
          <w:tcPr/>
          <w:p>
            <w:pPr>
              <w:pStyle w:val="Compact"/>
            </w:pPr>
            <w:r>
              <w:t xml:space="preserve">Projected monthly cost at 1 000 analyses/day</w:t>
            </w:r>
          </w:p>
        </w:tc>
        <w:tc>
          <w:tcPr/>
          <w:p>
            <w:pPr>
              <w:pStyle w:val="Compact"/>
            </w:pPr>
            <w:r>
              <w:t xml:space="preserve">$11.43</w:t>
            </w:r>
          </w:p>
        </w:tc>
        <w:tc>
          <w:tcPr/>
          <w:p>
            <w:pPr>
              <w:pStyle w:val="Compact"/>
            </w:pPr>
            <w:r>
              <w:t xml:space="preserve">$0.00</w:t>
            </w:r>
          </w:p>
        </w:tc>
      </w:tr>
    </w:tbl>
    <w:p>
      <w:pPr>
        <w:pStyle w:val="BodyText"/>
      </w:pPr>
      <w:r>
        <w:t xml:space="preserve">Token counts are approximations following the</w:t>
      </w:r>
      <w:r>
        <w:t xml:space="preserve"> </w:t>
      </w:r>
      <w:r>
        <w:rPr>
          <w:rStyle w:val="VerbatimChar"/>
        </w:rPr>
        <w:t xml:space="preserve">~4 characters per token</w:t>
      </w:r>
      <w:r>
        <w:t xml:space="preserve"> </w:t>
      </w:r>
      <w: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t xml:space="preserve"> </w:t>
      </w:r>
      <w:r>
        <w:rPr>
          <w:rStyle w:val="VerbatimChar"/>
        </w:rPr>
        <w:t xml:space="preserve">scripts/recompute_eval_cost.py</w:t>
      </w:r>
      <w:r>
        <w:t xml:space="preserve">, which rebuilds the prompt for every pair without a second LLM call.</w:t>
      </w:r>
    </w:p>
    <w:p>
      <w:pPr>
        <w:pStyle w:val="BodyText"/>
      </w:pPr>
      <w: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pPr>
      <w:r>
        <w:t xml:space="preserve">4.3.5 Sensitivity to the score-combination weights</w:t>
      </w:r>
    </w:p>
    <w:p>
      <w:pPr>
        <w:pStyle w:val="FirstParagraph"/>
      </w:pPr>
      <w: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pPr>
      <w:r>
        <w:rPr>
          <w:i/>
          <w:iCs/>
        </w:rPr>
        <w:t xml:space="preserve">Table 4.7: Sensitivity of the blended-versus-heuristic agreement to the score-combination weights. The Δ row shows the absolute movement after switching from the author-selected weighting to equal weights.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Weighting</w:t>
            </w:r>
          </w:p>
        </w:tc>
        <w:tc>
          <w:tcPr/>
          <w:p>
            <w:pPr>
              <w:pStyle w:val="Compact"/>
            </w:pPr>
            <w:r>
              <w:t xml:space="preserve">Pearson</w:t>
            </w:r>
            <w:r>
              <w:t xml:space="preserve"> </w:t>
            </w:r>
            <w:r>
              <w:rPr>
                <w:i/>
                <w:iCs/>
              </w:rPr>
              <w:t xml:space="preserve">r</w:t>
            </w:r>
          </w:p>
        </w:tc>
        <w:tc>
          <w:tcPr/>
          <w:p>
            <w:pPr>
              <w:pStyle w:val="Compact"/>
            </w:pPr>
            <w:r>
              <w:t xml:space="preserve">Spearman ρ</w:t>
            </w:r>
          </w:p>
        </w:tc>
      </w:tr>
      <w:tr>
        <w:tc>
          <w:tcPr/>
          <w:p>
            <w:pPr>
              <w:pStyle w:val="Compact"/>
            </w:pPr>
            <w:r>
              <w:t xml:space="preserve">Author-selected (0.30, 0.25, 0.15, 0.15, 0.15)</w:t>
            </w:r>
          </w:p>
        </w:tc>
        <w:tc>
          <w:tcPr/>
          <w:p>
            <w:pPr>
              <w:pStyle w:val="Compact"/>
            </w:pPr>
            <w:r>
              <w:t xml:space="preserve">0.836</w:t>
            </w:r>
          </w:p>
        </w:tc>
        <w:tc>
          <w:tcPr/>
          <w:p>
            <w:pPr>
              <w:pStyle w:val="Compact"/>
            </w:pPr>
            <w:r>
              <w:t xml:space="preserve">0.847</w:t>
            </w:r>
          </w:p>
        </w:tc>
      </w:tr>
      <w:tr>
        <w:tc>
          <w:tcPr/>
          <w:p>
            <w:pPr>
              <w:pStyle w:val="Compact"/>
            </w:pPr>
            <w:r>
              <w:t xml:space="preserve">Equal (0.20 across all five)</w:t>
            </w:r>
          </w:p>
        </w:tc>
        <w:tc>
          <w:tcPr/>
          <w:p>
            <w:pPr>
              <w:pStyle w:val="Compact"/>
            </w:pPr>
            <w:r>
              <w:t xml:space="preserve">0.813</w:t>
            </w:r>
          </w:p>
        </w:tc>
        <w:tc>
          <w:tcPr/>
          <w:p>
            <w:pPr>
              <w:pStyle w:val="Compact"/>
            </w:pPr>
            <w:r>
              <w:t xml:space="preserve">0.823</w:t>
            </w:r>
          </w:p>
        </w:tc>
      </w:tr>
      <w:tr>
        <w:tc>
          <w:tcPr/>
          <w:p>
            <w:pPr>
              <w:pStyle w:val="Compact"/>
            </w:pPr>
            <w:r>
              <w:t xml:space="preserve">Δ</w:t>
            </w:r>
          </w:p>
        </w:tc>
        <w:tc>
          <w:tcPr/>
          <w:p>
            <w:pPr>
              <w:pStyle w:val="Compact"/>
            </w:pPr>
            <w:r>
              <w:t xml:space="preserve">−0.023</w:t>
            </w:r>
          </w:p>
        </w:tc>
        <w:tc>
          <w:tcPr/>
          <w:p>
            <w:pPr>
              <w:pStyle w:val="Compact"/>
            </w:pPr>
            <w:r>
              <w:t xml:space="preserve">−0.024</w:t>
            </w:r>
          </w:p>
        </w:tc>
      </w:tr>
    </w:tbl>
    <w:p>
      <w:pPr>
        <w:pStyle w:val="BodyText"/>
      </w:pPr>
      <w: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pPr>
      <w:r>
        <w:t xml:space="preserve">4.3.6 Heuristic-enhancement ablation (Stage H)</w:t>
      </w:r>
    </w:p>
    <w:p>
      <w:pPr>
        <w:pStyle w:val="FirstParagraph"/>
      </w:pPr>
      <w:r>
        <w:t xml:space="preserve">Stage H tested whether targeted heuristic enhancements could close the LLM-only residual without adding a deployed neural dependency. A separate</w:t>
      </w:r>
      <w:r>
        <w:t xml:space="preserve"> </w:t>
      </w:r>
      <w:r>
        <w:rPr>
          <w:rStyle w:val="VerbatimChar"/>
        </w:rPr>
        <w:t xml:space="preserve">quality_signals_v3.py</w:t>
      </w:r>
      <w:r>
        <w:t xml:space="preserve"> </w:t>
      </w:r>
      <w:r>
        <w:t xml:space="preserve">module added five gated signals: SBERT semantic fallback with</w:t>
      </w:r>
      <w:r>
        <w:t xml:space="preserve"> </w:t>
      </w:r>
      <w:r>
        <w:rPr>
          <w:rStyle w:val="VerbatimChar"/>
        </w:rPr>
        <w:t xml:space="preserve">all-MiniLM-L6-v2</w:t>
      </w:r>
      <w:r>
        <w:t xml:space="preserve"> </w:t>
      </w:r>
      <w: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pPr>
      <w:r>
        <w:t xml:space="preserve">Table 4.8 reports the Pearson correlation against the post-hoc LLM-only score for each variant, with the cluster-bootstrap interval and the absolute delta against the v2 baseline.</w:t>
      </w:r>
    </w:p>
    <w:p>
      <w:pPr>
        <w:pStyle w:val="BodyText"/>
      </w:pPr>
      <w:r>
        <w:rPr>
          <w:i/>
          <w:iCs/>
        </w:rPr>
        <w:t xml:space="preserve">Table 4.8: Stage H ablation. Pearson correlation between each variant and the post-hoc LLM-only score, with cluster-bootstrap 95% confidence intervals (</w:t>
      </w:r>
      <w:r>
        <w:rPr>
          <w:rStyle w:val="VerbatimChar"/>
          <w:i/>
          <w:iCs/>
        </w:rPr>
        <w:t xml:space="preserve">resume_id</w:t>
      </w:r>
      <w:r>
        <w:rPr>
          <w:i/>
          <w:iCs/>
        </w:rPr>
        <w:t xml:space="preserve"> </w:t>
      </w:r>
      <w:r>
        <w:rPr>
          <w:i/>
          <w:iCs/>
        </w:rPr>
        <w:t xml:space="preserve">clusters, 2 000 resamples, seed = 42). Bold rows mark the v2 baseline and the full v3 stack endpoints of the ablation.</w:t>
      </w:r>
    </w:p>
    <w:tbl>
      <w:tblPr>
        <w:tblStyle w:val="Table"/>
        <w:tblW w:type="pct" w:w="5000"/>
        <w:tblLayout w:type="fixed"/>
        <w:tblLook w:firstRow="1" w:lastRow="0" w:firstColumn="0" w:lastColumn="0" w:noHBand="0" w:noVBand="0" w:val="0020"/>
      </w:tblPr>
      <w:tblGrid>
        <w:gridCol w:w="1397"/>
        <w:gridCol w:w="2018"/>
        <w:gridCol w:w="1242"/>
        <w:gridCol w:w="1863"/>
        <w:gridCol w:w="1397"/>
      </w:tblGrid>
      <w:tr>
        <w:trPr>
          <w:tblHeader w:val="on"/>
        </w:trPr>
        <w:tc>
          <w:tcPr/>
          <w:p>
            <w:pPr>
              <w:pStyle w:val="Compact"/>
            </w:pPr>
            <w:r>
              <w:t xml:space="preserve">Variant</w:t>
            </w:r>
          </w:p>
        </w:tc>
        <w:tc>
          <w:tcPr/>
          <w:p>
            <w:pPr>
              <w:pStyle w:val="Compact"/>
            </w:pPr>
            <w:r>
              <w:t xml:space="preserve">Pearson</w:t>
            </w:r>
            <w:r>
              <w:t xml:space="preserve"> </w:t>
            </w:r>
            <w:r>
              <w:rPr>
                <w:i/>
                <w:iCs/>
              </w:rPr>
              <w:t xml:space="preserve">r</w:t>
            </w:r>
          </w:p>
        </w:tc>
        <w:tc>
          <w:tcPr/>
          <w:p>
            <w:pPr>
              <w:pStyle w:val="Compact"/>
            </w:pPr>
            <w:r>
              <w:t xml:space="preserve">95% CI</w:t>
            </w:r>
          </w:p>
        </w:tc>
        <w:tc>
          <w:tcPr/>
          <w:p>
            <w:pPr>
              <w:pStyle w:val="Compact"/>
            </w:pPr>
            <w:r>
              <w:t xml:space="preserve">Spearman ρ</w:t>
            </w:r>
          </w:p>
        </w:tc>
        <w:tc>
          <w:tcPr/>
          <w:p>
            <w:pPr>
              <w:pStyle w:val="Compact"/>
            </w:pPr>
            <w:r>
              <w:t xml:space="preserve">Δ vs v2</w:t>
            </w:r>
          </w:p>
        </w:tc>
      </w:tr>
      <w:tr>
        <w:tc>
          <w:tcPr/>
          <w:p>
            <w:pPr>
              <w:pStyle w:val="Compact"/>
            </w:pPr>
            <w:r>
              <w:rPr>
                <w:b/>
                <w:bCs/>
              </w:rPr>
              <w:t xml:space="preserve">heuristic-v2 (BM25 + ESCO + fuzzy)</w:t>
            </w:r>
          </w:p>
        </w:tc>
        <w:tc>
          <w:tcPr/>
          <w:p>
            <w:pPr>
              <w:pStyle w:val="Compact"/>
            </w:pPr>
            <w:r>
              <w:rPr>
                <w:b/>
                <w:bCs/>
              </w:rPr>
              <w:t xml:space="preserve">0.627</w:t>
            </w:r>
          </w:p>
        </w:tc>
        <w:tc>
          <w:tcPr/>
          <w:p>
            <w:pPr>
              <w:pStyle w:val="Compact"/>
            </w:pPr>
            <w:r>
              <w:t xml:space="preserve">[0.470, 0.758]</w:t>
            </w:r>
          </w:p>
        </w:tc>
        <w:tc>
          <w:tcPr/>
          <w:p>
            <w:pPr>
              <w:pStyle w:val="Compact"/>
            </w:pPr>
            <w:r>
              <w:t xml:space="preserve">0.596</w:t>
            </w:r>
          </w:p>
        </w:tc>
        <w:tc>
          <w:tcPr/>
          <w:p>
            <w:pPr>
              <w:pStyle w:val="Compact"/>
            </w:pPr>
            <w:r>
              <w:t xml:space="preserve">baseline</w:t>
            </w:r>
          </w:p>
        </w:tc>
      </w:tr>
      <w:tr>
        <w:tc>
          <w:tcPr/>
          <w:p>
            <w:pPr>
              <w:pStyle w:val="Compact"/>
            </w:pPr>
            <w:r>
              <w:t xml:space="preserve">heuristic-v3 with no Stage H features</w:t>
            </w:r>
          </w:p>
        </w:tc>
        <w:tc>
          <w:tcPr/>
          <w:p>
            <w:pPr>
              <w:pStyle w:val="Compact"/>
            </w:pPr>
            <w:r>
              <w:t xml:space="preserve">0.627</w:t>
            </w:r>
          </w:p>
        </w:tc>
        <w:tc>
          <w:tcPr/>
          <w:p>
            <w:pPr>
              <w:pStyle w:val="Compact"/>
            </w:pPr>
            <w:r>
              <w:t xml:space="preserve">[0.470, 0.758]</w:t>
            </w:r>
          </w:p>
        </w:tc>
        <w:tc>
          <w:tcPr/>
          <w:p>
            <w:pPr>
              <w:pStyle w:val="Compact"/>
            </w:pPr>
            <w:r>
              <w:t xml:space="preserve">0.596</w:t>
            </w:r>
          </w:p>
        </w:tc>
        <w:tc>
          <w:tcPr/>
          <w:p>
            <w:pPr>
              <w:pStyle w:val="Compact"/>
            </w:pPr>
            <w:r>
              <w:t xml:space="preserve">+0.000</w:t>
            </w:r>
          </w:p>
        </w:tc>
      </w:tr>
      <w:tr>
        <w:tc>
          <w:tcPr/>
          <w:p>
            <w:pPr>
              <w:pStyle w:val="Compact"/>
            </w:pPr>
            <w:r>
              <w:t xml:space="preserve">Bigram/trigram matching (H.4)</w:t>
            </w:r>
          </w:p>
        </w:tc>
        <w:tc>
          <w:tcPr/>
          <w:p>
            <w:pPr>
              <w:pStyle w:val="Compact"/>
            </w:pPr>
            <w:r>
              <w:t xml:space="preserve">0.629</w:t>
            </w:r>
          </w:p>
        </w:tc>
        <w:tc>
          <w:tcPr/>
          <w:p>
            <w:pPr>
              <w:pStyle w:val="Compact"/>
            </w:pPr>
            <w:r>
              <w:t xml:space="preserve">[0.470, 0.758]</w:t>
            </w:r>
          </w:p>
        </w:tc>
        <w:tc>
          <w:tcPr/>
          <w:p>
            <w:pPr>
              <w:pStyle w:val="Compact"/>
            </w:pPr>
            <w:r>
              <w:t xml:space="preserve">0.583</w:t>
            </w:r>
          </w:p>
        </w:tc>
        <w:tc>
          <w:tcPr/>
          <w:p>
            <w:pPr>
              <w:pStyle w:val="Compact"/>
            </w:pPr>
            <w:r>
              <w:t xml:space="preserve">+0.002</w:t>
            </w:r>
          </w:p>
        </w:tc>
      </w:tr>
      <w:tr>
        <w:tc>
          <w:tcPr/>
          <w:p>
            <w:pPr>
              <w:pStyle w:val="Compact"/>
            </w:pPr>
            <w:r>
              <w:t xml:space="preserve">SBERT semantic fallback (H.1)</w:t>
            </w:r>
          </w:p>
        </w:tc>
        <w:tc>
          <w:tcPr/>
          <w:p>
            <w:pPr>
              <w:pStyle w:val="Compact"/>
            </w:pPr>
            <w:r>
              <w:t xml:space="preserve">0.623</w:t>
            </w:r>
          </w:p>
        </w:tc>
        <w:tc>
          <w:tcPr/>
          <w:p>
            <w:pPr>
              <w:pStyle w:val="Compact"/>
            </w:pPr>
            <w:r>
              <w:t xml:space="preserve">[0.452, 0.759]</w:t>
            </w:r>
          </w:p>
        </w:tc>
        <w:tc>
          <w:tcPr/>
          <w:p>
            <w:pPr>
              <w:pStyle w:val="Compact"/>
            </w:pPr>
            <w:r>
              <w:t xml:space="preserve">0.573</w:t>
            </w:r>
          </w:p>
        </w:tc>
        <w:tc>
          <w:tcPr/>
          <w:p>
            <w:pPr>
              <w:pStyle w:val="Compact"/>
            </w:pPr>
            <w:r>
              <w:t xml:space="preserve">−0.004</w:t>
            </w:r>
          </w:p>
        </w:tc>
      </w:tr>
      <w:tr>
        <w:tc>
          <w:tcPr/>
          <w:p>
            <w:pPr>
              <w:pStyle w:val="Compact"/>
            </w:pPr>
            <w:r>
              <w:t xml:space="preserve">STAR detection (H.2)</w:t>
            </w:r>
          </w:p>
        </w:tc>
        <w:tc>
          <w:tcPr/>
          <w:p>
            <w:pPr>
              <w:pStyle w:val="Compact"/>
            </w:pPr>
            <w:r>
              <w:t xml:space="preserve">0.621</w:t>
            </w:r>
          </w:p>
        </w:tc>
        <w:tc>
          <w:tcPr/>
          <w:p>
            <w:pPr>
              <w:pStyle w:val="Compact"/>
            </w:pPr>
            <w:r>
              <w:t xml:space="preserve">[0.463, 0.755]</w:t>
            </w:r>
          </w:p>
        </w:tc>
        <w:tc>
          <w:tcPr/>
          <w:p>
            <w:pPr>
              <w:pStyle w:val="Compact"/>
            </w:pPr>
            <w:r>
              <w:t xml:space="preserve">0.596</w:t>
            </w:r>
          </w:p>
        </w:tc>
        <w:tc>
          <w:tcPr/>
          <w:p>
            <w:pPr>
              <w:pStyle w:val="Compact"/>
            </w:pPr>
            <w:r>
              <w:t xml:space="preserve">−0.006</w:t>
            </w:r>
          </w:p>
        </w:tc>
      </w:tr>
      <w:tr>
        <w:tc>
          <w:tcPr/>
          <w:p>
            <w:pPr>
              <w:pStyle w:val="Compact"/>
            </w:pPr>
            <w:r>
              <w:t xml:space="preserve">ESCO expansion 107 → 354 (H.5)</w:t>
            </w:r>
          </w:p>
        </w:tc>
        <w:tc>
          <w:tcPr/>
          <w:p>
            <w:pPr>
              <w:pStyle w:val="Compact"/>
            </w:pPr>
            <w:r>
              <w:t xml:space="preserve">0.617</w:t>
            </w:r>
          </w:p>
        </w:tc>
        <w:tc>
          <w:tcPr/>
          <w:p>
            <w:pPr>
              <w:pStyle w:val="Compact"/>
            </w:pPr>
            <w:r>
              <w:t xml:space="preserve">[0.461, 0.752]</w:t>
            </w:r>
          </w:p>
        </w:tc>
        <w:tc>
          <w:tcPr/>
          <w:p>
            <w:pPr>
              <w:pStyle w:val="Compact"/>
            </w:pPr>
            <w:r>
              <w:t xml:space="preserve">0.578</w:t>
            </w:r>
          </w:p>
        </w:tc>
        <w:tc>
          <w:tcPr/>
          <w:p>
            <w:pPr>
              <w:pStyle w:val="Compact"/>
            </w:pPr>
            <w:r>
              <w:t xml:space="preserve">−0.009</w:t>
            </w:r>
          </w:p>
        </w:tc>
      </w:tr>
      <w:tr>
        <w:tc>
          <w:tcPr/>
          <w:p>
            <w:pPr>
              <w:pStyle w:val="Compact"/>
            </w:pPr>
            <w:r>
              <w:t xml:space="preserve">Cross-axis coherence (H.3)</w:t>
            </w:r>
          </w:p>
        </w:tc>
        <w:tc>
          <w:tcPr/>
          <w:p>
            <w:pPr>
              <w:pStyle w:val="Compact"/>
            </w:pPr>
            <w:r>
              <w:t xml:space="preserve">0.605</w:t>
            </w:r>
          </w:p>
        </w:tc>
        <w:tc>
          <w:tcPr/>
          <w:p>
            <w:pPr>
              <w:pStyle w:val="Compact"/>
            </w:pPr>
            <w:r>
              <w:t xml:space="preserve">[0.438, 0.746]</w:t>
            </w:r>
          </w:p>
        </w:tc>
        <w:tc>
          <w:tcPr/>
          <w:p>
            <w:pPr>
              <w:pStyle w:val="Compact"/>
            </w:pPr>
            <w:r>
              <w:t xml:space="preserve">0.568</w:t>
            </w:r>
          </w:p>
        </w:tc>
        <w:tc>
          <w:tcPr/>
          <w:p>
            <w:pPr>
              <w:pStyle w:val="Compact"/>
            </w:pPr>
            <w:r>
              <w:t xml:space="preserve">−0.022</w:t>
            </w:r>
          </w:p>
        </w:tc>
      </w:tr>
      <w:tr>
        <w:tc>
          <w:tcPr/>
          <w:p>
            <w:pPr>
              <w:pStyle w:val="Compact"/>
            </w:pPr>
            <w:r>
              <w:rPr>
                <w:b/>
                <w:bCs/>
              </w:rPr>
              <w:t xml:space="preserve">heuristic-v3 full stack</w:t>
            </w:r>
          </w:p>
        </w:tc>
        <w:tc>
          <w:tcPr/>
          <w:p>
            <w:pPr>
              <w:pStyle w:val="Compact"/>
            </w:pPr>
            <w:r>
              <w:rPr>
                <w:b/>
                <w:bCs/>
              </w:rPr>
              <w:t xml:space="preserve">0.590</w:t>
            </w:r>
          </w:p>
        </w:tc>
        <w:tc>
          <w:tcPr/>
          <w:p>
            <w:pPr>
              <w:pStyle w:val="Compact"/>
            </w:pPr>
            <w:r>
              <w:t xml:space="preserve">[0.415, 0.735]</w:t>
            </w:r>
          </w:p>
        </w:tc>
        <w:tc>
          <w:tcPr/>
          <w:p>
            <w:pPr>
              <w:pStyle w:val="Compact"/>
            </w:pPr>
            <w:r>
              <w:t xml:space="preserve">0.556</w:t>
            </w:r>
          </w:p>
        </w:tc>
        <w:tc>
          <w:tcPr/>
          <w:p>
            <w:pPr>
              <w:pStyle w:val="Compact"/>
            </w:pPr>
            <w:r>
              <w:t xml:space="preserve">−0.036</w:t>
            </w:r>
          </w:p>
        </w:tc>
      </w:tr>
    </w:tbl>
    <w:p>
      <w:pPr>
        <w:pStyle w:val="BodyText"/>
      </w:pPr>
      <w:r>
        <w:t xml:space="preserve">The result is a controlled null with small negative drift in the full configuration.</w:t>
      </w:r>
      <w:r>
        <w:t xml:space="preserve"> </w:t>
      </w:r>
      <w:r>
        <w:rPr>
          <w:rStyle w:val="VerbatimChar"/>
        </w:rPr>
        <w:t xml:space="preserve">v3-empty</w:t>
      </w:r>
      <w:r>
        <w:t xml:space="preserve"> </w:t>
      </w:r>
      <w: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t xml:space="preserve"> </w:t>
      </w:r>
      <w:r>
        <w:rPr>
          <w:i/>
          <w:iCs/>
        </w:rPr>
        <w:t xml:space="preserve">r</w:t>
      </w:r>
      <w:r>
        <w:t xml:space="preserve"> </w:t>
      </w:r>
      <w:r>
        <w:t xml:space="preserve">= 0.590 (Δ = −0.036), suggesting that small false-positive effects compound when all five gated signals fire simultaneously.</w:t>
      </w:r>
    </w:p>
    <w:p>
      <w:pPr>
        <w:pStyle w:val="BodyText"/>
      </w:pPr>
      <w: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t xml:space="preserve"> </w:t>
      </w:r>
      <w:r>
        <w:rPr>
          <w:rStyle w:val="VerbatimChar"/>
        </w:rPr>
        <w:t xml:space="preserve">scripts/eval_scoring_v3_ablation.py</w:t>
      </w:r>
      <w:r>
        <w:t xml:space="preserve">,</w:t>
      </w:r>
      <w:r>
        <w:t xml:space="preserve"> </w:t>
      </w:r>
      <w:r>
        <w:rPr>
          <w:rStyle w:val="VerbatimChar"/>
        </w:rPr>
        <w:t xml:space="preserve">scripts/analyze_v3_ablation.py</w:t>
      </w:r>
      <w:r>
        <w:t xml:space="preserve">,</w:t>
      </w:r>
      <w:r>
        <w:t xml:space="preserve"> </w:t>
      </w:r>
      <w:r>
        <w:rPr>
          <w:rStyle w:val="VerbatimChar"/>
        </w:rPr>
        <w:t xml:space="preserve">backend/app/services/quality_signals_v3.py</w:t>
      </w:r>
      <w:r>
        <w:t xml:space="preserve">, and</w:t>
      </w:r>
      <w:r>
        <w:t xml:space="preserve"> </w:t>
      </w:r>
      <w:r>
        <w:rPr>
          <w:rStyle w:val="VerbatimChar"/>
        </w:rPr>
        <w:t xml:space="preserve">backend/app/data/esco_skills_expanded.json</w:t>
      </w:r>
      <w:r>
        <w:t xml:space="preserve">; PyTorch and sentence-transformers stay in</w:t>
      </w:r>
      <w:r>
        <w:t xml:space="preserve"> </w:t>
      </w:r>
      <w:r>
        <w:rPr>
          <w:rStyle w:val="VerbatimChar"/>
        </w:rPr>
        <w:t xml:space="preserve">backend/requirements-thesis-eval.txt</w:t>
      </w:r>
      <w:r>
        <w:t xml:space="preserve">, outside the production requirements.</w:t>
      </w:r>
    </w:p>
    <w:p>
      <w:pPr>
        <w:pStyle w:val="BodyText"/>
      </w:pPr>
      <w: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pPr>
      <w:r>
        <w:t xml:space="preserve">4.3.7 Implementation note on Stage H reproducibility</w:t>
      </w:r>
    </w:p>
    <w:p>
      <w:pPr>
        <w:pStyle w:val="FirstParagraph"/>
      </w:pPr>
      <w:r>
        <w:t xml:space="preserve">The ablation reuses</w:t>
      </w:r>
      <w:r>
        <w:t xml:space="preserve"> </w:t>
      </w:r>
      <w:r>
        <w:rPr>
          <w:rStyle w:val="VerbatimChar"/>
        </w:rPr>
        <w:t xml:space="preserve">thesis/eval-results.json</w:t>
      </w:r>
      <w:r>
        <w:t xml:space="preserve"> </w:t>
      </w:r>
      <w: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pPr>
      <w:r>
        <w:t xml:space="preserve">4.4 Discussion and limitations</w:t>
      </w:r>
    </w:p>
    <w:p>
      <w:pPr>
        <w:pStyle w:val="FirstParagraph"/>
      </w:pPr>
      <w:r>
        <w:t xml:space="preserve">Within this synthetic evaluation set, the fully heuristic mode recovers most of the blended mode’s aggregate discriminative power: Pearson</w:t>
      </w:r>
      <w:r>
        <w:t xml:space="preserve"> </w:t>
      </w:r>
      <w:r>
        <w:rPr>
          <w:i/>
          <w:iCs/>
        </w:rPr>
        <w:t xml:space="preserve">r</w:t>
      </w:r>
      <w:r>
        <w:t xml:space="preserve"> </w:t>
      </w:r>
      <w:r>
        <w:t xml:space="preserve">= 0.836 [95% CI 0.762, 0.896], Spearman ρ = 0.847, median latency 25.5 ms rather than 18.2 s, and zero LLM-side marginal cost. After removing the structural 0.40 heuristic share in the blended formula, LLM-only versus heuristic agreement is</w:t>
      </w:r>
      <w:r>
        <w:t xml:space="preserve"> </w:t>
      </w:r>
      <w:r>
        <w:rPr>
          <w:i/>
          <w:iCs/>
        </w:rPr>
        <w:t xml:space="preserve">r</w:t>
      </w:r>
      <w:r>
        <w:t xml:space="preserve"> </w:t>
      </w:r>
      <w:r>
        <w:t xml:space="preserve">= 0.627 [95% CI 0.470, 0.758]. The deterministic baseline is therefore strong enough to justify deployment as a fallback and runtime mode, while the blended mode remains valuable for qualitative explanations and clarity-sensitive judgement.</w:t>
      </w:r>
    </w:p>
    <w:p>
      <w:pPr>
        <w:pStyle w:val="BodyText"/>
      </w:pPr>
      <w:r>
        <w:t xml:space="preserve">Four limitations constrain the claim.</w:t>
      </w:r>
      <w:r>
        <w:t xml:space="preserve"> </w:t>
      </w:r>
      <w:r>
        <w:rPr>
          <w:b/>
          <w:bCs/>
        </w:rPr>
        <w:t xml:space="preserve">Single-language scope:</w:t>
      </w:r>
      <w:r>
        <w:t xml:space="preserve"> </w:t>
      </w:r>
      <w:r>
        <w:t xml:space="preserve">all evaluation resumes and job descriptions are in English, although ESCO is multilingual.</w:t>
      </w:r>
      <w:r>
        <w:t xml:space="preserve"> </w:t>
      </w:r>
      <w:r>
        <w:rPr>
          <w:b/>
          <w:bCs/>
        </w:rPr>
        <w:t xml:space="preserve">Single-subject evaluation:</w:t>
      </w:r>
      <w:r>
        <w:t xml:space="preserve"> </w:t>
      </w:r>
      <w:r>
        <w:t xml:space="preserve">one author synthesised all 30 resumes, so stylistic regularities may not generalise.</w:t>
      </w:r>
      <w:r>
        <w:t xml:space="preserve"> </w:t>
      </w:r>
      <w:r>
        <w:rPr>
          <w:b/>
          <w:bCs/>
        </w:rPr>
        <w:t xml:space="preserve">Single LLM provider:</w:t>
      </w:r>
      <w:r>
        <w:t xml:space="preserve"> </w:t>
      </w:r>
      <w:r>
        <w:t xml:space="preserve">the blended mode uses Gemini 2.5 Flash only; cross-model comparisons remain a known limitation of LLM-as-judge evaluations [29].</w:t>
      </w:r>
      <w:r>
        <w:t xml:space="preserve"> </w:t>
      </w:r>
      <w:r>
        <w:rPr>
          <w:b/>
          <w:bCs/>
        </w:rPr>
        <w:t xml:space="preserve">Bias and fairness:</w:t>
      </w:r>
      <w:r>
        <w:t xml:space="preserve"> </w:t>
      </w:r>
      <w:r>
        <w:t xml:space="preserve">the benchmark has no demographic annotations and cannot support disparate-impact analysis; production deployment beyond thesis scope would require a fairness audit aligned with algorithmic-hiring literature [22, 23, 24].</w:t>
      </w:r>
    </w:p>
    <w:p>
      <w:pPr>
        <w:pStyle w:val="BodyText"/>
      </w:pPr>
      <w: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pPr>
      <w: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pPr>
      <w:r>
        <w:t xml:space="preserve">Chapter 5 — Conclusions</w:t>
      </w:r>
    </w:p>
    <w:p>
      <w:pPr>
        <w:pStyle w:val="FirstParagraph"/>
      </w:pPr>
      <w: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pPr>
      <w:r>
        <w:t xml:space="preserve">5.1 Results</w:t>
      </w:r>
    </w:p>
    <w:p>
      <w:pPr>
        <w:pStyle w:val="FirstParagraph"/>
      </w:pPr>
      <w:r>
        <w:rPr>
          <w:b/>
          <w:bCs/>
        </w:rPr>
        <w:t xml:space="preserve">A deployed integrated system.</w:t>
      </w:r>
      <w:r>
        <w:t xml:space="preserve"> </w:t>
      </w:r>
      <w: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pPr>
      <w:r>
        <w:rPr>
          <w:b/>
          <w:bCs/>
        </w:rPr>
        <w:t xml:space="preserve">A defendable heuristic baseline.</w:t>
      </w:r>
      <w:r>
        <w:t xml:space="preserve"> </w:t>
      </w:r>
      <w: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pPr>
      <w:r>
        <w:rPr>
          <w:b/>
          <w:bCs/>
        </w:rPr>
        <w:t xml:space="preserve">A characterisation of the heuristic-versus-blended trade-off.</w:t>
      </w:r>
      <w:r>
        <w:t xml:space="preserve"> </w:t>
      </w:r>
      <w:r>
        <w:t xml:space="preserve">Section 4.3 reported four metric families measured across 100 (resume, job-description) pairs on the post-mitigation disjoint-vocabulary dataset. On the overall score the heuristic mode tracks the blended mode at Pearson</w:t>
      </w:r>
      <w:r>
        <w:t xml:space="preserve"> </w:t>
      </w:r>
      <w:r>
        <w:rPr>
          <w:i/>
          <w:iCs/>
        </w:rPr>
        <w:t xml:space="preserve">r</w:t>
      </w:r>
      <w:r>
        <w:t xml:space="preserve"> </w:t>
      </w:r>
      <w: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t xml:space="preserve"> </w:t>
      </w:r>
      <w:r>
        <w:rPr>
          <w:i/>
          <w:iCs/>
        </w:rPr>
        <w:t xml:space="preserve">r</w:t>
      </w:r>
      <w:r>
        <w:t xml:space="preserve"> </w:t>
      </w:r>
      <w:r>
        <w:t xml:space="preserve">= 0.627 [95% CI 0.470, 0.758]; this is the cross-mode agreement after controlling for the 0.40 heuristic share that the blended mode carries by construction. The agreement is dominated by the</w:t>
      </w:r>
      <w:r>
        <w:t xml:space="preserve"> </w:t>
      </w:r>
      <w:r>
        <w:rPr>
          <w:i/>
          <w:iCs/>
        </w:rPr>
        <w:t xml:space="preserve">keywords</w:t>
      </w:r>
      <w:r>
        <w:t xml:space="preserve"> </w:t>
      </w:r>
      <w:r>
        <w:t xml:space="preserve">axis (</w:t>
      </w:r>
      <w:r>
        <w:rPr>
          <w:i/>
          <w:iCs/>
        </w:rPr>
        <w:t xml:space="preserve">r</w:t>
      </w:r>
      <w:r>
        <w:t xml:space="preserve"> </w:t>
      </w:r>
      <w:r>
        <w:t xml:space="preserve">= 0.937), where both modes consume the same evidence, and is weakest on the</w:t>
      </w:r>
      <w:r>
        <w:t xml:space="preserve"> </w:t>
      </w:r>
      <w:r>
        <w:rPr>
          <w:i/>
          <w:iCs/>
        </w:rPr>
        <w:t xml:space="preserve">clarity</w:t>
      </w:r>
      <w:r>
        <w:t xml:space="preserve"> </w:t>
      </w:r>
      <w:r>
        <w:t xml:space="preserve">axis (</w:t>
      </w:r>
      <w:r>
        <w:rPr>
          <w:i/>
          <w:iCs/>
        </w:rPr>
        <w:t xml:space="preserve">r</w:t>
      </w:r>
      <w:r>
        <w:t xml:space="preserve"> </w:t>
      </w:r>
      <w: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pPr>
      <w: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t xml:space="preserve"> </w:t>
      </w:r>
      <w:r>
        <w:rPr>
          <w:rStyle w:val="VerbatimChar"/>
        </w:rPr>
        <w:t xml:space="preserve">run_tool_pipeline</w:t>
      </w:r>
      <w:r>
        <w:t xml:space="preserve"> </w:t>
      </w:r>
      <w: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pPr>
      <w: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t xml:space="preserve"> </w:t>
      </w:r>
      <w:r>
        <w:rPr>
          <w:i/>
          <w:iCs/>
        </w:rPr>
        <w:t xml:space="preserve">r</w:t>
      </w:r>
      <w:r>
        <w:t xml:space="preserve"> </w:t>
      </w:r>
      <w:r>
        <w:t xml:space="preserve">= 0.395) but strong enough on aggregate ranking and on legitimate skill-overlap evidence (keywords</w:t>
      </w:r>
      <w:r>
        <w:t xml:space="preserve"> </w:t>
      </w:r>
      <w:r>
        <w:rPr>
          <w:i/>
          <w:iCs/>
        </w:rPr>
        <w:t xml:space="preserve">r</w:t>
      </w:r>
      <w:r>
        <w:t xml:space="preserve"> </w:t>
      </w:r>
      <w:r>
        <w:t xml:space="preserve">= 0.937, structure</w:t>
      </w:r>
      <w:r>
        <w:t xml:space="preserve"> </w:t>
      </w:r>
      <w:r>
        <w:rPr>
          <w:i/>
          <w:iCs/>
        </w:rPr>
        <w:t xml:space="preserve">r</w:t>
      </w:r>
      <w:r>
        <w:t xml:space="preserve"> </w:t>
      </w:r>
      <w:r>
        <w:t xml:space="preserve">= 0.830) to justify its place in the deployed system as both an emergency fallback and a runtime-switchable mode for cost-sensitive or audit-sensitive deployments.</w:t>
      </w:r>
    </w:p>
    <w:p>
      <w:pPr>
        <w:pStyle w:val="BodyText"/>
      </w:pPr>
      <w:r>
        <w:rPr>
          <w:b/>
          <w:bCs/>
        </w:rPr>
        <w:t xml:space="preserve">Validity-threat closure reported in Chapter 4.</w:t>
      </w:r>
      <w:r>
        <w:t xml:space="preserve"> </w:t>
      </w:r>
      <w:r>
        <w:t xml:space="preserve">Three measurements address threats T1, T2, and T3 of Section 4.1.4, and their numerical results are reported inline in Chapter 4. The</w:t>
      </w:r>
      <w:r>
        <w:t xml:space="preserve"> </w:t>
      </w:r>
      <w:r>
        <w:rPr>
          <w:i/>
          <w:iCs/>
        </w:rPr>
        <w:t xml:space="preserve">LLM-only baseline</w:t>
      </w:r>
      <w:r>
        <w:t xml:space="preserve"> </w:t>
      </w:r>
      <w:r>
        <w:t xml:space="preserve">per pair, recovered post-hoc from the locked-payload identity rather than from a second LLM rerun, is reported in Section 4.3.1’ and addresses threat T2 (</w:t>
      </w:r>
      <w:r>
        <w:rPr>
          <w:i/>
          <w:iCs/>
        </w:rPr>
        <w:t xml:space="preserve">r</w:t>
      </w:r>
      <w:r>
        <w:t xml:space="preserve"> </w:t>
      </w:r>
      <w:r>
        <w:t xml:space="preserve">(LLM-only, heuristic) = 0.627 [95% CI 0.470, 0.758]). The</w:t>
      </w:r>
      <w:r>
        <w:t xml:space="preserve"> </w:t>
      </w:r>
      <w:r>
        <w:rPr>
          <w:i/>
          <w:iCs/>
        </w:rPr>
        <w:t xml:space="preserve">vocabulary-disjoint regeneration of the synthetic benchmark</w:t>
      </w:r>
      <w:r>
        <w:t xml:space="preserve"> </w:t>
      </w:r>
      <w: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t xml:space="preserve"> </w:t>
      </w:r>
      <w:r>
        <w:rPr>
          <w:i/>
          <w:iCs/>
        </w:rPr>
        <w:t xml:space="preserve">by-resume cluster-bootstrap confidence intervals</w:t>
      </w:r>
      <w:r>
        <w:t xml:space="preserve"> </w:t>
      </w:r>
      <w:r>
        <w:t xml:space="preserve">for all headline correlations, computed by resampling resume identifiers with replacement (</w:t>
      </w:r>
      <w:r>
        <w:rPr>
          <w:rStyle w:val="VerbatimChar"/>
        </w:rPr>
        <w:t xml:space="preserve">cluster_bootstrap_pearson</w:t>
      </w:r>
      <w:r>
        <w:t xml:space="preserve"> </w:t>
      </w:r>
      <w:r>
        <w:t xml:space="preserve">in</w:t>
      </w:r>
      <w:r>
        <w:t xml:space="preserve"> </w:t>
      </w:r>
      <w:r>
        <w:rPr>
          <w:rStyle w:val="VerbatimChar"/>
        </w:rPr>
        <w:t xml:space="preserve">scripts/analyze_eval_results.py</w:t>
      </w:r>
      <w:r>
        <w:t xml:space="preserve">, 2 000 resamples, seed = 42), are reported alongside the point estimates in Sections 4.3.1 and 4.3.1’ and address T3. The three closures together support the</w:t>
      </w:r>
      <w:r>
        <w:t xml:space="preserve"> </w:t>
      </w:r>
      <w:r>
        <w:rPr>
          <w:i/>
          <w:iCs/>
        </w:rPr>
        <w:t xml:space="preserve">strong-agreement-within-this-synthetic-evaluation-set</w:t>
      </w:r>
      <w:r>
        <w:t xml:space="preserve"> </w:t>
      </w:r>
      <w:r>
        <w:t xml:space="preserve">characterisation in Section 4.4. T4 (post-hoc heuristic design) remains a disclosed limitation rather than a closed one.</w:t>
      </w:r>
    </w:p>
    <w:bookmarkEnd w:id="115"/>
    <w:bookmarkStart w:id="116" w:name="limitations"/>
    <w:p>
      <w:pPr>
        <w:pStyle w:val="Heading2"/>
      </w:pPr>
      <w:r>
        <w:t xml:space="preserve">5.2 Limitations</w:t>
      </w:r>
    </w:p>
    <w:p>
      <w:pPr>
        <w:pStyle w:val="FirstParagraph"/>
      </w:pPr>
      <w:r>
        <w:t xml:space="preserve">The empirical claim is bounded by the evaluation design. The dataset is</w:t>
      </w:r>
      <w:r>
        <w:t xml:space="preserve"> </w:t>
      </w:r>
      <w:r>
        <w:rPr>
          <w:b/>
          <w:bCs/>
        </w:rPr>
        <w:t xml:space="preserve">single-language</w:t>
      </w:r>
      <w:r>
        <w:t xml:space="preserve"> </w:t>
      </w:r>
      <w:r>
        <w:t xml:space="preserve">(English) and</w:t>
      </w:r>
      <w:r>
        <w:t xml:space="preserve"> </w:t>
      </w:r>
      <w:r>
        <w:rPr>
          <w:b/>
          <w:bCs/>
        </w:rPr>
        <w:t xml:space="preserve">single-author</w:t>
      </w:r>
      <w:r>
        <w:t xml:space="preserve"> </w:t>
      </w:r>
      <w:r>
        <w:t xml:space="preserve">(all 30 resumes were synthesised by one author), so the result is a within-author baseline rather than a cross-population hiring claim. The blended mode uses a</w:t>
      </w:r>
      <w:r>
        <w:t xml:space="preserve"> </w:t>
      </w:r>
      <w:r>
        <w:rPr>
          <w:b/>
          <w:bCs/>
        </w:rPr>
        <w:t xml:space="preserve">single LLM provider</w:t>
      </w:r>
      <w:r>
        <w:t xml:space="preserve">, Google Vertex AI Gemini 2.5 Flash, and should not be assumed to behave identically with Claude, GPT, Llama, or another hosted model.</w:t>
      </w:r>
    </w:p>
    <w:p>
      <w:pPr>
        <w:pStyle w:val="BodyText"/>
      </w:pPr>
      <w: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pPr>
      <w:r>
        <w:t xml:space="preserve">Finally, the system is a thesis demonstration rather than a sustainable commercial product. The monetisation strategy described in</w:t>
      </w:r>
      <w:r>
        <w:t xml:space="preserve"> </w:t>
      </w:r>
      <w:r>
        <w:rPr>
          <w:rStyle w:val="VerbatimChar"/>
        </w:rPr>
        <w:t xml:space="preserve">docs/spec.md</w:t>
      </w:r>
      <w:r>
        <w:t xml:space="preserve"> </w:t>
      </w:r>
      <w:r>
        <w:t xml:space="preserve">is deliberately deferred to a post-thesis V1.1 release and is not evaluated here.</w:t>
      </w:r>
    </w:p>
    <w:p>
      <w:pPr>
        <w:pStyle w:val="BodyText"/>
      </w:pPr>
      <w: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pPr>
      <w: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pPr>
      <w:r>
        <w:t xml:space="preserve">5.3 Future development</w:t>
      </w:r>
    </w:p>
    <w:p>
      <w:pPr>
        <w:pStyle w:val="FirstParagraph"/>
      </w:pPr>
      <w:r>
        <w:t xml:space="preserve">Future work follows directly from these limitations.</w:t>
      </w:r>
    </w:p>
    <w:p>
      <w:pPr>
        <w:pStyle w:val="BodyText"/>
      </w:pPr>
      <w:r>
        <w:rPr>
          <w:b/>
          <w:bCs/>
        </w:rPr>
        <w:t xml:space="preserve">Polish-language coverage.</w:t>
      </w:r>
      <w:r>
        <w:t xml:space="preserve"> </w:t>
      </w:r>
      <w:r>
        <w:t xml:space="preserve">ESCO is multilingual, but the current bundled subset uses English labels. Adding Polish labels would make the system more relevant to a Wrocław-based deployment. The required change is contained: language detection, Polish-aware preprocessing in</w:t>
      </w:r>
      <w:r>
        <w:t xml:space="preserve"> </w:t>
      </w:r>
      <w:r>
        <w:rPr>
          <w:rStyle w:val="VerbatimChar"/>
        </w:rPr>
        <w:t xml:space="preserve">quality_signals_v2.py</w:t>
      </w:r>
      <w:r>
        <w:t xml:space="preserve">, and locale-specific prompt branches.</w:t>
      </w:r>
    </w:p>
    <w:p>
      <w:pPr>
        <w:pStyle w:val="BodyText"/>
      </w:pPr>
      <w: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pPr>
      <w: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pPr>
      <w:r>
        <w:rPr>
          <w:b/>
          <w:bCs/>
        </w:rPr>
        <w:t xml:space="preserve">Sentence-transformer intermediate tier.</w:t>
      </w:r>
      <w:r>
        <w:t xml:space="preserve"> </w:t>
      </w:r>
      <w:r>
        <w:t xml:space="preserve">A third scoring mode could sit between strict classical IR and full LLM inference: a sentence-transformer semantic matcher such as</w:t>
      </w:r>
      <w:r>
        <w:t xml:space="preserve"> </w:t>
      </w:r>
      <w:r>
        <w:rPr>
          <w:rStyle w:val="VerbatimChar"/>
        </w:rPr>
        <w:t xml:space="preserve">all-MiniLM-L6-v2</w:t>
      </w:r>
      <w:r>
        <w:t xml:space="preserve"> </w:t>
      </w:r>
      <w:r>
        <w:t xml:space="preserve">[20, 21]. Stage H tested this idea as an ablation, but on the synthetic benchmark the SBERT-only variant reached</w:t>
      </w:r>
      <w:r>
        <w:t xml:space="preserve"> </w:t>
      </w:r>
      <w:r>
        <w:rPr>
          <w:i/>
          <w:iCs/>
        </w:rPr>
        <w:t xml:space="preserve">r</w:t>
      </w:r>
      <w:r>
        <w:t xml:space="preserve"> </w:t>
      </w:r>
      <w:r>
        <w:t xml:space="preserve">= 0.623 (Δ = −0.004 versus v2) and the full v3 stack reached</w:t>
      </w:r>
      <w:r>
        <w:t xml:space="preserve"> </w:t>
      </w:r>
      <w:r>
        <w:rPr>
          <w:i/>
          <w:iCs/>
        </w:rPr>
        <w:t xml:space="preserve">r</w:t>
      </w:r>
      <w:r>
        <w:t xml:space="preserve"> </w:t>
      </w:r>
      <w:r>
        <w:t xml:space="preserve">= 0.590 (Δ = −0.036). These results suggest that promotion to production should wait for evaluation on real-world resumes and job descriptions with more prose variation than the synthetic templates expose.</w:t>
      </w:r>
    </w:p>
    <w:p>
      <w:pPr>
        <w:pStyle w:val="BodyText"/>
      </w:pPr>
      <w:r>
        <w:rPr>
          <w:b/>
          <w:bCs/>
        </w:rPr>
        <w:t xml:space="preserve">Retrieval-augmented blended mode.</w:t>
      </w:r>
      <w:r>
        <w:t xml:space="preserve"> </w:t>
      </w:r>
      <w: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pPr>
      <w: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pPr>
      <w:r>
        <w:t xml:space="preserve">The retrieval layer would also help with the approved-topic phrase</w:t>
      </w:r>
      <w:r>
        <w:t xml:space="preserve"> </w:t>
      </w:r>
      <w:r>
        <w:t xml:space="preserve">“current job-market trends”</w:t>
      </w:r>
      <w: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pPr>
      <w:r>
        <w:rPr>
          <w:b/>
          <w:bCs/>
        </w:rPr>
        <w:t xml:space="preserve">Redis-backed cache.</w:t>
      </w:r>
      <w:r>
        <w:t xml:space="preserve"> </w:t>
      </w:r>
      <w:r>
        <w:t xml:space="preserve">Replacing the in-memory cache with Redis would allow cache sharing across backend processes and is the smallest operational upgrade once traffic exceeds a single-instance deployment.</w:t>
      </w:r>
    </w:p>
    <w:p>
      <w:pPr>
        <w:pStyle w:val="BodyText"/>
      </w:pPr>
      <w: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pPr>
      <w:r>
        <w:t xml:space="preserve">Among the four future-work directions, no single ranking holds across all the criteria that would matter. The sentence-transformer intermediate tier is the most technically</w:t>
      </w:r>
      <w:r>
        <w:t xml:space="preserve"> </w:t>
      </w:r>
      <w:r>
        <w:rPr>
          <w:i/>
          <w:iCs/>
        </w:rPr>
        <w:t xml:space="preserve">probed</w:t>
      </w:r>
      <w:r>
        <w:t xml:space="preserve"> </w:t>
      </w:r>
      <w:r>
        <w:t xml:space="preserve">of the four: Stage H of this thesis (Section 4.3.6) implemented an SBERT semantic-fallback layer alongside four other classical-IR enhancements and reported a controlled null on the synthetic evaluation set, with the SBERT-only variant at</w:t>
      </w:r>
      <w:r>
        <w:t xml:space="preserve"> </w:t>
      </w:r>
      <w:r>
        <w:rPr>
          <w:i/>
          <w:iCs/>
        </w:rPr>
        <w:t xml:space="preserve">r</w:t>
      </w:r>
      <w:r>
        <w:t xml:space="preserve"> </w:t>
      </w:r>
      <w:r>
        <w:t xml:space="preserve">= 0.623 (Δ = −0.004) and the full-stack v3 configuration at</w:t>
      </w:r>
      <w:r>
        <w:t xml:space="preserve"> </w:t>
      </w:r>
      <w:r>
        <w:rPr>
          <w:i/>
          <w:iCs/>
        </w:rPr>
        <w:t xml:space="preserve">r</w:t>
      </w:r>
      <w:r>
        <w:t xml:space="preserve"> </w:t>
      </w:r>
      <w: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pPr>
      <w: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pPr>
      <w: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pPr>
      <w:r>
        <w:t xml:space="preserve">Bibliography</w:t>
      </w:r>
    </w:p>
    <w:bookmarkStart w:id="119" w:name="Xe524d447c5cf25a4d8e2fc35a266a2d3c4bfbe5"/>
    <w:p>
      <w:pPr>
        <w:pStyle w:val="Heading2"/>
      </w:pPr>
      <w:r>
        <w:t xml:space="preserve">1. Foundational AI for organisational decision-making</w:t>
      </w:r>
    </w:p>
    <w:p>
      <w:pPr>
        <w:pStyle w:val="FirstParagraph"/>
      </w:pPr>
      <w:r>
        <w:t xml:space="preserve">[1] M. Stone, E. Aravopoulou, Y. Ekinci, G. Evans, M. Hobbs, A. Labib, P. Laughlin, J. Machtynger, and L. Machtynger,</w:t>
      </w:r>
      <w:r>
        <w:t xml:space="preserve"> </w:t>
      </w:r>
      <w:r>
        <w:t xml:space="preserve">“Artificial intelligence (AI) in strategic marketing decision-making: a research agenda,”</w:t>
      </w:r>
      <w:r>
        <w:t xml:space="preserve"> </w:t>
      </w:r>
      <w:r>
        <w:rPr>
          <w:i/>
          <w:iCs/>
        </w:rPr>
        <w:t xml:space="preserve">The Bottom Line</w:t>
      </w:r>
      <w:r>
        <w:t xml:space="preserve">, vol. 33, no. 2, pp. 183–200, 2020. https://doi.org/10.1108/BL-03-2020-0022</w:t>
      </w:r>
    </w:p>
    <w:p>
      <w:pPr>
        <w:pStyle w:val="BodyText"/>
      </w:pPr>
      <w:r>
        <w:t xml:space="preserve">[2] S. Gupta, S. Modgil, S. Bhattacharyya,</w:t>
      </w:r>
      <w:r>
        <w:t xml:space="preserve"> </w:t>
      </w:r>
      <w:r>
        <w:rPr>
          <w:i/>
          <w:iCs/>
        </w:rPr>
        <w:t xml:space="preserve">et al.</w:t>
      </w:r>
      <w:r>
        <w:t xml:space="preserve">,</w:t>
      </w:r>
      <w:r>
        <w:t xml:space="preserve"> </w:t>
      </w:r>
      <w:r>
        <w:t xml:space="preserve">“Artificial intelligence for decision support systems in the field of operations research: review and future scope of research,”</w:t>
      </w:r>
      <w:r>
        <w:t xml:space="preserve"> </w:t>
      </w:r>
      <w:r>
        <w:rPr>
          <w:i/>
          <w:iCs/>
        </w:rPr>
        <w:t xml:space="preserve">Annals of Operations Research</w:t>
      </w:r>
      <w:r>
        <w:t xml:space="preserve">, vol. 308, pp. 215–274, 2022. https://doi.org/10.1007/s10479-020-03856-6</w:t>
      </w:r>
    </w:p>
    <w:p>
      <w:pPr>
        <w:pStyle w:val="BodyText"/>
      </w:pPr>
      <w:r>
        <w:t xml:space="preserve">[3] World Economic Forum,</w:t>
      </w:r>
      <w:r>
        <w:t xml:space="preserve"> </w:t>
      </w:r>
      <w:r>
        <w:rPr>
          <w:i/>
          <w:iCs/>
        </w:rPr>
        <w:t xml:space="preserve">The Future of Jobs Report 2023</w:t>
      </w:r>
      <w:r>
        <w:t xml:space="preserve">. Geneva: WEF, May 2023. https://www.weforum.org/publications/the-future-of-jobs-report-2023/</w:t>
      </w:r>
    </w:p>
    <w:p>
      <w:pPr>
        <w:pStyle w:val="BodyText"/>
      </w:pPr>
      <w:r>
        <w:t xml:space="preserve">[4] Y. Kang, Z. Cai, C. W. Tan, Q. Huang, and H. Liu,</w:t>
      </w:r>
      <w:r>
        <w:t xml:space="preserve"> </w:t>
      </w:r>
      <w:r>
        <w:t xml:space="preserve">“Natural language processing (NLP) in management research: A literature review,”</w:t>
      </w:r>
      <w:r>
        <w:t xml:space="preserve"> </w:t>
      </w:r>
      <w:r>
        <w:rPr>
          <w:i/>
          <w:iCs/>
        </w:rPr>
        <w:t xml:space="preserve">Journal of Management Analytics</w:t>
      </w:r>
      <w:r>
        <w:t xml:space="preserve">, vol. 7, no. 2, pp. 139–172, 2020. https://doi.org/10.1080/23270012.2020.1756939</w:t>
      </w:r>
    </w:p>
    <w:bookmarkEnd w:id="119"/>
    <w:bookmarkStart w:id="120" w:name="foundational-information-retrieval"/>
    <w:p>
      <w:pPr>
        <w:pStyle w:val="Heading2"/>
      </w:pPr>
      <w:r>
        <w:t xml:space="preserve">2. Foundational information retrieval</w:t>
      </w:r>
    </w:p>
    <w:p>
      <w:pPr>
        <w:pStyle w:val="FirstParagraph"/>
      </w:pPr>
      <w:r>
        <w:t xml:space="preserve">[5] G. Salton and M. J. McGill,</w:t>
      </w:r>
      <w:r>
        <w:t xml:space="preserve"> </w:t>
      </w:r>
      <w:r>
        <w:rPr>
          <w:i/>
          <w:iCs/>
        </w:rPr>
        <w:t xml:space="preserve">Introduction to modern information retrieval</w:t>
      </w:r>
      <w:r>
        <w:t xml:space="preserve">. New York: McGraw-Hill, 1983.</w:t>
      </w:r>
    </w:p>
    <w:p>
      <w:pPr>
        <w:pStyle w:val="BodyText"/>
      </w:pPr>
      <w:r>
        <w:t xml:space="preserve">[6] S. Robertson and H. Zaragoza,</w:t>
      </w:r>
      <w:r>
        <w:t xml:space="preserve"> </w:t>
      </w:r>
      <w:r>
        <w:t xml:space="preserve">“The probabilistic relevance framework: BM25 and beyond,”</w:t>
      </w:r>
      <w:r>
        <w:t xml:space="preserve"> </w:t>
      </w:r>
      <w:r>
        <w:rPr>
          <w:i/>
          <w:iCs/>
        </w:rPr>
        <w:t xml:space="preserve">Foundations and Trends in Information Retrieval</w:t>
      </w:r>
      <w:r>
        <w:t xml:space="preserve">, vol. 3, no. 4, pp. 333–389, 2009. https://doi.org/10.1561/1500000019</w:t>
      </w:r>
    </w:p>
    <w:p>
      <w:pPr>
        <w:pStyle w:val="BodyText"/>
      </w:pPr>
      <w:r>
        <w:t xml:space="preserve">[7] V. I. Levenshtein,</w:t>
      </w:r>
      <w:r>
        <w:t xml:space="preserve"> </w:t>
      </w:r>
      <w:r>
        <w:t xml:space="preserve">“Binary codes capable of correcting deletions, insertions, and reversals,”</w:t>
      </w:r>
      <w:r>
        <w:t xml:space="preserve"> </w:t>
      </w:r>
      <w:r>
        <w:rPr>
          <w:i/>
          <w:iCs/>
        </w:rPr>
        <w:t xml:space="preserve">Soviet Physics Doklady</w:t>
      </w:r>
      <w:r>
        <w:t xml:space="preserve">, vol. 10, no. 8, pp. 707–710, 1966.</w:t>
      </w:r>
    </w:p>
    <w:bookmarkEnd w:id="120"/>
    <w:bookmarkStart w:id="121" w:name="Xdd898e929631c1ac7dcaafa863450eac8c4687c"/>
    <w:p>
      <w:pPr>
        <w:pStyle w:val="Heading2"/>
      </w:pPr>
      <w:r>
        <w:t xml:space="preserve">3. Skill extraction and labour-market taxonomies (ESCO, O*NET)</w:t>
      </w:r>
    </w:p>
    <w:p>
      <w:pPr>
        <w:pStyle w:val="FirstParagraph"/>
      </w:pPr>
      <w:r>
        <w:t xml:space="preserve">[8] M. le Vrang, A. Papantoniou, E. Pauwels, P. Fannes, D. Vandensteen, and J. De Smedt,</w:t>
      </w:r>
      <w:r>
        <w:t xml:space="preserve"> </w:t>
      </w:r>
      <w:r>
        <w:t xml:space="preserve">“ESCO: Boosting job matching in Europe with semantic interoperability,”</w:t>
      </w:r>
      <w:r>
        <w:t xml:space="preserve"> </w:t>
      </w:r>
      <w:r>
        <w:rPr>
          <w:i/>
          <w:iCs/>
        </w:rPr>
        <w:t xml:space="preserve">IEEE Computer</w:t>
      </w:r>
      <w:r>
        <w:t xml:space="preserve">, vol. 47, no. 10, pp. 57–64, 2014. https://doi.org/10.1109/MC.2014.283</w:t>
      </w:r>
    </w:p>
    <w:p>
      <w:pPr>
        <w:pStyle w:val="BodyText"/>
      </w:pPr>
      <w:r>
        <w:t xml:space="preserve">[9] D. C. Kavargyris, K. Georgiou, E. Papaioannou, K. Petrakis, N. Mittas, and L. Angelis,</w:t>
      </w:r>
      <w:r>
        <w:t xml:space="preserve"> </w:t>
      </w:r>
      <w:r>
        <w:t xml:space="preserve">“ESCOX: A tool for skill and occupation extraction using LLMs from unstructured text,”</w:t>
      </w:r>
      <w:r>
        <w:t xml:space="preserve"> </w:t>
      </w:r>
      <w:r>
        <w:rPr>
          <w:i/>
          <w:iCs/>
        </w:rPr>
        <w:t xml:space="preserve">Software Impacts</w:t>
      </w:r>
      <w:r>
        <w:t xml:space="preserve">, vol. 25, art. 100772, 2025. https://doi.org/10.1016/j.simpa.2025.100772</w:t>
      </w:r>
    </w:p>
    <w:p>
      <w:pPr>
        <w:pStyle w:val="BodyText"/>
      </w:pPr>
      <w:r>
        <w:t xml:space="preserve">[10] A. Herandi, Y. Li, Z. Liu, X. Hu, and X. Cai,</w:t>
      </w:r>
      <w:r>
        <w:t xml:space="preserve"> </w:t>
      </w:r>
      <w:r>
        <w:t xml:space="preserve">“Skill-LLM: Repurposing general-purpose LLMs for skill extraction,”</w:t>
      </w:r>
      <w:r>
        <w:t xml:space="preserve"> </w:t>
      </w:r>
      <w:r>
        <w:rPr>
          <w:i/>
          <w:iCs/>
        </w:rPr>
        <w:t xml:space="preserve">arXiv preprint arXiv:2410.12052</w:t>
      </w:r>
      <w:r>
        <w:t xml:space="preserve">, 2024. https://arxiv.org/abs/2410.12052</w:t>
      </w:r>
    </w:p>
    <w:p>
      <w:pPr>
        <w:pStyle w:val="BodyText"/>
      </w:pPr>
      <w:r>
        <w:t xml:space="preserve">[11] S. Saroglou, K. Diamantaras, F. Preta, M. Delianidi, A. Benisis, and C. J. Meyer,</w:t>
      </w:r>
      <w:r>
        <w:t xml:space="preserve"> </w:t>
      </w:r>
      <w:r>
        <w:t xml:space="preserve">“Enhancing job matching: Occupation, skill and qualification linking with the ESCO and EQF taxonomies,”</w:t>
      </w:r>
      <w:r>
        <w:t xml:space="preserve"> </w:t>
      </w:r>
      <w:r>
        <w:rPr>
          <w:i/>
          <w:iCs/>
        </w:rPr>
        <w:t xml:space="preserve">arXiv preprint arXiv:2512.03195</w:t>
      </w:r>
      <w:r>
        <w:t xml:space="preserve">, 2025. https://arxiv.org/abs/2512.03195</w:t>
      </w:r>
    </w:p>
    <w:p>
      <w:pPr>
        <w:pStyle w:val="BodyText"/>
      </w:pPr>
      <w:r>
        <w:t xml:space="preserve">[12] C. Panzaru and A. Grama,</w:t>
      </w:r>
      <w:r>
        <w:t xml:space="preserve"> </w:t>
      </w:r>
      <w:r>
        <w:t xml:space="preserve">“Towards explicit soft skills labelling in ESCO through semantic NLP analysis,”</w:t>
      </w:r>
      <w:r>
        <w:t xml:space="preserve"> </w:t>
      </w:r>
      <w:r>
        <w:rPr>
          <w:i/>
          <w:iCs/>
        </w:rPr>
        <w:t xml:space="preserve">Journal for Labour Market Research</w:t>
      </w:r>
      <w:r>
        <w:t xml:space="preserve">, vol. 59, no. 1, art. 18, 2025. https://doi.org/10.1186/s12651-025-00409-x</w:t>
      </w:r>
    </w:p>
    <w:p>
      <w:pPr>
        <w:pStyle w:val="BodyText"/>
      </w:pPr>
      <w:r>
        <w:t xml:space="preserve">[13] M. de Groot, J. Schutte, and D. Graus,</w:t>
      </w:r>
      <w:r>
        <w:t xml:space="preserve"> </w:t>
      </w:r>
      <w:r>
        <w:t xml:space="preserve">“Job posting-enriched knowledge graph for skills-based matching,”</w:t>
      </w:r>
      <w:r>
        <w:t xml:space="preserve"> </w:t>
      </w:r>
      <w:r>
        <w:rPr>
          <w:i/>
          <w:iCs/>
        </w:rPr>
        <w:t xml:space="preserve">arXiv preprint arXiv:2109.02554</w:t>
      </w:r>
      <w:r>
        <w:t xml:space="preserve">, 2021. https://arxiv.org/abs/2109.02554</w:t>
      </w:r>
    </w:p>
    <w:bookmarkEnd w:id="121"/>
    <w:bookmarkStart w:id="122" w:name="X1796bfef32d736987f1174fc0e433d96cea39d8"/>
    <w:p>
      <w:pPr>
        <w:pStyle w:val="Heading2"/>
      </w:pPr>
      <w:r>
        <w:t xml:space="preserve">4. Resume parsing and information extraction</w:t>
      </w:r>
    </w:p>
    <w:p>
      <w:pPr>
        <w:pStyle w:val="FirstParagraph"/>
      </w:pPr>
      <w:r>
        <w:t xml:space="preserve">[14] K. Yu, G. Guan, and M. Zhou,</w:t>
      </w:r>
      <w:r>
        <w:t xml:space="preserve"> </w:t>
      </w:r>
      <w:r>
        <w:t xml:space="preserve">“Resume information extraction with cascaded hybrid model,”</w:t>
      </w:r>
      <w:r>
        <w:t xml:space="preserve"> </w:t>
      </w:r>
      <w:r>
        <w:t xml:space="preserve">in</w:t>
      </w:r>
      <w:r>
        <w:t xml:space="preserve"> </w:t>
      </w:r>
      <w:r>
        <w:rPr>
          <w:i/>
          <w:iCs/>
        </w:rPr>
        <w:t xml:space="preserve">Proceedings of the 43rd Annual Meeting of the Association for Computational Linguistics (ACL ’05)</w:t>
      </w:r>
      <w:r>
        <w:t xml:space="preserve">, 2005, pp. 499–506. https://aclanthology.org/P05-1062/</w:t>
      </w:r>
    </w:p>
    <w:bookmarkEnd w:id="122"/>
    <w:bookmarkStart w:id="123" w:name="ai-based-career-recommendation-systems"/>
    <w:p>
      <w:pPr>
        <w:pStyle w:val="Heading2"/>
      </w:pPr>
      <w:r>
        <w:t xml:space="preserve">5. AI-based career recommendation systems</w:t>
      </w:r>
    </w:p>
    <w:p>
      <w:pPr>
        <w:pStyle w:val="FirstParagraph"/>
      </w:pPr>
      <w:r>
        <w:t xml:space="preserve">[15] H. Al-Dossari, F. A. Nughaymish, Z. Al-Qahtani, M. Alkahlifah, and A. Alqahtani,</w:t>
      </w:r>
      <w:r>
        <w:t xml:space="preserve"> </w:t>
      </w:r>
      <w:r>
        <w:t xml:space="preserve">“CareerRec: A machine learning approach to career path choice for information technology graduates,”</w:t>
      </w:r>
      <w:r>
        <w:t xml:space="preserve"> </w:t>
      </w:r>
      <w:r>
        <w:rPr>
          <w:i/>
          <w:iCs/>
        </w:rPr>
        <w:t xml:space="preserve">Engineering, Technology &amp; Applied Science Research</w:t>
      </w:r>
      <w:r>
        <w:t xml:space="preserve">, vol. 10, no. 6, pp. 6589–6596, 2020. https://doi.org/10.48084/etasr.3821</w:t>
      </w:r>
    </w:p>
    <w:bookmarkEnd w:id="123"/>
    <w:bookmarkStart w:id="124" w:name="large-language-models-in-recruitment"/>
    <w:p>
      <w:pPr>
        <w:pStyle w:val="Heading2"/>
      </w:pPr>
      <w:r>
        <w:t xml:space="preserve">6. Large language models in recruitment</w:t>
      </w:r>
    </w:p>
    <w:p>
      <w:pPr>
        <w:pStyle w:val="FirstParagraph"/>
      </w:pPr>
      <w:r>
        <w:t xml:space="preserve">[16] C. Gan, Q. Zhang, and T. Mori,</w:t>
      </w:r>
      <w:r>
        <w:t xml:space="preserve"> </w:t>
      </w:r>
      <w:r>
        <w:t xml:space="preserve">“Application of LLM agents in recruitment: A novel framework for resume screening,”</w:t>
      </w:r>
      <w:r>
        <w:t xml:space="preserve"> </w:t>
      </w:r>
      <w:r>
        <w:rPr>
          <w:i/>
          <w:iCs/>
        </w:rPr>
        <w:t xml:space="preserve">arXiv preprint arXiv:2401.08315</w:t>
      </w:r>
      <w:r>
        <w:t xml:space="preserve">, 2024. https://arxiv.org/abs/2401.08315</w:t>
      </w:r>
    </w:p>
    <w:p>
      <w:pPr>
        <w:pStyle w:val="BodyText"/>
      </w:pPr>
      <w:r>
        <w:t xml:space="preserve">[17] F. P.-W. Lo, J. Qiu, Z. Wang, H. Yu, Y. Chen, G. Zhang, and B. Lo,</w:t>
      </w:r>
      <w:r>
        <w:t xml:space="preserve"> </w:t>
      </w:r>
      <w:r>
        <w:t xml:space="preserve">“AI hiring with LLMs: A context-aware and explainable multi-agent framework for resume screening,”</w:t>
      </w:r>
      <w:r>
        <w:t xml:space="preserve"> </w:t>
      </w:r>
      <w:r>
        <w:t xml:space="preserve">in</w:t>
      </w:r>
      <w:r>
        <w:t xml:space="preserve"> </w:t>
      </w:r>
      <w:r>
        <w:rPr>
          <w:i/>
          <w:iCs/>
        </w:rPr>
        <w:t xml:space="preserve">Proc. IEEE/CVF Conf. on Computer Vision and Pattern Recognition Workshops (CVPRW)</w:t>
      </w:r>
      <w:r>
        <w:t xml:space="preserve">, 2025, pp. 4184–4193. https://doi.org/10.1109/CVPRW67362.2025.00402</w:t>
      </w:r>
    </w:p>
    <w:p>
      <w:pPr>
        <w:pStyle w:val="BodyText"/>
      </w:pPr>
      <w:r>
        <w:t xml:space="preserve">[18] R. V. K. Bevara, N. R. Mannuru, S. P. Karedla, B. D. Lund, T. Xiao, H. Pasem, S. C. Dronavalli, and S. Rupeshkumar,</w:t>
      </w:r>
      <w:r>
        <w:t xml:space="preserve"> </w:t>
      </w:r>
      <w:r>
        <w:t xml:space="preserve">“Resume2Vec: Transforming applicant tracking systems with intelligent resume embeddings for precise candidate matching,”</w:t>
      </w:r>
      <w:r>
        <w:t xml:space="preserve"> </w:t>
      </w:r>
      <w:r>
        <w:rPr>
          <w:i/>
          <w:iCs/>
        </w:rPr>
        <w:t xml:space="preserve">Electronics</w:t>
      </w:r>
      <w:r>
        <w:t xml:space="preserve">, vol. 14, no. 4, art. 794, 2025. https://doi.org/10.3390/electronics14040794</w:t>
      </w:r>
    </w:p>
    <w:p>
      <w:pPr>
        <w:pStyle w:val="BodyText"/>
      </w:pPr>
      <w:r>
        <w:t xml:space="preserve">[19] A. Jagadeesh, C. R. Shankar, S. N. Patel, M. Levantesi, G. Semeraro, and E. W. De Luca,</w:t>
      </w:r>
      <w:r>
        <w:t xml:space="preserve"> </w:t>
      </w:r>
      <w:r>
        <w:t xml:space="preserve">“AI-driven resume analysis and enhancement using semantic modeling and large language feedback loops,”</w:t>
      </w:r>
      <w:r>
        <w:t xml:space="preserve"> </w:t>
      </w:r>
      <w:r>
        <w:t xml:space="preserve">in</w:t>
      </w:r>
      <w:r>
        <w:t xml:space="preserve"> </w:t>
      </w:r>
      <w:r>
        <w:rPr>
          <w:i/>
          <w:iCs/>
        </w:rPr>
        <w:t xml:space="preserve">Proceedings of CLiC-it 2025</w:t>
      </w:r>
      <w:r>
        <w:t xml:space="preserve">, 2025. https://aclanthology.org/2025.clicit-1.51/</w:t>
      </w:r>
    </w:p>
    <w:bookmarkEnd w:id="124"/>
    <w:bookmarkStart w:id="125" w:name="Xe3796102e15fa10b5c24e38851c753906160937"/>
    <w:p>
      <w:pPr>
        <w:pStyle w:val="Heading2"/>
      </w:pPr>
      <w:r>
        <w:t xml:space="preserve">7. Semantic matching and sentence embeddings</w:t>
      </w:r>
    </w:p>
    <w:p>
      <w:pPr>
        <w:pStyle w:val="FirstParagraph"/>
      </w:pPr>
      <w:r>
        <w:t xml:space="preserve">[20] N. Reimers and I. Gurevych,</w:t>
      </w:r>
      <w:r>
        <w:t xml:space="preserve"> </w:t>
      </w:r>
      <w:r>
        <w:t xml:space="preserve">“Sentence-BERT: Sentence embeddings using Siamese BERT-networks,”</w:t>
      </w:r>
      <w:r>
        <w:t xml:space="preserve"> </w:t>
      </w:r>
      <w:r>
        <w:t xml:space="preserve">in</w:t>
      </w:r>
      <w:r>
        <w:t xml:space="preserve"> </w:t>
      </w:r>
      <w:r>
        <w:rPr>
          <w:i/>
          <w:iCs/>
        </w:rPr>
        <w:t xml:space="preserve">Proceedings of EMNLP-IJCNLP 2019</w:t>
      </w:r>
      <w:r>
        <w:t xml:space="preserve">, Hong Kong, 2019. https://arxiv.org/abs/1908.10084</w:t>
      </w:r>
    </w:p>
    <w:p>
      <w:pPr>
        <w:pStyle w:val="BodyText"/>
      </w:pPr>
      <w:r>
        <w:t xml:space="preserve">[21] V. Zadykian, B. Andrade, and H. Afli,</w:t>
      </w:r>
      <w:r>
        <w:t xml:space="preserve"> </w:t>
      </w:r>
      <w:r>
        <w:t xml:space="preserve">“Towards explainable job title matching: Leveraging semantic textual relatedness and knowledge graphs,”</w:t>
      </w:r>
      <w:r>
        <w:t xml:space="preserve"> </w:t>
      </w:r>
      <w:r>
        <w:rPr>
          <w:i/>
          <w:iCs/>
        </w:rPr>
        <w:t xml:space="preserve">arXiv preprint arXiv:2509.09522</w:t>
      </w:r>
      <w:r>
        <w:t xml:space="preserve">, 2025. https://arxiv.org/abs/2509.09522</w:t>
      </w:r>
    </w:p>
    <w:bookmarkEnd w:id="125"/>
    <w:bookmarkStart w:id="126" w:name="bias-and-fairness-in-algorithmic-hiring"/>
    <w:p>
      <w:pPr>
        <w:pStyle w:val="Heading2"/>
      </w:pPr>
      <w:r>
        <w:t xml:space="preserve">8. Bias and fairness in algorithmic hiring</w:t>
      </w:r>
    </w:p>
    <w:p>
      <w:pPr>
        <w:pStyle w:val="FirstParagraph"/>
      </w:pPr>
      <w:r>
        <w:t xml:space="preserve">[22] A. Köchling and M. C. Wehner,</w:t>
      </w:r>
      <w:r>
        <w:t xml:space="preserve"> </w:t>
      </w:r>
      <w:r>
        <w:t xml:space="preserve">“Discriminated by an algorithm: A systematic review of discrimination and fairness by algorithmic decision-making in the context of HR recruitment and HR development,”</w:t>
      </w:r>
      <w:r>
        <w:t xml:space="preserve"> </w:t>
      </w:r>
      <w:r>
        <w:rPr>
          <w:i/>
          <w:iCs/>
        </w:rPr>
        <w:t xml:space="preserve">Business Research</w:t>
      </w:r>
      <w:r>
        <w:t xml:space="preserve">, vol. 13, no. 3, pp. 795–848, 2020. https://doi.org/10.1007/s40685-020-00134-w</w:t>
      </w:r>
    </w:p>
    <w:p>
      <w:pPr>
        <w:pStyle w:val="BodyText"/>
      </w:pPr>
      <w:r>
        <w:t xml:space="preserve">[23] M. Raghavan, S. Barocas, J. Kleinberg, and K. Levy,</w:t>
      </w:r>
      <w:r>
        <w:t xml:space="preserve"> </w:t>
      </w:r>
      <w:r>
        <w:t xml:space="preserve">“Mitigating bias in algorithmic hiring: Evaluating claims and practices,”</w:t>
      </w:r>
      <w:r>
        <w:t xml:space="preserve"> </w:t>
      </w:r>
      <w:r>
        <w:t xml:space="preserve">in</w:t>
      </w:r>
      <w:r>
        <w:t xml:space="preserve"> </w:t>
      </w:r>
      <w:r>
        <w:rPr>
          <w:i/>
          <w:iCs/>
        </w:rPr>
        <w:t xml:space="preserve">Proceedings of the 2020 Conference on Fairness, Accountability, and Transparency (FAccT ’20)</w:t>
      </w:r>
      <w:r>
        <w:t xml:space="preserve">, 2020, pp. 469–481. https://doi.org/10.1145/3351095.3372828</w:t>
      </w:r>
    </w:p>
    <w:p>
      <w:pPr>
        <w:pStyle w:val="BodyText"/>
      </w:pPr>
      <w:r>
        <w:t xml:space="preserve">[24] Z. Chen,</w:t>
      </w:r>
      <w:r>
        <w:t xml:space="preserve"> </w:t>
      </w:r>
      <w:r>
        <w:t xml:space="preserve">“Ethics and discrimination in artificial intelligence-enabled recruitment practices,”</w:t>
      </w:r>
      <w:r>
        <w:t xml:space="preserve"> </w:t>
      </w:r>
      <w:r>
        <w:rPr>
          <w:i/>
          <w:iCs/>
        </w:rPr>
        <w:t xml:space="preserve">Humanities and Social Sciences Communications</w:t>
      </w:r>
      <w:r>
        <w:t xml:space="preserve">, vol. 10, art. 567, 2023. https://doi.org/10.1057/s41599-023-02079-x</w:t>
      </w:r>
    </w:p>
    <w:bookmarkEnd w:id="126"/>
    <w:bookmarkStart w:id="127" w:name="retrieval-augmented-generation"/>
    <w:p>
      <w:pPr>
        <w:pStyle w:val="Heading2"/>
      </w:pPr>
      <w:r>
        <w:t xml:space="preserve">9. Retrieval-augmented generation</w:t>
      </w:r>
    </w:p>
    <w:p>
      <w:pPr>
        <w:pStyle w:val="FirstParagraph"/>
      </w:pPr>
      <w:r>
        <w:t xml:space="preserve">[25] Y. Gao, Y. Xiong, X. Gao, K. Jia, J. Pan, Y. Bi, Y. Dai, J. Sun, and H. Wang,</w:t>
      </w:r>
      <w:r>
        <w:t xml:space="preserve"> </w:t>
      </w:r>
      <w:r>
        <w:t xml:space="preserve">“Retrieval-augmented generation for large language models: A survey,”</w:t>
      </w:r>
      <w:r>
        <w:t xml:space="preserve"> </w:t>
      </w:r>
      <w:r>
        <w:rPr>
          <w:i/>
          <w:iCs/>
        </w:rPr>
        <w:t xml:space="preserve">arXiv preprint arXiv:2312.10997</w:t>
      </w:r>
      <w:r>
        <w:t xml:space="preserve">, 2023. https://arxiv.org/abs/2312.10997</w:t>
      </w:r>
    </w:p>
    <w:bookmarkEnd w:id="127"/>
    <w:bookmarkStart w:id="128" w:name="statistical-and-evaluation-methodology"/>
    <w:p>
      <w:pPr>
        <w:pStyle w:val="Heading2"/>
      </w:pPr>
      <w:r>
        <w:t xml:space="preserve">10. Statistical and evaluation methodology</w:t>
      </w:r>
    </w:p>
    <w:p>
      <w:pPr>
        <w:pStyle w:val="FirstParagraph"/>
      </w:pPr>
      <w:r>
        <w:t xml:space="preserve">[26] J. Cohen,</w:t>
      </w:r>
      <w:r>
        <w:t xml:space="preserve"> </w:t>
      </w:r>
      <w:r>
        <w:rPr>
          <w:i/>
          <w:iCs/>
        </w:rPr>
        <w:t xml:space="preserve">Statistical Power Analysis for the Behavioral Sciences</w:t>
      </w:r>
      <w:r>
        <w:t xml:space="preserve">, 2nd ed. Hillsdale, NJ: Lawrence Erlbaum, 1988.</w:t>
      </w:r>
    </w:p>
    <w:p>
      <w:pPr>
        <w:pStyle w:val="BodyText"/>
      </w:pPr>
      <w:r>
        <w:t xml:space="preserve">[27] T. D. Cook and D. T. Campbell,</w:t>
      </w:r>
      <w:r>
        <w:t xml:space="preserve"> </w:t>
      </w:r>
      <w:r>
        <w:rPr>
          <w:i/>
          <w:iCs/>
        </w:rPr>
        <w:t xml:space="preserve">Quasi-Experimentation: Design and Analysis Issues for Field Settings</w:t>
      </w:r>
      <w:r>
        <w:t xml:space="preserve">. Boston, MA: Houghton Mifflin, 1979.</w:t>
      </w:r>
    </w:p>
    <w:p>
      <w:pPr>
        <w:pStyle w:val="BodyText"/>
      </w:pPr>
      <w:r>
        <w:t xml:space="preserve">[28] A. C. Cameron, J. B. Gelbach, and D. L. Miller,</w:t>
      </w:r>
      <w:r>
        <w:t xml:space="preserve"> </w:t>
      </w:r>
      <w:r>
        <w:t xml:space="preserve">“Bootstrap-based improvements for inference with clustered errors,”</w:t>
      </w:r>
      <w:r>
        <w:t xml:space="preserve"> </w:t>
      </w:r>
      <w:r>
        <w:rPr>
          <w:i/>
          <w:iCs/>
        </w:rPr>
        <w:t xml:space="preserve">The Review of Economics and Statistics</w:t>
      </w:r>
      <w:r>
        <w:t xml:space="preserve">, vol. 90, no. 3, pp. 414–427, 2008. https://doi.org/10.1162/rest.90.3.414</w:t>
      </w:r>
    </w:p>
    <w:p>
      <w:pPr>
        <w:pStyle w:val="BodyText"/>
      </w:pPr>
      <w:r>
        <w:t xml:space="preserve">[29] L. Zheng, W.-L. Chiang, Y. Sheng, S. Zhuang, Z. Wu, Y. Zhuang, Z. Lin, Z. Li, D. Li, E. P. Xing, H. Zhang, J. E. Gonzalez, and I. Stoica,</w:t>
      </w:r>
      <w:r>
        <w:t xml:space="preserve"> </w:t>
      </w:r>
      <w:r>
        <w:t xml:space="preserve">“Judging LLM-as-a-Judge with MT-Bench and Chatbot Arena,”</w:t>
      </w:r>
      <w:r>
        <w:t xml:space="preserve"> </w:t>
      </w:r>
      <w:r>
        <w:t xml:space="preserve">in</w:t>
      </w:r>
      <w:r>
        <w:t xml:space="preserve"> </w:t>
      </w:r>
      <w:r>
        <w:rPr>
          <w:i/>
          <w:iCs/>
        </w:rPr>
        <w:t xml:space="preserve">Advances in Neural Information Processing Systems</w:t>
      </w:r>
      <w:r>
        <w:t xml:space="preserve">, vol. 36, 2023. https://arxiv.org/abs/2306.05685</w:t>
      </w:r>
    </w:p>
    <w:bookmarkEnd w:id="128"/>
    <w:bookmarkStart w:id="129" w:name="web-frameworks-and-system-tooling"/>
    <w:p>
      <w:pPr>
        <w:pStyle w:val="Heading2"/>
      </w:pPr>
      <w:r>
        <w:t xml:space="preserve">11. Web frameworks and system tooling</w:t>
      </w:r>
    </w:p>
    <w:p>
      <w:pPr>
        <w:pStyle w:val="FirstParagraph"/>
      </w:pPr>
      <w:r>
        <w:t xml:space="preserve">Documentation references for the engineering chapters; kept separate from the numbered academic bibliography because they document implementation APIs rather than research claims.</w:t>
      </w:r>
    </w:p>
    <w:p>
      <w:pPr>
        <w:pStyle w:val="Compact"/>
        <w:numPr>
          <w:ilvl w:val="0"/>
          <w:numId w:val="1007"/>
        </w:numPr>
      </w:pPr>
      <w:r>
        <w:t xml:space="preserve">FastAPI documentation. https://fastapi.tiangolo.com</w:t>
      </w:r>
    </w:p>
    <w:p>
      <w:pPr>
        <w:pStyle w:val="Compact"/>
        <w:numPr>
          <w:ilvl w:val="0"/>
          <w:numId w:val="1007"/>
        </w:numPr>
      </w:pPr>
      <w:r>
        <w:t xml:space="preserve">TanStack Start / Router documentation. https://tanstack.com/router</w:t>
      </w:r>
    </w:p>
    <w:p>
      <w:pPr>
        <w:pStyle w:val="Compact"/>
        <w:numPr>
          <w:ilvl w:val="0"/>
          <w:numId w:val="1007"/>
        </w:numPr>
      </w:pPr>
      <w:r>
        <w:t xml:space="preserve">React 19 documentation. https://react.dev</w:t>
      </w:r>
    </w:p>
    <w:p>
      <w:pPr>
        <w:pStyle w:val="Compact"/>
        <w:numPr>
          <w:ilvl w:val="0"/>
          <w:numId w:val="1007"/>
        </w:numPr>
      </w:pPr>
      <w:r>
        <w:t xml:space="preserve">Vite documentation. https://vite.dev</w:t>
      </w:r>
    </w:p>
    <w:p>
      <w:pPr>
        <w:pStyle w:val="Compact"/>
        <w:numPr>
          <w:ilvl w:val="0"/>
          <w:numId w:val="1007"/>
        </w:numPr>
      </w:pPr>
      <w:r>
        <w:t xml:space="preserve">SQLAlchemy 2.0 documentation. https://www.sqlalchemy.org</w:t>
      </w:r>
    </w:p>
    <w:p>
      <w:pPr>
        <w:pStyle w:val="Compact"/>
        <w:numPr>
          <w:ilvl w:val="0"/>
          <w:numId w:val="1007"/>
        </w:numPr>
      </w:pPr>
      <w:r>
        <w:t xml:space="preserve">Alembic migration documentation. https://alembic.sqlalchemy.org</w:t>
      </w:r>
    </w:p>
    <w:p>
      <w:pPr>
        <w:pStyle w:val="Compact"/>
        <w:numPr>
          <w:ilvl w:val="0"/>
          <w:numId w:val="1007"/>
        </w:numPr>
      </w:pPr>
      <w:r>
        <w:t xml:space="preserve">PostgreSQL documentation. https://www.postgresql.org/docs/</w:t>
      </w:r>
    </w:p>
    <w:p>
      <w:pPr>
        <w:pStyle w:val="Compact"/>
        <w:numPr>
          <w:ilvl w:val="0"/>
          <w:numId w:val="1007"/>
        </w:numPr>
      </w:pPr>
      <w:r>
        <w:t xml:space="preserve">Google Cloud Vertex AI Gemini documentation. https://cloud.google.com/vertex-ai/generative-ai/docs</w:t>
      </w:r>
    </w:p>
    <w:p>
      <w:pPr>
        <w:pStyle w:val="Compact"/>
        <w:numPr>
          <w:ilvl w:val="0"/>
          <w:numId w:val="1007"/>
        </w:numPr>
      </w:pPr>
      <w:r>
        <w:t xml:space="preserve">Resend transactional email API. https://resend.com/docs</w:t>
      </w:r>
    </w:p>
    <w:bookmarkEnd w:id="129"/>
    <w:bookmarkEnd w:id="130"/>
    <w:bookmarkStart w:id="162" w:name="appendices"/>
    <w:p>
      <w:pPr>
        <w:pStyle w:val="Heading1"/>
      </w:pPr>
      <w:r>
        <w:t xml:space="preserve">Appendices</w:t>
      </w:r>
    </w:p>
    <w:bookmarkStart w:id="135" w:name="appendix-a-source-listings"/>
    <w:p>
      <w:pPr>
        <w:pStyle w:val="Heading2"/>
      </w:pPr>
      <w:r>
        <w:t xml:space="preserve">Appendix A — Source listings</w:t>
      </w:r>
    </w:p>
    <w:p>
      <w:pPr>
        <w:pStyle w:val="BlockText"/>
      </w:pPr>
      <w: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pPr>
      <w:r>
        <w:t xml:space="preserve">A.1 Strong heuristic v2 — public entry point</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build_resume_prepass_v2(</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target_role_label: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ResumePrepassV2:</w:t>
      </w:r>
      <w:r>
        <w:br/>
      </w:r>
      <w:r>
        <w:rPr>
          <w:rStyle w:val="NormalTok"/>
        </w:rPr>
        <w:t xml:space="preserve">    text </w:t>
      </w:r>
      <w:r>
        <w:rPr>
          <w:rStyle w:val="OperatorTok"/>
        </w:rPr>
        <w:t xml:space="preserve">=</w:t>
      </w:r>
      <w:r>
        <w:rPr>
          <w:rStyle w:val="NormalTok"/>
        </w:rPr>
        <w:t xml:space="preserve"> resume_text </w:t>
      </w:r>
      <w:r>
        <w:rPr>
          <w:rStyle w:val="KeywordTok"/>
        </w:rPr>
        <w:t xml:space="preserve">or</w:t>
      </w:r>
      <w:r>
        <w:rPr>
          <w:rStyle w:val="NormalTok"/>
        </w:rPr>
        <w:t xml:space="preserve"> </w:t>
      </w:r>
      <w:r>
        <w:rPr>
          <w:rStyle w:val="StringTok"/>
        </w:rPr>
        <w:t xml:space="preserve">""</w:t>
      </w:r>
      <w:r>
        <w:br/>
      </w:r>
      <w:r>
        <w:rPr>
          <w:rStyle w:val="NormalTok"/>
        </w:rPr>
        <w:t xml:space="preserve">    sections </w:t>
      </w:r>
      <w:r>
        <w:rPr>
          <w:rStyle w:val="OperatorTok"/>
        </w:rPr>
        <w:t xml:space="preserve">=</w:t>
      </w:r>
      <w:r>
        <w:rPr>
          <w:rStyle w:val="NormalTok"/>
        </w:rPr>
        <w:t xml:space="preserve"> _detect_sections(text)</w:t>
      </w:r>
      <w:r>
        <w:br/>
      </w:r>
      <w:r>
        <w:rPr>
          <w:rStyle w:val="NormalTok"/>
        </w:rPr>
        <w:t xml:space="preserve">    bullets </w:t>
      </w:r>
      <w:r>
        <w:rPr>
          <w:rStyle w:val="OperatorTok"/>
        </w:rPr>
        <w:t xml:space="preserve">=</w:t>
      </w:r>
      <w:r>
        <w:rPr>
          <w:rStyle w:val="NormalTok"/>
        </w:rPr>
        <w:t xml:space="preserve"> [m.group(</w:t>
      </w:r>
      <w:r>
        <w:rPr>
          <w:rStyle w:val="DecValTok"/>
        </w:rPr>
        <w:t xml:space="preserve">1</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_BULLET_RE.finditer(text)]</w:t>
      </w:r>
      <w:r>
        <w:br/>
      </w:r>
      <w:r>
        <w:rPr>
          <w:rStyle w:val="NormalTok"/>
        </w:rPr>
        <w:t xml:space="preserve">    tokens </w:t>
      </w:r>
      <w:r>
        <w:rPr>
          <w:rStyle w:val="OperatorTok"/>
        </w:rPr>
        <w:t xml:space="preserve">=</w:t>
      </w:r>
      <w:r>
        <w:rPr>
          <w:rStyle w:val="NormalTok"/>
        </w:rPr>
        <w:t xml:space="preserve"> _tokenize(text)</w:t>
      </w:r>
      <w:r>
        <w:br/>
      </w:r>
      <w:r>
        <w:br/>
      </w:r>
      <w:r>
        <w:rPr>
          <w:rStyle w:val="NormalTok"/>
        </w:rPr>
        <w:t xml:space="preserve">    resume_skills </w:t>
      </w:r>
      <w:r>
        <w:rPr>
          <w:rStyle w:val="OperatorTok"/>
        </w:rPr>
        <w:t xml:space="preserve">=</w:t>
      </w:r>
      <w:r>
        <w:rPr>
          <w:rStyle w:val="NormalTok"/>
        </w:rPr>
        <w:t xml:space="preserve"> _normalise_skills(text)</w:t>
      </w:r>
      <w:r>
        <w:br/>
      </w:r>
      <w:r>
        <w:rPr>
          <w:rStyle w:val="NormalTok"/>
        </w:rPr>
        <w:t xml:space="preserve">    matched: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missing: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matched_locations: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br/>
      </w:r>
      <w:r>
        <w:rPr>
          <w:rStyle w:val="NormalTok"/>
        </w:rPr>
        <w:t xml:space="preserve">    fuzzy_count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 (full body in the source file; see Section 4.2 of the thesis for the</w:t>
      </w:r>
      <w:r>
        <w:br/>
      </w:r>
      <w:r>
        <w:rPr>
          <w:rStyle w:val="NormalTok"/>
        </w:rPr>
        <w:t xml:space="preserve">    </w:t>
      </w:r>
      <w:r>
        <w:rPr>
          <w:rStyle w:val="CommentTok"/>
        </w:rPr>
        <w:t xml:space="preserve"># accompanying methodological description)</w:t>
      </w:r>
    </w:p>
    <w:bookmarkEnd w:id="131"/>
    <w:bookmarkStart w:id="132" w:name="a.2-bm25-scoring"/>
    <w:p>
      <w:pPr>
        <w:pStyle w:val="Heading3"/>
      </w:pPr>
      <w:r>
        <w:t xml:space="preserve">A.2 BM25 scoring</w:t>
      </w:r>
    </w:p>
    <w:p>
      <w:pPr>
        <w:pStyle w:val="FirstParagraph"/>
      </w:pPr>
      <w:r>
        <w:rPr>
          <w:rStyle w:val="VerbatimChar"/>
        </w:rPr>
        <w:t xml:space="preserve">backend/app/services/quality_signals_v2.py</w:t>
      </w:r>
    </w:p>
    <w:p>
      <w:pPr>
        <w:pStyle w:val="SourceCode"/>
      </w:pPr>
      <w:r>
        <w:rPr>
          <w:rStyle w:val="KeywordTok"/>
        </w:rPr>
        <w:t xml:space="preserve">def</w:t>
      </w:r>
      <w:r>
        <w:rPr>
          <w:rStyle w:val="NormalTok"/>
        </w:rPr>
        <w:t xml:space="preserve"> _bm25_score(</w:t>
      </w:r>
      <w:r>
        <w:br/>
      </w:r>
      <w:r>
        <w:rPr>
          <w:rStyle w:val="NormalTok"/>
        </w:rPr>
        <w:t xml:space="preserve">    resume_tf: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query_terms: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idf: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float</w:t>
      </w:r>
      <w:r>
        <w:rPr>
          <w:rStyle w:val="NormalTok"/>
        </w:rPr>
        <w:t xml:space="preserve">],</w:t>
      </w:r>
      <w:r>
        <w:br/>
      </w:r>
      <w:r>
        <w:rPr>
          <w:rStyle w:val="NormalTok"/>
        </w:rPr>
        <w:t xml:space="preserve">    avg_dl: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350.0</w:t>
      </w:r>
      <w:r>
        <w:rPr>
          <w:rStyle w:val="NormalTok"/>
        </w:rPr>
        <w:t xml:space="preserve">,</w:t>
      </w:r>
      <w:r>
        <w:br/>
      </w:r>
      <w:r>
        <w:rPr>
          <w:rStyle w:val="NormalTok"/>
        </w:rPr>
        <w:t xml:space="preserve">    k1: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b: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"""Standard BM25 score of a query against a single document's term-frequencies."""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query_terms: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dl </w:t>
      </w:r>
      <w:r>
        <w:rPr>
          <w:rStyle w:val="OperatorTok"/>
        </w:rPr>
        <w:t xml:space="preserve">=</w:t>
      </w:r>
      <w:r>
        <w:rPr>
          <w:rStyle w:val="NormalTok"/>
        </w:rPr>
        <w:t xml:space="preserve"> </w:t>
      </w:r>
      <w:r>
        <w:rPr>
          <w:rStyle w:val="BuiltInTok"/>
        </w:rPr>
        <w:t xml:space="preserve">sum</w:t>
      </w:r>
      <w:r>
        <w:rPr>
          <w:rStyle w:val="NormalTok"/>
        </w:rPr>
        <w:t xml:space="preserve">(resume_tf.values()) </w:t>
      </w:r>
      <w:r>
        <w:rPr>
          <w:rStyle w:val="KeywordTok"/>
        </w:rPr>
        <w:t xml:space="preserve">or</w:t>
      </w:r>
      <w:r>
        <w:rPr>
          <w:rStyle w:val="NormalTok"/>
        </w:rPr>
        <w:t xml:space="preserve"> </w:t>
      </w:r>
      <w:r>
        <w:rPr>
          <w:rStyle w:val="DecValTok"/>
        </w:rPr>
        <w:t xml:space="preserve">1</w:t>
      </w:r>
      <w:r>
        <w:br/>
      </w:r>
      <w:r>
        <w:rPr>
          <w:rStyle w:val="NormalTok"/>
        </w:rPr>
        <w:t xml:space="preserve">    score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query_terms:</w:t>
      </w:r>
      <w:r>
        <w:br/>
      </w:r>
      <w:r>
        <w:rPr>
          <w:rStyle w:val="NormalTok"/>
        </w:rPr>
        <w:t xml:space="preserve">        tf </w:t>
      </w:r>
      <w:r>
        <w:rPr>
          <w:rStyle w:val="OperatorTok"/>
        </w:rPr>
        <w:t xml:space="preserve">=</w:t>
      </w:r>
      <w:r>
        <w:rPr>
          <w:rStyle w:val="NormalTok"/>
        </w:rPr>
        <w:t xml:space="preserve"> resume_tf.get(term,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term_idf </w:t>
      </w:r>
      <w:r>
        <w:rPr>
          <w:rStyle w:val="OperatorTok"/>
        </w:rPr>
        <w:t xml:space="preserve">=</w:t>
      </w:r>
      <w:r>
        <w:rPr>
          <w:rStyle w:val="NormalTok"/>
        </w:rPr>
        <w:t xml:space="preserve"> idf.get(term, math.log((</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norm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dl </w:t>
      </w:r>
      <w:r>
        <w:rPr>
          <w:rStyle w:val="OperatorTok"/>
        </w:rPr>
        <w:t xml:space="preserve">/</w:t>
      </w:r>
      <w:r>
        <w:rPr>
          <w:rStyle w:val="NormalTok"/>
        </w:rPr>
        <w:t xml:space="preserve"> avg_dl))</w:t>
      </w:r>
      <w:r>
        <w:br/>
      </w:r>
      <w:r>
        <w:rPr>
          <w:rStyle w:val="NormalTok"/>
        </w:rPr>
        <w:t xml:space="preserve">        score </w:t>
      </w:r>
      <w:r>
        <w:rPr>
          <w:rStyle w:val="OperatorTok"/>
        </w:rPr>
        <w:t xml:space="preserve">+=</w:t>
      </w:r>
      <w:r>
        <w:rPr>
          <w:rStyle w:val="NormalTok"/>
        </w:rPr>
        <w:t xml:space="preserve"> term_idf </w:t>
      </w:r>
      <w:r>
        <w:rPr>
          <w:rStyle w:val="OperatorTok"/>
        </w:rPr>
        <w:t xml:space="preserve">*</w:t>
      </w:r>
      <w:r>
        <w:rPr>
          <w:rStyle w:val="NormalTok"/>
        </w:rPr>
        <w:t xml:space="preserve"> norm</w:t>
      </w:r>
      <w:r>
        <w:br/>
      </w:r>
      <w:r>
        <w:rPr>
          <w:rStyle w:val="NormalTok"/>
        </w:rPr>
        <w:t xml:space="preserve">    </w:t>
      </w:r>
      <w:r>
        <w:rPr>
          <w:rStyle w:val="ControlFlowTok"/>
        </w:rPr>
        <w:t xml:space="preserve">return</w:t>
      </w:r>
      <w:r>
        <w:rPr>
          <w:rStyle w:val="NormalTok"/>
        </w:rPr>
        <w:t xml:space="preserve"> score</w:t>
      </w:r>
    </w:p>
    <w:bookmarkEnd w:id="132"/>
    <w:bookmarkStart w:id="133" w:name="a.3-runtime-mode-toggle"/>
    <w:p>
      <w:pPr>
        <w:pStyle w:val="Heading3"/>
      </w:pPr>
      <w:r>
        <w:t xml:space="preserve">A.3 Runtime mode toggle</w:t>
      </w:r>
    </w:p>
    <w:p>
      <w:pPr>
        <w:pStyle w:val="FirstParagraph"/>
      </w:pPr>
      <w:r>
        <w:rPr>
          <w:rStyle w:val="VerbatimChar"/>
        </w:rPr>
        <w:t xml:space="preserve">backend/app/services/runtime_settings.py</w:t>
      </w:r>
    </w:p>
    <w:p>
      <w:pPr>
        <w:pStyle w:val="SourceCode"/>
      </w:pPr>
      <w:r>
        <w:rPr>
          <w:rStyle w:val="NormalTok"/>
        </w:rPr>
        <w:t xml:space="preserve">ScoringMode </w:t>
      </w:r>
      <w:r>
        <w:rPr>
          <w:rStyle w:val="OperatorTok"/>
        </w:rPr>
        <w:t xml:space="preserve">=</w:t>
      </w:r>
      <w:r>
        <w:rPr>
          <w:rStyle w:val="NormalTok"/>
        </w:rPr>
        <w:t xml:space="preserve"> Literal[</w:t>
      </w:r>
      <w:r>
        <w:rPr>
          <w:rStyle w:val="StringTok"/>
        </w:rPr>
        <w:t xml:space="preserve">"blended"</w:t>
      </w:r>
      <w:r>
        <w:rPr>
          <w:rStyle w:val="NormalTok"/>
        </w:rPr>
        <w:t xml:space="preserve">, </w:t>
      </w:r>
      <w:r>
        <w:rPr>
          <w:rStyle w:val="StringTok"/>
        </w:rPr>
        <w:t xml:space="preserve">"heuristic"</w:t>
      </w:r>
      <w:r>
        <w:rPr>
          <w:rStyle w:val="NormalTok"/>
        </w:rPr>
        <w:t xml:space="preserve">]</w:t>
      </w:r>
      <w:r>
        <w:br/>
      </w:r>
      <w:r>
        <w:rPr>
          <w:rStyle w:val="NormalTok"/>
        </w:rPr>
        <w:t xml:space="preserve">_VALID_MODES: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rPr>
          <w:rStyle w:val="StringTok"/>
        </w:rPr>
        <w:t xml:space="preserve">"blended"</w:t>
      </w:r>
      <w:r>
        <w:rPr>
          <w:rStyle w:val="NormalTok"/>
        </w:rPr>
        <w:t xml:space="preserve">, </w:t>
      </w:r>
      <w:r>
        <w:rPr>
          <w:rStyle w:val="StringTok"/>
        </w:rPr>
        <w:t xml:space="preserve">"heuristic"</w:t>
      </w:r>
      <w:r>
        <w:rPr>
          <w:rStyle w:val="NormalTok"/>
        </w:rPr>
        <w:t xml:space="preserve">)</w:t>
      </w:r>
      <w:r>
        <w:br/>
      </w:r>
      <w:r>
        <w:br/>
      </w:r>
      <w:r>
        <w:rPr>
          <w:rStyle w:val="NormalTok"/>
        </w:rPr>
        <w:t xml:space="preserve">_initial_mode: ScoringMode </w:t>
      </w:r>
      <w:r>
        <w:rPr>
          <w:rStyle w:val="OperatorTok"/>
        </w:rPr>
        <w:t xml:space="preserve">=</w:t>
      </w:r>
      <w:r>
        <w:rPr>
          <w:rStyle w:val="NormalTok"/>
        </w:rPr>
        <w:t xml:space="preserve"> </w:t>
      </w:r>
      <w:r>
        <w:rPr>
          <w:rStyle w:val="StringTok"/>
        </w:rPr>
        <w:t xml:space="preserve">"blended"</w:t>
      </w:r>
      <w:r>
        <w:br/>
      </w:r>
      <w:r>
        <w:rPr>
          <w:rStyle w:val="NormalTok"/>
        </w:rPr>
        <w:t xml:space="preserve">configured </w:t>
      </w:r>
      <w:r>
        <w:rPr>
          <w:rStyle w:val="OperatorTok"/>
        </w:rPr>
        <w:t xml:space="preserve">=</w:t>
      </w:r>
      <w:r>
        <w:rPr>
          <w:rStyle w:val="NormalTok"/>
        </w:rPr>
        <w:t xml:space="preserve"> </w:t>
      </w:r>
      <w:r>
        <w:rPr>
          <w:rStyle w:val="BuiltInTok"/>
        </w:rPr>
        <w:t xml:space="preserve">getattr</w:t>
      </w:r>
      <w:r>
        <w:rPr>
          <w:rStyle w:val="NormalTok"/>
        </w:rPr>
        <w:t xml:space="preserve">(settings, </w:t>
      </w:r>
      <w:r>
        <w:rPr>
          <w:rStyle w:val="StringTok"/>
        </w:rPr>
        <w:t xml:space="preserve">"SCORING_MODE"</w:t>
      </w:r>
      <w:r>
        <w:rPr>
          <w:rStyle w:val="NormalTok"/>
        </w:rPr>
        <w:t xml:space="preserve">, </w:t>
      </w:r>
      <w:r>
        <w:rPr>
          <w:rStyle w:val="StringTok"/>
        </w:rPr>
        <w:t xml:space="preserve">"blended"</w:t>
      </w:r>
      <w:r>
        <w:rPr>
          <w:rStyle w:val="NormalTok"/>
        </w:rPr>
        <w:t xml:space="preserve">)</w:t>
      </w:r>
      <w:r>
        <w:br/>
      </w:r>
      <w:r>
        <w:rPr>
          <w:rStyle w:val="ControlFlowTok"/>
        </w:rPr>
        <w:t xml:space="preserve">if</w:t>
      </w:r>
      <w:r>
        <w:rPr>
          <w:rStyle w:val="NormalTok"/>
        </w:rPr>
        <w:t xml:space="preserve"> configured </w:t>
      </w:r>
      <w:r>
        <w:rPr>
          <w:rStyle w:val="KeywordTok"/>
        </w:rPr>
        <w:t xml:space="preserve">in</w:t>
      </w:r>
      <w:r>
        <w:rPr>
          <w:rStyle w:val="NormalTok"/>
        </w:rPr>
        <w:t xml:space="preserve"> _VALID_MODES:</w:t>
      </w:r>
      <w:r>
        <w:br/>
      </w:r>
      <w:r>
        <w:rPr>
          <w:rStyle w:val="NormalTok"/>
        </w:rPr>
        <w:t xml:space="preserve">    _initial_mode </w:t>
      </w:r>
      <w:r>
        <w:rPr>
          <w:rStyle w:val="OperatorTok"/>
        </w:rPr>
        <w:t xml:space="preserve">=</w:t>
      </w:r>
      <w:r>
        <w:rPr>
          <w:rStyle w:val="NormalTok"/>
        </w:rPr>
        <w:t xml:space="preserve"> configured</w:t>
      </w:r>
      <w:r>
        <w:br/>
      </w:r>
      <w:r>
        <w:br/>
      </w:r>
      <w:r>
        <w:rPr>
          <w:rStyle w:val="NormalTok"/>
        </w:rPr>
        <w:t xml:space="preserve">_current_mode: ScoringMode </w:t>
      </w:r>
      <w:r>
        <w:rPr>
          <w:rStyle w:val="OperatorTok"/>
        </w:rPr>
        <w:t xml:space="preserve">=</w:t>
      </w:r>
      <w:r>
        <w:rPr>
          <w:rStyle w:val="NormalTok"/>
        </w:rPr>
        <w:t xml:space="preserve"> _initial_mode</w:t>
      </w:r>
      <w:r>
        <w:br/>
      </w:r>
      <w:r>
        <w:br/>
      </w:r>
      <w:r>
        <w:rPr>
          <w:rStyle w:val="KeywordTok"/>
        </w:rPr>
        <w:t xml:space="preserve">def</w:t>
      </w:r>
      <w:r>
        <w:rPr>
          <w:rStyle w:val="NormalTok"/>
        </w:rPr>
        <w:t xml:space="preserve"> get_scoring_mode() </w:t>
      </w:r>
      <w:r>
        <w:rPr>
          <w:rStyle w:val="OperatorTok"/>
        </w:rPr>
        <w:t xml:space="preserve">-&gt;</w:t>
      </w:r>
      <w:r>
        <w:rPr>
          <w:rStyle w:val="NormalTok"/>
        </w:rPr>
        <w:t xml:space="preserve"> ScoringMode:</w:t>
      </w:r>
      <w:r>
        <w:br/>
      </w:r>
      <w:r>
        <w:rPr>
          <w:rStyle w:val="NormalTok"/>
        </w:rPr>
        <w:t xml:space="preserve">    </w:t>
      </w:r>
      <w:r>
        <w:rPr>
          <w:rStyle w:val="ControlFlowTok"/>
        </w:rPr>
        <w:t xml:space="preserve">return</w:t>
      </w:r>
      <w:r>
        <w:rPr>
          <w:rStyle w:val="NormalTok"/>
        </w:rPr>
        <w:t xml:space="preserve"> _current_mode</w:t>
      </w:r>
      <w:r>
        <w:br/>
      </w:r>
      <w:r>
        <w:br/>
      </w:r>
      <w:r>
        <w:rPr>
          <w:rStyle w:val="KeywordTok"/>
        </w:rPr>
        <w:t xml:space="preserve">def</w:t>
      </w:r>
      <w:r>
        <w:rPr>
          <w:rStyle w:val="NormalTok"/>
        </w:rPr>
        <w:t xml:space="preserve"> set_scoring_mode(mode: </w:t>
      </w:r>
      <w:r>
        <w:rPr>
          <w:rStyle w:val="BuiltInTok"/>
        </w:rPr>
        <w:t xml:space="preserve">str</w:t>
      </w:r>
      <w:r>
        <w:rPr>
          <w:rStyle w:val="NormalTok"/>
        </w:rPr>
        <w:t xml:space="preserve">) </w:t>
      </w:r>
      <w:r>
        <w:rPr>
          <w:rStyle w:val="OperatorTok"/>
        </w:rPr>
        <w:t xml:space="preserve">-&gt;</w:t>
      </w:r>
      <w:r>
        <w:rPr>
          <w:rStyle w:val="NormalTok"/>
        </w:rPr>
        <w:t xml:space="preserve"> ScoringMode:</w:t>
      </w:r>
      <w:r>
        <w:br/>
      </w:r>
      <w:r>
        <w:rPr>
          <w:rStyle w:val="NormalTok"/>
        </w:rPr>
        <w:t xml:space="preserve">    </w:t>
      </w:r>
      <w:r>
        <w:rPr>
          <w:rStyle w:val="KeywordTok"/>
        </w:rPr>
        <w:t xml:space="preserve">global</w:t>
      </w:r>
      <w:r>
        <w:rPr>
          <w:rStyle w:val="NormalTok"/>
        </w:rPr>
        <w:t xml:space="preserve"> _current_mode</w:t>
      </w:r>
      <w:r>
        <w:br/>
      </w:r>
      <w:r>
        <w:rPr>
          <w:rStyle w:val="NormalTok"/>
        </w:rPr>
        <w:t xml:space="preserve">    </w:t>
      </w:r>
      <w:r>
        <w:rPr>
          <w:rStyle w:val="ControlFlowTok"/>
        </w:rPr>
        <w:t xml:space="preserve">if</w:t>
      </w:r>
      <w:r>
        <w:rPr>
          <w:rStyle w:val="NormalTok"/>
        </w:rPr>
        <w:t xml:space="preserve"> mode </w:t>
      </w:r>
      <w:r>
        <w:rPr>
          <w:rStyle w:val="KeywordTok"/>
        </w:rPr>
        <w:t xml:space="preserve">not</w:t>
      </w:r>
      <w:r>
        <w:rPr>
          <w:rStyle w:val="NormalTok"/>
        </w:rPr>
        <w:t xml:space="preserve"> </w:t>
      </w:r>
      <w:r>
        <w:rPr>
          <w:rStyle w:val="KeywordTok"/>
        </w:rPr>
        <w:t xml:space="preserve">in</w:t>
      </w:r>
      <w:r>
        <w:rPr>
          <w:rStyle w:val="NormalTok"/>
        </w:rPr>
        <w:t xml:space="preserve"> _VALID_MODES: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f"unknown scoring mode: </w:t>
      </w:r>
      <w:r>
        <w:rPr>
          <w:rStyle w:val="SpecialCharTok"/>
        </w:rPr>
        <w:t xml:space="preserve">{</w:t>
      </w:r>
      <w:r>
        <w:rPr>
          <w:rStyle w:val="NormalTok"/>
        </w:rPr>
        <w:t xml:space="preserve">mode</w:t>
      </w:r>
      <w:r>
        <w:rPr>
          <w:rStyle w:val="SpecialCharTok"/>
        </w:rPr>
        <w:t xml:space="preserve">!r}</w:t>
      </w:r>
      <w:r>
        <w:rPr>
          <w:rStyle w:val="SpecialStringTok"/>
        </w:rPr>
        <w:t xml:space="preserve">"</w:t>
      </w:r>
      <w:r>
        <w:rPr>
          <w:rStyle w:val="NormalTok"/>
        </w:rPr>
        <w:t xml:space="preserve">)</w:t>
      </w:r>
      <w:r>
        <w:br/>
      </w:r>
      <w:r>
        <w:rPr>
          <w:rStyle w:val="NormalTok"/>
        </w:rPr>
        <w:t xml:space="preserve">    _current_mode </w:t>
      </w:r>
      <w:r>
        <w:rPr>
          <w:rStyle w:val="OperatorTok"/>
        </w:rPr>
        <w:t xml:space="preserve">=</w:t>
      </w:r>
      <w:r>
        <w:rPr>
          <w:rStyle w:val="NormalTok"/>
        </w:rPr>
        <w:t xml:space="preserve"> mode</w:t>
      </w:r>
      <w:r>
        <w:br/>
      </w:r>
      <w:r>
        <w:rPr>
          <w:rStyle w:val="NormalTok"/>
        </w:rPr>
        <w:t xml:space="preserve">    </w:t>
      </w:r>
      <w:r>
        <w:rPr>
          <w:rStyle w:val="ControlFlowTok"/>
        </w:rPr>
        <w:t xml:space="preserve">return</w:t>
      </w:r>
      <w:r>
        <w:rPr>
          <w:rStyle w:val="NormalTok"/>
        </w:rPr>
        <w:t xml:space="preserve"> _current_mode</w:t>
      </w:r>
    </w:p>
    <w:bookmarkEnd w:id="133"/>
    <w:bookmarkStart w:id="134" w:name="a.4-shared-tool-pipeline"/>
    <w:p>
      <w:pPr>
        <w:pStyle w:val="Heading3"/>
      </w:pPr>
      <w:r>
        <w:t xml:space="preserve">A.4 Shared tool pipeline</w:t>
      </w:r>
    </w:p>
    <w:p>
      <w:pPr>
        <w:pStyle w:val="FirstParagraph"/>
      </w:pPr>
      <w:r>
        <w:rPr>
          <w:rStyle w:val="VerbatimChar"/>
        </w:rPr>
        <w:t xml:space="preserve">backend/app/services/tool_pipeline.py</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run_tool_pipeline(</w:t>
      </w:r>
      <w:r>
        <w:br/>
      </w:r>
      <w:r>
        <w:rPr>
          <w:rStyle w:val="NormalTok"/>
        </w:rPr>
        <w:t xml:space="preserve">    </w:t>
      </w:r>
      <w:r>
        <w:rPr>
          <w:rStyle w:val="OperatorTok"/>
        </w:rPr>
        <w:t xml:space="preserve">*</w:t>
      </w:r>
      <w:r>
        <w:rPr>
          <w:rStyle w:val="NormalTok"/>
        </w:rPr>
        <w:t xml:space="preserve">,</w:t>
      </w:r>
      <w:r>
        <w:br/>
      </w:r>
      <w:r>
        <w:rPr>
          <w:rStyle w:val="NormalTok"/>
        </w:rPr>
        <w:t xml:space="preserve">    tool_name: </w:t>
      </w:r>
      <w:r>
        <w:rPr>
          <w:rStyle w:val="BuiltInTok"/>
        </w:rPr>
        <w:t xml:space="preserve">str</w:t>
      </w:r>
      <w:r>
        <w:rPr>
          <w:rStyle w:val="NormalTok"/>
        </w:rPr>
        <w:t xml:space="preserve">,</w:t>
      </w:r>
      <w:r>
        <w:br/>
      </w:r>
      <w:r>
        <w:rPr>
          <w:rStyle w:val="NormalTok"/>
        </w:rPr>
        <w:t xml:space="preserve">    service_fn: Callable[..., Awaitable[</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service_kwargs: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label_fn: Callable[[</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BuiltInTok"/>
        </w:rPr>
        <w:t xml:space="preserve">str</w:t>
      </w:r>
      <w:r>
        <w:rPr>
          <w:rStyle w:val="NormalTok"/>
        </w:rPr>
        <w:t xml:space="preserve">],</w:t>
      </w:r>
      <w:r>
        <w:br/>
      </w:r>
      <w:r>
        <w:rPr>
          <w:rStyle w:val="NormalTok"/>
        </w:rPr>
        <w:t xml:space="preserve">    resume_text: </w:t>
      </w:r>
      <w:r>
        <w:rPr>
          <w:rStyle w:val="BuiltInTok"/>
        </w:rPr>
        <w:t xml:space="preserve">str</w:t>
      </w:r>
      <w:r>
        <w:rPr>
          <w:rStyle w:val="NormalTok"/>
        </w:rPr>
        <w:t xml:space="preserve">,</w:t>
      </w:r>
      <w:r>
        <w:br/>
      </w:r>
      <w:r>
        <w:rPr>
          <w:rStyle w:val="NormalTok"/>
        </w:rPr>
        <w:t xml:space="preserve">    job_description: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feedback: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parent_run_id: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workspace_id: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linked_context_ids: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current_user: User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db: Session,</w:t>
      </w:r>
      <w:r>
        <w:br/>
      </w:r>
      <w:r>
        <w:rPr>
          <w:rStyle w:val="NormalTok"/>
        </w:rPr>
        <w:t xml:space="preserve">    cache_extra_keys: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"""Shared pipeline: sanitize -&gt; cache -&gt; service -&gt; fallback -&gt; persist -&gt; respond."""</w:t>
      </w:r>
      <w:r>
        <w:br/>
      </w:r>
      <w:r>
        <w:rPr>
          <w:rStyle w:val="NormalTok"/>
        </w:rPr>
        <w:t xml:space="preserve">    </w:t>
      </w:r>
      <w:r>
        <w:rPr>
          <w:rStyle w:val="CommentTok"/>
        </w:rPr>
        <w:t xml:space="preserve"># ... (sanitisation, cache lookup, service call, persistence, observability)</w:t>
      </w:r>
    </w:p>
    <w:p>
      <w:r>
        <w:pict>
          <v:rect style="width:0;height:1.5pt" o:hralign="center" o:hrstd="t" o:hr="t"/>
        </w:pict>
      </w:r>
    </w:p>
    <w:bookmarkEnd w:id="134"/>
    <w:bookmarkEnd w:id="135"/>
    <w:bookmarkStart w:id="140" w:name="Xe2691035b1ea9be44987f1df6fe865ef1936dcd"/>
    <w:p>
      <w:pPr>
        <w:pStyle w:val="Heading2"/>
      </w:pPr>
      <w:r>
        <w:t xml:space="preserve">Appendix B — Evaluation dataset description</w:t>
      </w:r>
    </w:p>
    <w:p>
      <w:pPr>
        <w:pStyle w:val="FirstParagraph"/>
      </w:pPr>
      <w:r>
        <w:t xml:space="preserve">The evaluation dataset used in Chapter 4.3 contains</w:t>
      </w:r>
      <w:r>
        <w:t xml:space="preserve"> </w:t>
      </w:r>
      <w:r>
        <w:rPr>
          <w:i/>
          <w:iCs/>
        </w:rPr>
        <w:t xml:space="preserve">N</w:t>
      </w:r>
      <w:r>
        <w:t xml:space="preserve"> </w:t>
      </w:r>
      <w:r>
        <w:t xml:space="preserve">= 30 resumes and</w:t>
      </w:r>
      <w:r>
        <w:t xml:space="preserve"> </w:t>
      </w:r>
      <w:r>
        <w:rPr>
          <w:i/>
          <w:iCs/>
        </w:rPr>
        <w:t xml:space="preserve">M</w:t>
      </w:r>
      <w:r>
        <w:t xml:space="preserve"> </w:t>
      </w:r>
      <w: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pPr>
      <w:r>
        <w:t xml:space="preserve">B.1 Resume synthesis procedure</w:t>
      </w:r>
    </w:p>
    <w:p>
      <w:pPr>
        <w:pStyle w:val="FirstParagraph"/>
      </w:pPr>
      <w: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pPr>
      <w:r>
        <w:t xml:space="preserve">The synthesis script is</w:t>
      </w:r>
      <w:r>
        <w:t xml:space="preserve"> </w:t>
      </w:r>
      <w:r>
        <w:rPr>
          <w:rStyle w:val="VerbatimChar"/>
        </w:rPr>
        <w:t xml:space="preserve">scripts/synthesise_eval_dataset.py</w:t>
      </w:r>
      <w:r>
        <w:t xml:space="preserve">. It is fully deterministic: a fixed seed (</w:t>
      </w:r>
      <w:r>
        <w:rPr>
          <w:rStyle w:val="VerbatimChar"/>
        </w:rPr>
        <w:t xml:space="preserve">SEED = 42</w:t>
      </w:r>
      <w:r>
        <w:t xml:space="preserve">) produces the same 30 resumes and 20 job descriptions on every run, which makes the evaluation manifest reproducible from the script alone.</w:t>
      </w:r>
    </w:p>
    <w:bookmarkEnd w:id="136"/>
    <w:bookmarkStart w:id="137" w:name="b.2-job-description-synthesis-procedure"/>
    <w:p>
      <w:pPr>
        <w:pStyle w:val="Heading3"/>
      </w:pPr>
      <w:r>
        <w:t xml:space="preserve">B.2 Job description synthesis procedure</w:t>
      </w:r>
    </w:p>
    <w:p>
      <w:pPr>
        <w:pStyle w:val="FirstParagraph"/>
      </w:pPr>
      <w: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pPr>
      <w:r>
        <w:t xml:space="preserve">B.3 Pair construction</w:t>
      </w:r>
    </w:p>
    <w:p>
      <w:pPr>
        <w:pStyle w:val="FirstParagraph"/>
      </w:pPr>
      <w:r>
        <w:t xml:space="preserve">The evaluation harness</w:t>
      </w:r>
      <w:r>
        <w:t xml:space="preserve"> </w:t>
      </w:r>
      <w:r>
        <w:rPr>
          <w:rStyle w:val="VerbatimChar"/>
        </w:rPr>
        <w:t xml:space="preserve">scripts/eval_scoring.py</w:t>
      </w:r>
      <w:r>
        <w:t xml:space="preserve"> </w:t>
      </w:r>
      <w: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pPr>
      <w:r>
        <w:t xml:space="preserve">B.4 Pair manifest</w:t>
      </w:r>
    </w:p>
    <w:p>
      <w:pPr>
        <w:pStyle w:val="FirstParagraph"/>
      </w:pPr>
      <w:r>
        <w:t xml:space="preserve">The manifest produced by the synthesis script at</w:t>
      </w:r>
      <w:r>
        <w:t xml:space="preserve"> </w:t>
      </w:r>
      <w:r>
        <w:rPr>
          <w:rStyle w:val="VerbatimChar"/>
        </w:rPr>
        <w:t xml:space="preserve">thesis/eval-dataset.json</w:t>
      </w:r>
      <w:r>
        <w:t xml:space="preserve"> </w:t>
      </w:r>
      <w:r>
        <w:t xml:space="preserve">is a list of one hundred objects with the shape</w:t>
      </w:r>
      <w:r>
        <w:t xml:space="preserve"> </w:t>
      </w:r>
      <w:r>
        <w:rPr>
          <w:rStyle w:val="VerbatimChar"/>
        </w:rPr>
        <w:t xml:space="preserve">{id, resume, jd, role_track}</w:t>
      </w:r>
      <w:r>
        <w:t xml:space="preserve">. The</w:t>
      </w:r>
      <w:r>
        <w:t xml:space="preserve"> </w:t>
      </w:r>
      <w:r>
        <w:rPr>
          <w:rStyle w:val="VerbatimChar"/>
        </w:rPr>
        <w:t xml:space="preserve">id</w:t>
      </w:r>
      <w:r>
        <w:t xml:space="preserve"> </w:t>
      </w:r>
      <w:r>
        <w:t xml:space="preserve">is composed as</w:t>
      </w:r>
      <w:r>
        <w:t xml:space="preserve"> </w:t>
      </w:r>
      <w:r>
        <w:rPr>
          <w:rStyle w:val="VerbatimChar"/>
        </w:rPr>
        <w:t xml:space="preserve">r-&lt;track&gt;-&lt;NN&gt;__jd-&lt;track&gt;-&lt;NN&gt;</w:t>
      </w:r>
      <w:r>
        <w:t xml:space="preserve"> </w:t>
      </w:r>
      <w:r>
        <w:t xml:space="preserve">so that every row is traceable back to its constituent resume and job description, and every per-pair result in Section 4.3 can be re-queried by id.</w:t>
      </w:r>
    </w:p>
    <w:p>
      <w:r>
        <w:pict>
          <v:rect style="width:0;height:1.5pt" o:hralign="center" o:hrstd="t" o:hr="t"/>
        </w:pict>
      </w:r>
    </w:p>
    <w:bookmarkEnd w:id="139"/>
    <w:bookmarkEnd w:id="140"/>
    <w:bookmarkStart w:id="157" w:name="Xa5e1eb6ef87c5a83e8c05d91d91fb5c96834f8e"/>
    <w:p>
      <w:pPr>
        <w:pStyle w:val="Heading2"/>
      </w:pPr>
      <w:r>
        <w:t xml:space="preserve">Appendix C — Screenshots of the running system</w:t>
      </w:r>
    </w:p>
    <w:p>
      <w:pPr>
        <w:pStyle w:val="FirstParagraph"/>
      </w:pPr>
      <w: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pPr>
      <w:r>
        <w:t xml:space="preserve">C.1 Landing page</w:t>
      </w:r>
    </w:p>
    <w:p>
      <w:pPr>
        <w:pStyle w:val="FirstParagraph"/>
      </w:pPr>
      <w:r>
        <w:drawing>
          <wp:inline>
            <wp:extent cx="5727700" cy="3221831"/>
            <wp:effectExtent b="0" l="0" r="0" t="0"/>
            <wp:docPr descr=""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5727700" cy="3221831"/>
                    </a:xfrm>
                    <a:prstGeom prst="rect">
                      <a:avLst/>
                    </a:prstGeom>
                    <a:noFill/>
                    <a:ln w="9525">
                      <a:noFill/>
                      <a:headEnd/>
                      <a:tailEnd/>
                    </a:ln>
                  </pic:spPr>
                </pic:pic>
              </a:graphicData>
            </a:graphic>
          </wp:inline>
        </w:drawing>
      </w:r>
    </w:p>
    <w:p>
      <w:pPr>
        <w:pStyle w:val="BodyText"/>
      </w:pPr>
      <w:r>
        <w:rPr>
          <w:i/>
          <w:iCs/>
        </w:rPr>
        <w:t xml:space="preserve">Figure C.1: The public landing page at</w:t>
      </w:r>
      <w:r>
        <w:rPr>
          <w:i/>
          <w:iCs/>
        </w:rPr>
        <w:t xml:space="preserve"> </w:t>
      </w:r>
      <w:r>
        <w:rPr>
          <w:rStyle w:val="VerbatimChar"/>
          <w:i/>
          <w:iCs/>
        </w:rPr>
        <w:t xml:space="preserve">https://thecareerworkbench.com</w:t>
      </w:r>
      <w:r>
        <w:rPr>
          <w:i/>
          <w:iCs/>
        </w:rPr>
        <w:t xml:space="preserve">, presenting the six career-tooling pillars and the primary call-to-action to sign in or proceed as guest.</w:t>
      </w:r>
    </w:p>
    <w:bookmarkEnd w:id="144"/>
    <w:bookmarkStart w:id="148" w:name="c.2-resume-analyzer-input-page"/>
    <w:p>
      <w:pPr>
        <w:pStyle w:val="Heading3"/>
      </w:pPr>
      <w:r>
        <w:t xml:space="preserve">C.2 Resume Analyzer input page</w:t>
      </w:r>
    </w:p>
    <w:p>
      <w:pPr>
        <w:pStyle w:val="FirstParagraph"/>
      </w:pPr>
      <w:r>
        <w:drawing>
          <wp:inline>
            <wp:extent cx="5727700" cy="3221831"/>
            <wp:effectExtent b="0" l="0" r="0" t="0"/>
            <wp:docPr descr=""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5727700" cy="3221831"/>
                    </a:xfrm>
                    <a:prstGeom prst="rect">
                      <a:avLst/>
                    </a:prstGeom>
                    <a:noFill/>
                    <a:ln w="9525">
                      <a:noFill/>
                      <a:headEnd/>
                      <a:tailEnd/>
                    </a:ln>
                  </pic:spPr>
                </pic:pic>
              </a:graphicData>
            </a:graphic>
          </wp:inline>
        </w:drawing>
      </w:r>
    </w:p>
    <w:p>
      <w:pPr>
        <w:pStyle w:val="BodyText"/>
      </w:pPr>
      <w:r>
        <w:rPr>
          <w:i/>
          <w:iCs/>
        </w:rPr>
        <w:t xml:space="preserve">Figure C.2: The Resume Analyzer input page (</w:t>
      </w:r>
      <w:r>
        <w:rPr>
          <w:rStyle w:val="VerbatimChar"/>
          <w:i/>
          <w:iCs/>
        </w:rPr>
        <w:t xml:space="preserve">/resume</w:t>
      </w:r>
      <w:r>
        <w:rPr>
          <w:i/>
          <w:iCs/>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pPr>
      <w:r>
        <w:t xml:space="preserve">C.3 Resume Analyzer result page (blended mode)</w:t>
      </w:r>
    </w:p>
    <w:p>
      <w:pPr>
        <w:pStyle w:val="FirstParagraph"/>
      </w:pPr>
      <w:r>
        <w:drawing>
          <wp:inline>
            <wp:extent cx="5727700" cy="6437696"/>
            <wp:effectExtent b="0" l="0" r="0" t="0"/>
            <wp:docPr descr=""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5727700" cy="6437696"/>
                    </a:xfrm>
                    <a:prstGeom prst="rect">
                      <a:avLst/>
                    </a:prstGeom>
                    <a:noFill/>
                    <a:ln w="9525">
                      <a:noFill/>
                      <a:headEnd/>
                      <a:tailEnd/>
                    </a:ln>
                  </pic:spPr>
                </pic:pic>
              </a:graphicData>
            </a:graphic>
          </wp:inline>
        </w:drawing>
      </w:r>
    </w:p>
    <w:p>
      <w:pPr>
        <w:pStyle w:val="BodyText"/>
      </w:pPr>
      <w:r>
        <w:rPr>
          <w:i/>
          <w:iCs/>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pPr>
      <w:r>
        <w:t xml:space="preserve">C.4 Job Match result page</w:t>
      </w:r>
    </w:p>
    <w:p>
      <w:pPr>
        <w:pStyle w:val="FirstParagraph"/>
      </w:pPr>
      <w:r>
        <w:drawing>
          <wp:inline>
            <wp:extent cx="5727700" cy="7842772"/>
            <wp:effectExtent b="0" l="0" r="0" t="0"/>
            <wp:docPr desc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5727700" cy="7842772"/>
                    </a:xfrm>
                    <a:prstGeom prst="rect">
                      <a:avLst/>
                    </a:prstGeom>
                    <a:noFill/>
                    <a:ln w="9525">
                      <a:noFill/>
                      <a:headEnd/>
                      <a:tailEnd/>
                    </a:ln>
                  </pic:spPr>
                </pic:pic>
              </a:graphicData>
            </a:graphic>
          </wp:inline>
        </w:drawing>
      </w:r>
    </w:p>
    <w:p>
      <w:pPr>
        <w:pStyle w:val="BodyText"/>
      </w:pPr>
      <w:r>
        <w:rPr>
          <w:i/>
          <w:iCs/>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p>
      <w:r>
        <w:pict>
          <v:rect style="width:0;height:1.5pt" o:hralign="center" o:hrstd="t" o:hr="t"/>
        </w:pict>
      </w:r>
    </w:p>
    <w:bookmarkEnd w:id="156"/>
    <w:bookmarkEnd w:id="157"/>
    <w:bookmarkStart w:id="161" w:name="appendix-d-configuration-reference"/>
    <w:p>
      <w:pPr>
        <w:pStyle w:val="Heading2"/>
      </w:pPr>
      <w:r>
        <w:t xml:space="preserve">Appendix D — Configuration reference</w:t>
      </w:r>
    </w:p>
    <w:bookmarkStart w:id="158" w:name="d.1-backend-environment-variables"/>
    <w:p>
      <w:pPr>
        <w:pStyle w:val="Heading3"/>
      </w:pPr>
      <w:r>
        <w:t xml:space="preserve">D.1 Backend environment variables</w:t>
      </w:r>
    </w:p>
    <w:p>
      <w:pPr>
        <w:pStyle w:val="FirstParagraph"/>
      </w:pPr>
      <w:r>
        <w:t xml:space="preserve">The following environment variables are read at process start and configure the deployed system. Defaults shown in parentheses; consult</w:t>
      </w:r>
      <w:r>
        <w:t xml:space="preserve"> </w:t>
      </w:r>
      <w:r>
        <w:rPr>
          <w:rStyle w:val="VerbatimChar"/>
        </w:rPr>
        <w:t xml:space="preserve">backend/app/config.py</w:t>
      </w:r>
      <w:r>
        <w:t xml:space="preserve"> </w:t>
      </w:r>
      <w:r>
        <w:t xml:space="preserve">for the authoritative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Purpose</w:t>
            </w:r>
          </w:p>
        </w:tc>
        <w:tc>
          <w:tcPr/>
          <w:p>
            <w:pPr>
              <w:pStyle w:val="Compact"/>
            </w:pPr>
            <w:r>
              <w:t xml:space="preserve">Default</w:t>
            </w:r>
          </w:p>
        </w:tc>
      </w:tr>
      <w:tr>
        <w:tc>
          <w:tcPr/>
          <w:p>
            <w:pPr>
              <w:pStyle w:val="Compact"/>
            </w:pPr>
            <w:r>
              <w:rPr>
                <w:rStyle w:val="VerbatimChar"/>
              </w:rPr>
              <w:t xml:space="preserve">DATABASE_URL</w:t>
            </w:r>
          </w:p>
        </w:tc>
        <w:tc>
          <w:tcPr/>
          <w:p>
            <w:pPr>
              <w:pStyle w:val="Compact"/>
            </w:pPr>
            <w:r>
              <w:t xml:space="preserve">PostgreSQL DSN</w:t>
            </w:r>
          </w:p>
        </w:tc>
        <w:tc>
          <w:tcPr/>
          <w:p>
            <w:pPr>
              <w:pStyle w:val="Compact"/>
            </w:pPr>
            <w:r>
              <w:rPr>
                <w:rStyle w:val="VerbatimChar"/>
              </w:rPr>
              <w:t xml:space="preserve">sqlite:///./career_platform.db</w:t>
            </w:r>
          </w:p>
        </w:tc>
      </w:tr>
      <w:tr>
        <w:tc>
          <w:tcPr/>
          <w:p>
            <w:pPr>
              <w:pStyle w:val="Compact"/>
            </w:pPr>
            <w:r>
              <w:rPr>
                <w:rStyle w:val="VerbatimChar"/>
              </w:rPr>
              <w:t xml:space="preserve">SECRET_KEY</w:t>
            </w:r>
          </w:p>
        </w:tc>
        <w:tc>
          <w:tcPr/>
          <w:p>
            <w:pPr>
              <w:pStyle w:val="Compact"/>
            </w:pPr>
            <w:r>
              <w:t xml:space="preserve">JWT signing secret</w:t>
            </w:r>
          </w:p>
        </w:tc>
        <w:tc>
          <w:tcPr/>
          <w:p>
            <w:pPr>
              <w:pStyle w:val="Compact"/>
            </w:pPr>
            <w:r>
              <w:t xml:space="preserve">(must override)</w:t>
            </w:r>
          </w:p>
        </w:tc>
      </w:tr>
      <w:tr>
        <w:tc>
          <w:tcPr/>
          <w:p>
            <w:pPr>
              <w:pStyle w:val="Compact"/>
            </w:pPr>
            <w:r>
              <w:rPr>
                <w:rStyle w:val="VerbatimChar"/>
              </w:rPr>
              <w:t xml:space="preserve">ACCESS_TOKEN_EXPIRE_MINUTES</w:t>
            </w:r>
          </w:p>
        </w:tc>
        <w:tc>
          <w:tcPr/>
          <w:p>
            <w:pPr>
              <w:pStyle w:val="Compact"/>
            </w:pPr>
            <w:r>
              <w:t xml:space="preserve">Access-token lifetime</w:t>
            </w:r>
          </w:p>
        </w:tc>
        <w:tc>
          <w:tcPr/>
          <w:p>
            <w:pPr>
              <w:pStyle w:val="Compact"/>
            </w:pPr>
            <w:r>
              <w:t xml:space="preserve">30</w:t>
            </w:r>
          </w:p>
        </w:tc>
      </w:tr>
      <w:tr>
        <w:tc>
          <w:tcPr/>
          <w:p>
            <w:pPr>
              <w:pStyle w:val="Compact"/>
            </w:pPr>
            <w:r>
              <w:rPr>
                <w:rStyle w:val="VerbatimChar"/>
              </w:rPr>
              <w:t xml:space="preserve">REFRESH_TOKEN_EXPIRE_DAYS</w:t>
            </w:r>
          </w:p>
        </w:tc>
        <w:tc>
          <w:tcPr/>
          <w:p>
            <w:pPr>
              <w:pStyle w:val="Compact"/>
            </w:pPr>
            <w:r>
              <w:t xml:space="preserve">Refresh-token lifetime</w:t>
            </w:r>
          </w:p>
        </w:tc>
        <w:tc>
          <w:tcPr/>
          <w:p>
            <w:pPr>
              <w:pStyle w:val="Compact"/>
            </w:pPr>
            <w:r>
              <w:t xml:space="preserve">7</w:t>
            </w:r>
          </w:p>
        </w:tc>
      </w:tr>
      <w:tr>
        <w:tc>
          <w:tcPr/>
          <w:p>
            <w:pPr>
              <w:pStyle w:val="Compact"/>
            </w:pPr>
            <w:r>
              <w:rPr>
                <w:rStyle w:val="VerbatimChar"/>
              </w:rPr>
              <w:t xml:space="preserve">LLM_PROVIDER</w:t>
            </w:r>
          </w:p>
        </w:tc>
        <w:tc>
          <w:tcPr/>
          <w:p>
            <w:pPr>
              <w:pStyle w:val="Compact"/>
            </w:pPr>
            <w:r>
              <w:t xml:space="preserve">LLM dispatch backend</w:t>
            </w:r>
          </w:p>
        </w:tc>
        <w:tc>
          <w:tcPr/>
          <w:p>
            <w:pPr>
              <w:pStyle w:val="Compact"/>
            </w:pPr>
            <w:r>
              <w:rPr>
                <w:rStyle w:val="VerbatimChar"/>
              </w:rPr>
              <w:t xml:space="preserve">vertex</w:t>
            </w:r>
          </w:p>
        </w:tc>
      </w:tr>
      <w:tr>
        <w:tc>
          <w:tcPr/>
          <w:p>
            <w:pPr>
              <w:pStyle w:val="Compact"/>
            </w:pPr>
            <w:r>
              <w:rPr>
                <w:rStyle w:val="VerbatimChar"/>
              </w:rPr>
              <w:t xml:space="preserve">LLM_MODEL</w:t>
            </w:r>
          </w:p>
        </w:tc>
        <w:tc>
          <w:tcPr/>
          <w:p>
            <w:pPr>
              <w:pStyle w:val="Compact"/>
            </w:pPr>
            <w:r>
              <w:t xml:space="preserve">Primary Gemini model</w:t>
            </w:r>
          </w:p>
        </w:tc>
        <w:tc>
          <w:tcPr/>
          <w:p>
            <w:pPr>
              <w:pStyle w:val="Compact"/>
            </w:pPr>
            <w:r>
              <w:rPr>
                <w:rStyle w:val="VerbatimChar"/>
              </w:rPr>
              <w:t xml:space="preserve">gemini-2.5-flash</w:t>
            </w:r>
          </w:p>
        </w:tc>
      </w:tr>
      <w:tr>
        <w:tc>
          <w:tcPr/>
          <w:p>
            <w:pPr>
              <w:pStyle w:val="Compact"/>
            </w:pPr>
            <w:r>
              <w:rPr>
                <w:rStyle w:val="VerbatimChar"/>
              </w:rPr>
              <w:t xml:space="preserve">LLM_PRACTICE_MODEL</w:t>
            </w:r>
          </w:p>
        </w:tc>
        <w:tc>
          <w:tcPr/>
          <w:p>
            <w:pPr>
              <w:pStyle w:val="Compact"/>
            </w:pPr>
            <w:r>
              <w:t xml:space="preserve">Cheaper model used for interview practice feedback</w:t>
            </w:r>
          </w:p>
        </w:tc>
        <w:tc>
          <w:tcPr/>
          <w:p>
            <w:pPr>
              <w:pStyle w:val="Compact"/>
            </w:pPr>
            <w:r>
              <w:t xml:space="preserve">(empty → falls back to</w:t>
            </w:r>
            <w:r>
              <w:t xml:space="preserve"> </w:t>
            </w:r>
            <w:r>
              <w:rPr>
                <w:rStyle w:val="VerbatimChar"/>
              </w:rPr>
              <w:t xml:space="preserve">LLM_MODEL</w:t>
            </w:r>
            <w:r>
              <w:t xml:space="preserve">)</w:t>
            </w:r>
          </w:p>
        </w:tc>
      </w:tr>
      <w:tr>
        <w:tc>
          <w:tcPr/>
          <w:p>
            <w:pPr>
              <w:pStyle w:val="Compact"/>
            </w:pPr>
            <w:r>
              <w:rPr>
                <w:rStyle w:val="VerbatimChar"/>
              </w:rPr>
              <w:t xml:space="preserve">VERTEX_PROJECT_ID</w:t>
            </w:r>
          </w:p>
        </w:tc>
        <w:tc>
          <w:tcPr/>
          <w:p>
            <w:pPr>
              <w:pStyle w:val="Compact"/>
            </w:pPr>
            <w:r>
              <w:t xml:space="preserve">Google Cloud project</w:t>
            </w:r>
          </w:p>
        </w:tc>
        <w:tc>
          <w:tcPr/>
          <w:p>
            <w:pPr>
              <w:pStyle w:val="Compact"/>
            </w:pPr>
            <w:r>
              <w:t xml:space="preserve">(must override)</w:t>
            </w:r>
          </w:p>
        </w:tc>
      </w:tr>
      <w:tr>
        <w:tc>
          <w:tcPr/>
          <w:p>
            <w:pPr>
              <w:pStyle w:val="Compact"/>
            </w:pPr>
            <w:r>
              <w:rPr>
                <w:rStyle w:val="VerbatimChar"/>
              </w:rPr>
              <w:t xml:space="preserve">VERTEX_LOCATION</w:t>
            </w:r>
          </w:p>
        </w:tc>
        <w:tc>
          <w:tcPr/>
          <w:p>
            <w:pPr>
              <w:pStyle w:val="Compact"/>
            </w:pPr>
            <w:r>
              <w:t xml:space="preserve">Vertex region</w:t>
            </w:r>
          </w:p>
        </w:tc>
        <w:tc>
          <w:tcPr/>
          <w:p>
            <w:pPr>
              <w:pStyle w:val="Compact"/>
            </w:pPr>
            <w:r>
              <w:rPr>
                <w:rStyle w:val="VerbatimChar"/>
              </w:rPr>
              <w:t xml:space="preserve">us-central1</w:t>
            </w:r>
          </w:p>
        </w:tc>
      </w:tr>
      <w:tr>
        <w:tc>
          <w:tcPr/>
          <w:p>
            <w:pPr>
              <w:pStyle w:val="Compact"/>
            </w:pPr>
            <w:r>
              <w:rPr>
                <w:rStyle w:val="VerbatimChar"/>
              </w:rPr>
              <w:t xml:space="preserve">BLENDED_SCORING_ENABLED</w:t>
            </w:r>
          </w:p>
        </w:tc>
        <w:tc>
          <w:tcPr/>
          <w:p>
            <w:pPr>
              <w:pStyle w:val="Compact"/>
            </w:pPr>
            <w:r>
              <w:t xml:space="preserve">Apply 60/40 LLM/heuristic blend</w:t>
            </w:r>
          </w:p>
        </w:tc>
        <w:tc>
          <w:tcPr/>
          <w:p>
            <w:pPr>
              <w:pStyle w:val="Compact"/>
            </w:pPr>
            <w:r>
              <w:rPr>
                <w:rStyle w:val="VerbatimChar"/>
              </w:rPr>
              <w:t xml:space="preserve">true</w:t>
            </w:r>
          </w:p>
        </w:tc>
      </w:tr>
      <w:tr>
        <w:tc>
          <w:tcPr/>
          <w:p>
            <w:pPr>
              <w:pStyle w:val="Compact"/>
            </w:pPr>
            <w:r>
              <w:rPr>
                <w:rStyle w:val="VerbatimChar"/>
              </w:rPr>
              <w:t xml:space="preserve">SCORING_MODE</w:t>
            </w:r>
          </w:p>
        </w:tc>
        <w:tc>
          <w:tcPr/>
          <w:p>
            <w:pPr>
              <w:pStyle w:val="Compact"/>
            </w:pPr>
            <w:r>
              <w:t xml:space="preserve">Scoring core mode (</w:t>
            </w:r>
            <w:r>
              <w:rPr>
                <w:rStyle w:val="VerbatimChar"/>
              </w:rPr>
              <w:t xml:space="preserve">blended</w:t>
            </w:r>
            <w:r>
              <w:t xml:space="preserve"> </w:t>
            </w:r>
            <w:r>
              <w:t xml:space="preserve">or</w:t>
            </w:r>
            <w:r>
              <w:t xml:space="preserve"> </w:t>
            </w:r>
            <w:r>
              <w:rPr>
                <w:rStyle w:val="VerbatimChar"/>
              </w:rPr>
              <w:t xml:space="preserve">heuristic</w:t>
            </w:r>
            <w:r>
              <w:t xml:space="preserve">) — added with the comparative study</w:t>
            </w:r>
          </w:p>
        </w:tc>
        <w:tc>
          <w:tcPr/>
          <w:p>
            <w:pPr>
              <w:pStyle w:val="Compact"/>
            </w:pPr>
            <w:r>
              <w:rPr>
                <w:rStyle w:val="VerbatimChar"/>
              </w:rPr>
              <w:t xml:space="preserve">blended</w:t>
            </w:r>
          </w:p>
        </w:tc>
      </w:tr>
      <w:tr>
        <w:tc>
          <w:tcPr/>
          <w:p>
            <w:pPr>
              <w:pStyle w:val="Compact"/>
            </w:pPr>
            <w:r>
              <w:rPr>
                <w:rStyle w:val="VerbatimChar"/>
              </w:rPr>
              <w:t xml:space="preserve">RESULT_CACHE_ENABLED</w:t>
            </w:r>
          </w:p>
        </w:tc>
        <w:tc>
          <w:tcPr/>
          <w:p>
            <w:pPr>
              <w:pStyle w:val="Compact"/>
            </w:pPr>
            <w:r>
              <w:t xml:space="preserve">In-memory cache</w:t>
            </w:r>
          </w:p>
        </w:tc>
        <w:tc>
          <w:tcPr/>
          <w:p>
            <w:pPr>
              <w:pStyle w:val="Compact"/>
            </w:pPr>
            <w:r>
              <w:rPr>
                <w:rStyle w:val="VerbatimChar"/>
              </w:rPr>
              <w:t xml:space="preserve">true</w:t>
            </w:r>
          </w:p>
        </w:tc>
      </w:tr>
      <w:tr>
        <w:tc>
          <w:tcPr/>
          <w:p>
            <w:pPr>
              <w:pStyle w:val="Compact"/>
            </w:pPr>
            <w:r>
              <w:rPr>
                <w:rStyle w:val="VerbatimChar"/>
              </w:rPr>
              <w:t xml:space="preserve">RESULT_CACHE_TTL_SECONDS</w:t>
            </w:r>
          </w:p>
        </w:tc>
        <w:tc>
          <w:tcPr/>
          <w:p>
            <w:pPr>
              <w:pStyle w:val="Compact"/>
            </w:pPr>
            <w:r>
              <w:t xml:space="preserve">Cache TTL</w:t>
            </w:r>
          </w:p>
        </w:tc>
        <w:tc>
          <w:tcPr/>
          <w:p>
            <w:pPr>
              <w:pStyle w:val="Compact"/>
            </w:pPr>
            <w:r>
              <w:t xml:space="preserve">3600</w:t>
            </w:r>
          </w:p>
        </w:tc>
      </w:tr>
      <w:tr>
        <w:tc>
          <w:tcPr/>
          <w:p>
            <w:pPr>
              <w:pStyle w:val="Compact"/>
            </w:pPr>
            <w:r>
              <w:rPr>
                <w:rStyle w:val="VerbatimChar"/>
              </w:rPr>
              <w:t xml:space="preserve">CORS_ORIGINS</w:t>
            </w:r>
          </w:p>
        </w:tc>
        <w:tc>
          <w:tcPr/>
          <w:p>
            <w:pPr>
              <w:pStyle w:val="Compact"/>
            </w:pPr>
            <w:r>
              <w:t xml:space="preserve">Allowed CORS origins</w:t>
            </w:r>
          </w:p>
        </w:tc>
        <w:tc>
          <w:tcPr/>
          <w:p>
            <w:pPr>
              <w:pStyle w:val="Compact"/>
            </w:pPr>
            <w:r>
              <w:rPr>
                <w:rStyle w:val="VerbatimChar"/>
              </w:rPr>
              <w:t xml:space="preserve">localhost</w:t>
            </w:r>
            <w:r>
              <w:t xml:space="preserve"> </w:t>
            </w:r>
            <w:r>
              <w:t xml:space="preserve">defaults</w:t>
            </w:r>
          </w:p>
        </w:tc>
      </w:tr>
      <w:tr>
        <w:tc>
          <w:tcPr/>
          <w:p>
            <w:pPr>
              <w:pStyle w:val="Compact"/>
            </w:pPr>
            <w:r>
              <w:rPr>
                <w:rStyle w:val="VerbatimChar"/>
              </w:rPr>
              <w:t xml:space="preserve">FRONTEND_URL</w:t>
            </w:r>
          </w:p>
        </w:tc>
        <w:tc>
          <w:tcPr/>
          <w:p>
            <w:pPr>
              <w:pStyle w:val="Compact"/>
            </w:pPr>
            <w:r>
              <w:t xml:space="preserve">Canonical frontend URL</w:t>
            </w:r>
          </w:p>
        </w:tc>
        <w:tc>
          <w:tcPr/>
          <w:p>
            <w:pPr>
              <w:pStyle w:val="Compact"/>
            </w:pPr>
            <w:r>
              <w:t xml:space="preserve">(set in production)</w:t>
            </w:r>
          </w:p>
        </w:tc>
      </w:tr>
      <w:tr>
        <w:tc>
          <w:tcPr/>
          <w:p>
            <w:pPr>
              <w:pStyle w:val="Compact"/>
            </w:pPr>
            <w:r>
              <w:rPr>
                <w:rStyle w:val="VerbatimChar"/>
              </w:rPr>
              <w:t xml:space="preserve">GOOGLE_CLIENT_ID</w:t>
            </w:r>
            <w:r>
              <w:t xml:space="preserve"> </w:t>
            </w:r>
            <w:r>
              <w:t xml:space="preserve">/</w:t>
            </w:r>
            <w:r>
              <w:t xml:space="preserve"> </w:t>
            </w:r>
            <w:r>
              <w:rPr>
                <w:rStyle w:val="VerbatimChar"/>
              </w:rPr>
              <w:t xml:space="preserve">GOOGLE_CLIENT_SECRET</w:t>
            </w:r>
            <w:r>
              <w:t xml:space="preserve"> </w:t>
            </w:r>
            <w:r>
              <w:t xml:space="preserve">/</w:t>
            </w:r>
            <w:r>
              <w:t xml:space="preserve"> </w:t>
            </w:r>
            <w:r>
              <w:rPr>
                <w:rStyle w:val="VerbatimChar"/>
              </w:rPr>
              <w:t xml:space="preserve">GOOGLE_REDIRECT_URI</w:t>
            </w:r>
          </w:p>
        </w:tc>
        <w:tc>
          <w:tcPr/>
          <w:p>
            <w:pPr>
              <w:pStyle w:val="Compact"/>
            </w:pPr>
            <w:r>
              <w:t xml:space="preserve">Google OAuth</w:t>
            </w:r>
          </w:p>
        </w:tc>
        <w:tc>
          <w:tcPr/>
          <w:p>
            <w:pPr>
              <w:pStyle w:val="Compact"/>
            </w:pPr>
            <w:r>
              <w:t xml:space="preserve">(must override)</w:t>
            </w:r>
          </w:p>
        </w:tc>
      </w:tr>
      <w:tr>
        <w:tc>
          <w:tcPr/>
          <w:p>
            <w:pPr>
              <w:pStyle w:val="Compact"/>
            </w:pPr>
            <w:r>
              <w:rPr>
                <w:rStyle w:val="VerbatimChar"/>
              </w:rPr>
              <w:t xml:space="preserve">RESEND_API_KEY</w:t>
            </w:r>
          </w:p>
        </w:tc>
        <w:tc>
          <w:tcPr/>
          <w:p>
            <w:pPr>
              <w:pStyle w:val="Compact"/>
            </w:pPr>
            <w:r>
              <w:t xml:space="preserve">Transactional email</w:t>
            </w:r>
          </w:p>
        </w:tc>
        <w:tc>
          <w:tcPr/>
          <w:p>
            <w:pPr>
              <w:pStyle w:val="Compact"/>
            </w:pPr>
            <w:r>
              <w:t xml:space="preserve">(must override)</w:t>
            </w:r>
          </w:p>
        </w:tc>
      </w:tr>
      <w:tr>
        <w:tc>
          <w:tcPr/>
          <w:p>
            <w:pPr>
              <w:pStyle w:val="Compact"/>
            </w:pPr>
            <w:r>
              <w:rPr>
                <w:rStyle w:val="VerbatimChar"/>
              </w:rPr>
              <w:t xml:space="preserve">SENTRY_DSN</w:t>
            </w:r>
          </w:p>
        </w:tc>
        <w:tc>
          <w:tcPr/>
          <w:p>
            <w:pPr>
              <w:pStyle w:val="Compact"/>
            </w:pPr>
            <w:r>
              <w:t xml:space="preserve">Error tracking</w:t>
            </w:r>
          </w:p>
        </w:tc>
        <w:tc>
          <w:tcPr/>
          <w:p>
            <w:pPr>
              <w:pStyle w:val="Compact"/>
            </w:pPr>
            <w:r>
              <w:t xml:space="preserve">(empty disables)</w:t>
            </w:r>
          </w:p>
        </w:tc>
      </w:tr>
    </w:tbl>
    <w:bookmarkEnd w:id="158"/>
    <w:bookmarkStart w:id="159" w:name="d.2-administrative-endpoints"/>
    <w:p>
      <w:pPr>
        <w:pStyle w:val="Heading3"/>
      </w:pPr>
      <w:r>
        <w:t xml:space="preserve">D.2 Administrative endpoints</w:t>
      </w:r>
    </w:p>
    <w:p>
      <w:pPr>
        <w:pStyle w:val="FirstParagraph"/>
      </w:pPr>
      <w:r>
        <w:t xml:space="preserve">The administrative HTTP API used for the comparative study is exposed under</w:t>
      </w:r>
      <w:r>
        <w:t xml:space="preserve"> </w:t>
      </w:r>
      <w:r>
        <w:rPr>
          <w:rStyle w:val="VerbatimChar"/>
        </w:rPr>
        <w:t xml:space="preserve">/api/v1/admin/</w:t>
      </w:r>
      <w:r>
        <w:t xml:space="preserve">:</w:t>
      </w:r>
    </w:p>
    <w:p>
      <w:pPr>
        <w:pStyle w:val="Compact"/>
        <w:numPr>
          <w:ilvl w:val="0"/>
          <w:numId w:val="1008"/>
        </w:numPr>
      </w:pPr>
      <w:r>
        <w:rPr>
          <w:rStyle w:val="VerbatimChar"/>
        </w:rPr>
        <w:t xml:space="preserve">GET /api/v1/admin/scoring-mode</w:t>
      </w:r>
      <w:r>
        <w:t xml:space="preserve"> </w:t>
      </w:r>
      <w:r>
        <w:t xml:space="preserve">→</w:t>
      </w:r>
      <w:r>
        <w:t xml:space="preserve"> </w:t>
      </w:r>
      <w:r>
        <w:rPr>
          <w:rStyle w:val="VerbatimChar"/>
        </w:rPr>
        <w:t xml:space="preserve">AdminScoringModeResponse</w:t>
      </w:r>
    </w:p>
    <w:p>
      <w:pPr>
        <w:pStyle w:val="Compact"/>
        <w:numPr>
          <w:ilvl w:val="0"/>
          <w:numId w:val="1008"/>
        </w:numPr>
      </w:pPr>
      <w:r>
        <w:rPr>
          <w:rStyle w:val="VerbatimChar"/>
        </w:rPr>
        <w:t xml:space="preserve">POST /api/v1/admin/scoring-mode</w:t>
      </w:r>
      <w:r>
        <w:t xml:space="preserve"> </w:t>
      </w:r>
      <w:r>
        <w:t xml:space="preserve">with body</w:t>
      </w:r>
      <w:r>
        <w:t xml:space="preserve"> </w:t>
      </w:r>
      <w:r>
        <w:rPr>
          <w:rStyle w:val="VerbatimChar"/>
        </w:rPr>
        <w:t xml:space="preserve">{ "mode": "blended" | "heuristic" }</w:t>
      </w:r>
      <w:r>
        <w:t xml:space="preserve"> </w:t>
      </w:r>
      <w:r>
        <w:t xml:space="preserve">→ returns the updated</w:t>
      </w:r>
      <w:r>
        <w:t xml:space="preserve"> </w:t>
      </w:r>
      <w:r>
        <w:rPr>
          <w:rStyle w:val="VerbatimChar"/>
        </w:rPr>
        <w:t xml:space="preserve">AdminScoringModeResponse</w:t>
      </w:r>
    </w:p>
    <w:p>
      <w:pPr>
        <w:pStyle w:val="FirstParagraph"/>
      </w:pPr>
      <w:r>
        <w:t xml:space="preserve">The response shape returned by both endpoints is:</w:t>
      </w:r>
    </w:p>
    <w:p>
      <w:pPr>
        <w:pStyle w:val="SourceCode"/>
      </w:pP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"blended"</w:t>
      </w:r>
      <w:r>
        <w:rPr>
          <w:rStyle w:val="FunctionTok"/>
        </w:rPr>
        <w:t xml:space="preserve">,</w:t>
      </w:r>
      <w:r>
        <w:br/>
      </w:r>
      <w:r>
        <w:rPr>
          <w:rStyle w:val="NormalTok"/>
        </w:rPr>
        <w:t xml:space="preserve">  </w:t>
      </w:r>
      <w:r>
        <w:rPr>
          <w:rStyle w:val="DataTypeTok"/>
        </w:rPr>
        <w:t xml:space="preserve">"heuristic_version"</w:t>
      </w:r>
      <w:r>
        <w:rPr>
          <w:rStyle w:val="FunctionTok"/>
        </w:rPr>
        <w:t xml:space="preserve">:</w:t>
      </w:r>
      <w:r>
        <w:rPr>
          <w:rStyle w:val="NormalTok"/>
        </w:rPr>
        <w:t xml:space="preserve"> </w:t>
      </w:r>
      <w:r>
        <w:rPr>
          <w:rStyle w:val="StringTok"/>
        </w:rPr>
        <w:t xml:space="preserve">"v1"</w:t>
      </w:r>
      <w:r>
        <w:rPr>
          <w:rStyle w:val="FunctionTok"/>
        </w:rPr>
        <w:t xml:space="preserve">,</w:t>
      </w:r>
      <w:r>
        <w:br/>
      </w:r>
      <w:r>
        <w:rPr>
          <w:rStyle w:val="NormalTok"/>
        </w:rPr>
        <w:t xml:space="preserve">  </w:t>
      </w:r>
      <w:r>
        <w:rPr>
          <w:rStyle w:val="DataTypeTok"/>
        </w:rPr>
        <w:t xml:space="preserve">"blended_weight_heuristic"</w:t>
      </w:r>
      <w:r>
        <w:rPr>
          <w:rStyle w:val="FunctionTok"/>
        </w:rPr>
        <w:t xml:space="preserve">:</w:t>
      </w:r>
      <w:r>
        <w:rPr>
          <w:rStyle w:val="NormalTok"/>
        </w:rPr>
        <w:t xml:space="preserve"> </w:t>
      </w:r>
      <w:r>
        <w:rPr>
          <w:rStyle w:val="FloatTok"/>
        </w:rPr>
        <w:t xml:space="preserve">0.4</w:t>
      </w:r>
      <w:r>
        <w:rPr>
          <w:rStyle w:val="FunctionTok"/>
        </w:rPr>
        <w:t xml:space="preserve">,</w:t>
      </w:r>
      <w:r>
        <w:br/>
      </w:r>
      <w:r>
        <w:rPr>
          <w:rStyle w:val="NormalTok"/>
        </w:rPr>
        <w:t xml:space="preserve">  </w:t>
      </w:r>
      <w:r>
        <w:rPr>
          <w:rStyle w:val="DataTypeTok"/>
        </w:rPr>
        <w:t xml:space="preserve">"blended_weight_llm"</w:t>
      </w:r>
      <w:r>
        <w:rPr>
          <w:rStyle w:val="FunctionTok"/>
        </w:rPr>
        <w:t xml:space="preserve">:</w:t>
      </w:r>
      <w:r>
        <w:rPr>
          <w:rStyle w:val="NormalTok"/>
        </w:rPr>
        <w:t xml:space="preserve"> </w:t>
      </w:r>
      <w:r>
        <w:rPr>
          <w:rStyle w:val="FloatTok"/>
        </w:rPr>
        <w:t xml:space="preserve">0.6</w:t>
      </w:r>
      <w:r>
        <w:br/>
      </w:r>
      <w:r>
        <w:rPr>
          <w:rStyle w:val="FunctionTok"/>
        </w:rPr>
        <w:t xml:space="preserve">}</w:t>
      </w:r>
    </w:p>
    <w:p>
      <w:pPr>
        <w:pStyle w:val="FirstParagraph"/>
      </w:pPr>
      <w:r>
        <w:t xml:space="preserve">Both endpoints require an authenticated administrator (the</w:t>
      </w:r>
      <w:r>
        <w:t xml:space="preserve"> </w:t>
      </w:r>
      <w:r>
        <w:rPr>
          <w:rStyle w:val="VerbatimChar"/>
        </w:rPr>
        <w:t xml:space="preserve">users.is_admin</w:t>
      </w:r>
      <w:r>
        <w:t xml:space="preserve"> </w:t>
      </w:r>
      <w:r>
        <w:t xml:space="preserve">flag controls access) and are rate-limited at 60 requests per minute per administrator. The runtime mode change is held in process memory only; restarting the backend restores the configured default from the</w:t>
      </w:r>
      <w:r>
        <w:t xml:space="preserve"> </w:t>
      </w:r>
      <w:r>
        <w:rPr>
          <w:rStyle w:val="VerbatimChar"/>
        </w:rPr>
        <w:t xml:space="preserve">SCORING_MODE</w:t>
      </w:r>
      <w:r>
        <w:t xml:space="preserve"> </w:t>
      </w:r>
      <w:r>
        <w:t xml:space="preserve">environment variable.</w:t>
      </w:r>
    </w:p>
    <w:bookmarkEnd w:id="159"/>
    <w:bookmarkStart w:id="160" w:name="d.3-running-the-evaluation-harness"/>
    <w:p>
      <w:pPr>
        <w:pStyle w:val="Heading3"/>
      </w:pPr>
      <w:r>
        <w:t xml:space="preserve">D.3 Running the evaluation harness</w:t>
      </w:r>
    </w:p>
    <w:p>
      <w:pPr>
        <w:pStyle w:val="FirstParagraph"/>
      </w:pPr>
      <w:r>
        <w:t xml:space="preserve">The evaluation run used the following commands at the repository root:</w:t>
      </w:r>
    </w:p>
    <w:p>
      <w:pPr>
        <w:pStyle w:val="SourceCode"/>
      </w:pPr>
      <w:r>
        <w:rPr>
          <w:rStyle w:val="ExtensionTok"/>
        </w:rPr>
        <w:t xml:space="preserve">$</w:t>
      </w:r>
      <w:r>
        <w:rPr>
          <w:rStyle w:val="NormalTok"/>
        </w:rPr>
        <w:t xml:space="preserve"> cd backend</w:t>
      </w:r>
      <w:r>
        <w:br/>
      </w:r>
      <w:r>
        <w:rPr>
          <w:rStyle w:val="ExtensionTok"/>
        </w:rPr>
        <w:t xml:space="preserve">$</w:t>
      </w:r>
      <w:r>
        <w:rPr>
          <w:rStyle w:val="NormalTok"/>
        </w:rPr>
        <w:t xml:space="preserve"> SCORING_MODE=blended RESULT_CACHE_ENABLED=false </w:t>
      </w:r>
      <w:r>
        <w:rPr>
          <w:rStyle w:val="DataTypeTok"/>
        </w:rPr>
        <w:t xml:space="preserve">\</w:t>
      </w:r>
      <w:r>
        <w:br/>
      </w:r>
      <w:r>
        <w:rPr>
          <w:rStyle w:val="NormalTok"/>
        </w:rPr>
        <w:t xml:space="preserve">    python ../scripts/eval_scoring.py</w:t>
      </w:r>
      <w:r>
        <w:br/>
      </w:r>
      <w:r>
        <w:rPr>
          <w:rStyle w:val="ExtensionTok"/>
        </w:rPr>
        <w:t xml:space="preserve">$</w:t>
      </w:r>
      <w:r>
        <w:rPr>
          <w:rStyle w:val="NormalTok"/>
        </w:rPr>
        <w:t xml:space="preserve"> python ../scripts/analyze_eval_results.py</w:t>
      </w:r>
    </w:p>
    <w:p>
      <w:pPr>
        <w:pStyle w:val="FirstParagraph"/>
      </w:pPr>
      <w:r>
        <w:t xml:space="preserve">The harness writes</w:t>
      </w:r>
      <w:r>
        <w:t xml:space="preserve"> </w:t>
      </w:r>
      <w:r>
        <w:rPr>
          <w:rStyle w:val="VerbatimChar"/>
        </w:rPr>
        <w:t xml:space="preserve">thesis/eval-results.json</w:t>
      </w:r>
      <w:r>
        <w:t xml:space="preserve">; the analyzer emits the Markdown-formatted result tables reported in Chapter 4.3.</w:t>
      </w:r>
    </w:p>
    <w:bookmarkEnd w:id="160"/>
    <w:bookmarkEnd w:id="161"/>
    <w:bookmarkEnd w:id="162"/>
    <w:sectPr>
      <w:headerReference r:id="rId7" w:type="first"/>
      <w:footerReference r:id="rId10" w:type="first"/>
      <w:headerReference r:id="rId5" w:type="default"/>
      <w:footerReference r:id="rId8" w:type="default"/>
      <w:headerReference r:id="rId6" w:type="even"/>
      <w:footerReference r:id="rId9" w:type="even"/>
      <w:pgSz w:h="16838" w:w="11906"/>
      <w:pgMar w:bottom="1440" w:footer="708" w:gutter="0" w:header="708" w:left="1440" w:right="1440" w:top="1440"/>
      <w:cols w:num="1" w:space="708"/>
      <w:titlePg/>
      <w:docGrid w:charSpace="0"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160" w:line="279" w:lineRule="auto"/>
    </w:pPr>
    <w:rPr>
      <w:rFonts w:asciiTheme="minorHAnsi" w:cstheme="minorBidi" w:eastAsiaTheme="minorHAnsi" w:hAnsiTheme="minorHAnsi"/>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2.xml" Type="http://schemas.openxmlformats.org/officeDocument/2006/relationships/footer" /><Relationship Id="rId8" Target="footer1.xml" Type="http://schemas.openxmlformats.org/officeDocument/2006/relationships/footer" /><Relationship Id="rId7" Target="header3.xml" Type="http://schemas.openxmlformats.org/officeDocument/2006/relationships/header" /><Relationship Id="rId6" Target="header2.xml" Type="http://schemas.openxmlformats.org/officeDocument/2006/relationships/header" /><Relationship Id="rId5" Target="header1.xml" Type="http://schemas.openxmlformats.org/officeDocument/2006/relationships/header" /><Relationship Id="rId10" Target="footer3.xml" Type="http://schemas.openxmlformats.org/officeDocument/2006/relationships/footer" /><Relationship Type="http://schemas.openxmlformats.org/officeDocument/2006/relationships/image" Id="rId103" Target="media/rId10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2026-05-11T19:50:55Z</dcterms:created>
  <dcterms:modified xsi:type="dcterms:W3CDTF">2026-05-11T19:50:55Z</dcterms:modified>
</cp:coreProperties>
</file>

<file path=docProps/custom.xml><?xml version="1.0" encoding="utf-8"?>
<Properties xmlns="http://schemas.openxmlformats.org/officeDocument/2006/custom-properties" xmlns:vt="http://schemas.openxmlformats.org/officeDocument/2006/docPropsVTypes"/>
</file>