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120"/>
      </w:pPr>
      <w:r>
        <w:rPr>
          <w:rFonts w:ascii="Times New Roman" w:hAnsi="Times New Roman" w:eastAsia="Times New Roman" w:cs="Times New Roman"/>
          <w:sz w:val="26"/>
          <w:szCs w:val="26"/>
        </w:rPr>
        <w:t>Faculty of Electronics, Photonics and Microsystems</w:t>
      </w:r>
    </w:p>
    <w:p>
      <w:pPr>
        <w:jc w:val="center"/>
        <w:spacing w:before="0" w:after="560"/>
        <w:pBdr>
          <w:bottom w:val="single" w:sz="8" w:space="1" w:color="000000"/>
        </w:pBdr>
        <w:ind w:left="720" w:right="720"/>
      </w:pP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120"/>
        <w:pBdr>
          <w:bottom w:val="single" w:sz="8" w:space="1" w:color="000000"/>
        </w:pBdr>
        <w:ind w:left="720" w:right="720"/>
      </w:pP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ważeniu słów kluczowych metodą TF–IDF i rankingowi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składa się z deterministycznie wygenerowanych par syntetycznych CV i opisów stanowisk skonstruowanych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[95-proc. przedział ufności: 0,762–0,896;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[95-proc. przedział ufności: 0,470–0,758]. Tryb mieszany pozostaje wartościowy w ocenie jakości prozy: na 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zgodność między obydwoma trybami spada do</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wskazuje, że w tym wymiarze deterministyczna heurystyka nie zastępuje modelu językowego. Ograniczenia obejmują zakres jednojęzyczny (angielski), syntetyczny zbiór jednego autora oraz pojedynczą konfigurację dostawcy modelu językowego. Dalsze prace obejmują rozszerzenie pokrycia językowego na polski (etykiety ESCO, polskojęzyczne wstępne przetwarzanie, detekcję sekcji oraz dwujęzyczną ewaluację), pośredni poziom dopasowania semantycznego oparty na transformatorach zdań, integrację komponentu wyszukiwania wspomagającego oraz wymianę pamięci podręcznej procesu na rozwiązanie współdzielone (Redis).</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These results support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coverage (ESCO label expansion, Polish-aware preprocessing, section detection, and bilingual evaluation), a sentence-transformer intermediate tier, retrieval-augmented grounding, and a Redis-backed shared cache.</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r>
        <w:br w:type="page"/>
      </w:r>
    </w:p>
    <w:p>
      <w:pPr>
        <w:pStyle w:val="Heading1"/>
        <w:spacing w:line="312" w:lineRule="auto" w:after="80"/>
        <w:ind w:firstLine="283"/>
        <w:jc w:val="both"/>
        <w:pageBreakBefore/>
      </w:pPr>
      <w:r>
        <w:br w:type="page"/>
      </w: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12" w:lineRule="auto" w:after="8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bookmarkEnd w:id="24"/>
    <w:bookmarkStart w:id="26" w:name="list-of-abbreviations-and-symbols"/>
    <w:p>
      <w:r>
        <w:br w:type="page"/>
      </w:r>
    </w:p>
    <w:p>
      <w:pPr>
        <w:pStyle w:val="Heading1"/>
        <w:spacing w:line="312" w:lineRule="auto" w:after="80"/>
        <w:ind w:firstLine="283"/>
        <w:jc w:val="both"/>
        <w:pageBreakBefore/>
      </w:pPr>
      <w:r>
        <w:br w:type="page"/>
      </w: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spacing w:before="0" w:after="45"/>
      </w:pPr>
      <w:r>
        <w:rPr>
          <w:rFonts w:ascii="Times New Roman" w:hAnsi="Times New Roman" w:eastAsia="Times New Roman" w:cs="Times New Roman"/>
          <w:b/>
          <w:bCs/>
          <w:sz w:val="24"/>
        </w:rPr>
        <w:t>Chapter 1 — Introduction</w:t>
      </w:r>
      <w:r>
        <w:tab/>
      </w:r>
      <w:r>
        <w:rPr>
          <w:rFonts w:ascii="Times New Roman" w:hAnsi="Times New Roman" w:eastAsia="Times New Roman" w:cs="Times New Roman"/>
          <w:b/>
          <w:bCs/>
          <w:sz w:val="24"/>
        </w:rPr>
        <w:t>1</w:t>
      </w:r>
    </w:p>
    <w:p>
      <w:pPr>
        <w:pStyle w:val="TOC2"/>
        <w:spacing w:before="0" w:after="45"/>
      </w:pPr>
      <w:r>
        <w:rPr>
          <w:rFonts w:ascii="Times New Roman" w:hAnsi="Times New Roman" w:eastAsia="Times New Roman" w:cs="Times New Roman"/>
          <w:sz w:val="24"/>
        </w:rPr>
        <w:t>1.1 The career decision problem</w:t>
      </w:r>
      <w:r>
        <w:tab/>
      </w:r>
      <w:r>
        <w:rPr>
          <w:rFonts w:ascii="Times New Roman" w:hAnsi="Times New Roman" w:eastAsia="Times New Roman" w:cs="Times New Roman"/>
          <w:sz w:val="24"/>
        </w:rPr>
        <w:t>1</w:t>
      </w:r>
    </w:p>
    <w:p>
      <w:pPr>
        <w:pStyle w:val="TOC2"/>
        <w:spacing w:before="0" w:after="45"/>
      </w:pPr>
      <w:r>
        <w:rPr>
          <w:rFonts w:ascii="Times New Roman" w:hAnsi="Times New Roman" w:eastAsia="Times New Roman" w:cs="Times New Roman"/>
          <w:sz w:val="24"/>
        </w:rPr>
        <w:t>1.2 AI-based recommendation systems for careers</w:t>
      </w:r>
      <w:r>
        <w:tab/>
      </w:r>
      <w:r>
        <w:rPr>
          <w:rFonts w:ascii="Times New Roman" w:hAnsi="Times New Roman" w:eastAsia="Times New Roman" w:cs="Times New Roman"/>
          <w:sz w:val="24"/>
        </w:rPr>
        <w:t>2</w:t>
      </w:r>
    </w:p>
    <w:p>
      <w:pPr>
        <w:pStyle w:val="TOC2"/>
        <w:spacing w:before="0" w:after="45"/>
      </w:pPr>
      <w:r>
        <w:rPr>
          <w:rFonts w:ascii="Times New Roman" w:hAnsi="Times New Roman" w:eastAsia="Times New Roman" w:cs="Times New Roman"/>
          <w:sz w:val="24"/>
        </w:rPr>
        <w:t>1.3 Resume parsing and job-description analysis</w:t>
      </w:r>
      <w:r>
        <w:tab/>
      </w:r>
      <w:r>
        <w:rPr>
          <w:rFonts w:ascii="Times New Roman" w:hAnsi="Times New Roman" w:eastAsia="Times New Roman" w:cs="Times New Roman"/>
          <w:sz w:val="24"/>
        </w:rPr>
        <w:t>2</w:t>
      </w:r>
    </w:p>
    <w:p>
      <w:pPr>
        <w:pStyle w:val="TOC2"/>
        <w:spacing w:before="0" w:after="45"/>
      </w:pPr>
      <w:r>
        <w:rPr>
          <w:rFonts w:ascii="Times New Roman" w:hAnsi="Times New Roman" w:eastAsia="Times New Roman" w:cs="Times New Roman"/>
          <w:sz w:val="24"/>
        </w:rPr>
        <w:t>1.4 Heuristic and language-model scoring approaches</w:t>
      </w:r>
      <w:r>
        <w:tab/>
      </w:r>
      <w:r>
        <w:rPr>
          <w:rFonts w:ascii="Times New Roman" w:hAnsi="Times New Roman" w:eastAsia="Times New Roman" w:cs="Times New Roman"/>
          <w:sz w:val="24"/>
        </w:rPr>
        <w:t>3</w:t>
      </w:r>
    </w:p>
    <w:p>
      <w:pPr>
        <w:pStyle w:val="TOC2"/>
        <w:spacing w:before="0" w:after="45"/>
      </w:pPr>
      <w:r>
        <w:rPr>
          <w:rFonts w:ascii="Times New Roman" w:hAnsi="Times New Roman" w:eastAsia="Times New Roman" w:cs="Times New Roman"/>
          <w:sz w:val="24"/>
        </w:rPr>
        <w:t>1.5 Purpose of the thesis</w:t>
      </w:r>
      <w:r>
        <w:tab/>
      </w:r>
      <w:r>
        <w:rPr>
          <w:rFonts w:ascii="Times New Roman" w:hAnsi="Times New Roman" w:eastAsia="Times New Roman" w:cs="Times New Roman"/>
          <w:sz w:val="24"/>
        </w:rPr>
        <w:t>4</w:t>
      </w:r>
    </w:p>
    <w:p>
      <w:pPr>
        <w:pStyle w:val="TOC2"/>
        <w:spacing w:before="0" w:after="45"/>
      </w:pPr>
      <w:r>
        <w:rPr>
          <w:rFonts w:ascii="Times New Roman" w:hAnsi="Times New Roman" w:eastAsia="Times New Roman" w:cs="Times New Roman"/>
          <w:sz w:val="24"/>
        </w:rPr>
        <w:t>1.6 Structure of the thesis</w:t>
      </w:r>
      <w:r>
        <w:tab/>
      </w:r>
      <w:r>
        <w:rPr>
          <w:rFonts w:ascii="Times New Roman" w:hAnsi="Times New Roman" w:eastAsia="Times New Roman" w:cs="Times New Roman"/>
          <w:sz w:val="24"/>
        </w:rPr>
        <w:t>5</w:t>
      </w:r>
    </w:p>
    <w:p>
      <w:pPr>
        <w:pStyle w:val="TOC1"/>
        <w:spacing w:before="0" w:after="45"/>
      </w:pPr>
      <w:r>
        <w:rPr>
          <w:rFonts w:ascii="Times New Roman" w:hAnsi="Times New Roman" w:eastAsia="Times New Roman" w:cs="Times New Roman"/>
          <w:b/>
          <w:bCs/>
          <w:sz w:val="24"/>
        </w:rPr>
        <w:t>Chapter 2 — System architecture</w:t>
      </w:r>
      <w:r>
        <w:tab/>
      </w:r>
      <w:r>
        <w:rPr>
          <w:rFonts w:ascii="Times New Roman" w:hAnsi="Times New Roman" w:eastAsia="Times New Roman" w:cs="Times New Roman"/>
          <w:b/>
          <w:bCs/>
          <w:sz w:val="24"/>
        </w:rPr>
        <w:t>6</w:t>
      </w:r>
    </w:p>
    <w:p>
      <w:pPr>
        <w:pStyle w:val="TOC2"/>
        <w:spacing w:before="0" w:after="45"/>
      </w:pPr>
      <w:r>
        <w:rPr>
          <w:rFonts w:ascii="Times New Roman" w:hAnsi="Times New Roman" w:eastAsia="Times New Roman" w:cs="Times New Roman"/>
          <w:sz w:val="24"/>
        </w:rPr>
        <w:t>2.1 Functional and non-functional requirements</w:t>
      </w:r>
      <w:r>
        <w:tab/>
      </w:r>
      <w:r>
        <w:rPr>
          <w:rFonts w:ascii="Times New Roman" w:hAnsi="Times New Roman" w:eastAsia="Times New Roman" w:cs="Times New Roman"/>
          <w:sz w:val="24"/>
        </w:rPr>
        <w:t>6</w:t>
      </w:r>
    </w:p>
    <w:p>
      <w:pPr>
        <w:pStyle w:val="TOC2"/>
        <w:spacing w:before="0" w:after="45"/>
      </w:pPr>
      <w:r>
        <w:rPr>
          <w:rFonts w:ascii="Times New Roman" w:hAnsi="Times New Roman" w:eastAsia="Times New Roman" w:cs="Times New Roman"/>
          <w:sz w:val="24"/>
        </w:rPr>
        <w:t>2.2 Technology stack and rationale</w:t>
      </w:r>
      <w:r>
        <w:tab/>
      </w:r>
      <w:r>
        <w:rPr>
          <w:rFonts w:ascii="Times New Roman" w:hAnsi="Times New Roman" w:eastAsia="Times New Roman" w:cs="Times New Roman"/>
          <w:sz w:val="24"/>
        </w:rPr>
        <w:t>8</w:t>
      </w:r>
    </w:p>
    <w:p>
      <w:pPr>
        <w:pStyle w:val="TOC2"/>
        <w:spacing w:before="0" w:after="45"/>
      </w:pPr>
      <w:r>
        <w:rPr>
          <w:rFonts w:ascii="Times New Roman" w:hAnsi="Times New Roman" w:eastAsia="Times New Roman" w:cs="Times New Roman"/>
          <w:sz w:val="24"/>
        </w:rPr>
        <w:t>2.3 Backend architecture</w:t>
      </w:r>
      <w:r>
        <w:tab/>
      </w:r>
      <w:r>
        <w:rPr>
          <w:rFonts w:ascii="Times New Roman" w:hAnsi="Times New Roman" w:eastAsia="Times New Roman" w:cs="Times New Roman"/>
          <w:sz w:val="24"/>
        </w:rPr>
        <w:t>9</w:t>
      </w:r>
    </w:p>
    <w:p>
      <w:pPr>
        <w:pStyle w:val="TOC2"/>
        <w:spacing w:before="0" w:after="45"/>
      </w:pPr>
      <w:r>
        <w:rPr>
          <w:rFonts w:ascii="Times New Roman" w:hAnsi="Times New Roman" w:eastAsia="Times New Roman" w:cs="Times New Roman"/>
          <w:sz w:val="24"/>
        </w:rPr>
        <w:t>2.4 Frontend architecture</w:t>
      </w:r>
      <w:r>
        <w:tab/>
      </w:r>
      <w:r>
        <w:rPr>
          <w:rFonts w:ascii="Times New Roman" w:hAnsi="Times New Roman" w:eastAsia="Times New Roman" w:cs="Times New Roman"/>
          <w:sz w:val="24"/>
        </w:rPr>
        <w:t>12</w:t>
      </w:r>
    </w:p>
    <w:p>
      <w:pPr>
        <w:pStyle w:val="TOC2"/>
        <w:spacing w:before="0" w:after="45"/>
      </w:pPr>
      <w:r>
        <w:rPr>
          <w:rFonts w:ascii="Times New Roman" w:hAnsi="Times New Roman" w:eastAsia="Times New Roman" w:cs="Times New Roman"/>
          <w:sz w:val="24"/>
        </w:rPr>
        <w:t>2.5 Data model and persistence</w:t>
      </w:r>
      <w:r>
        <w:tab/>
      </w:r>
      <w:r>
        <w:rPr>
          <w:rFonts w:ascii="Times New Roman" w:hAnsi="Times New Roman" w:eastAsia="Times New Roman" w:cs="Times New Roman"/>
          <w:sz w:val="24"/>
        </w:rPr>
        <w:t>13</w:t>
      </w:r>
    </w:p>
    <w:p>
      <w:pPr>
        <w:pStyle w:val="TOC2"/>
        <w:spacing w:before="0" w:after="45"/>
      </w:pPr>
      <w:r>
        <w:rPr>
          <w:rFonts w:ascii="Times New Roman" w:hAnsi="Times New Roman" w:eastAsia="Times New Roman" w:cs="Times New Roman"/>
          <w:sz w:val="24"/>
        </w:rPr>
        <w:t>2.6 Authentication and security</w:t>
      </w:r>
      <w:r>
        <w:tab/>
      </w:r>
      <w:r>
        <w:rPr>
          <w:rFonts w:ascii="Times New Roman" w:hAnsi="Times New Roman" w:eastAsia="Times New Roman" w:cs="Times New Roman"/>
          <w:sz w:val="24"/>
        </w:rPr>
        <w:t>14</w:t>
      </w:r>
    </w:p>
    <w:p>
      <w:pPr>
        <w:pStyle w:val="TOC2"/>
        <w:spacing w:before="0" w:after="45"/>
      </w:pPr>
      <w:r>
        <w:rPr>
          <w:rFonts w:ascii="Times New Roman" w:hAnsi="Times New Roman" w:eastAsia="Times New Roman" w:cs="Times New Roman"/>
          <w:sz w:val="24"/>
        </w:rPr>
        <w:t>2.7 Deployment topology</w:t>
      </w:r>
      <w:r>
        <w:tab/>
      </w:r>
      <w:r>
        <w:rPr>
          <w:rFonts w:ascii="Times New Roman" w:hAnsi="Times New Roman" w:eastAsia="Times New Roman" w:cs="Times New Roman"/>
          <w:sz w:val="24"/>
        </w:rPr>
        <w:t>14</w:t>
      </w:r>
    </w:p>
    <w:p>
      <w:pPr>
        <w:pStyle w:val="TOC1"/>
        <w:spacing w:before="0" w:after="45"/>
      </w:pPr>
      <w:r>
        <w:rPr>
          <w:rFonts w:ascii="Times New Roman" w:hAnsi="Times New Roman" w:eastAsia="Times New Roman" w:cs="Times New Roman"/>
          <w:b/>
          <w:bCs/>
          <w:sz w:val="24"/>
        </w:rPr>
        <w:t>Chapter 3 — Tool implementations</w:t>
      </w:r>
      <w:r>
        <w:tab/>
      </w:r>
      <w:r>
        <w:rPr>
          <w:rFonts w:ascii="Times New Roman" w:hAnsi="Times New Roman" w:eastAsia="Times New Roman" w:cs="Times New Roman"/>
          <w:b/>
          <w:bCs/>
          <w:sz w:val="24"/>
        </w:rPr>
        <w:t>16</w:t>
      </w:r>
    </w:p>
    <w:p>
      <w:pPr>
        <w:pStyle w:val="TOC2"/>
        <w:spacing w:before="0" w:after="45"/>
      </w:pPr>
      <w:r>
        <w:rPr>
          <w:rFonts w:ascii="Times New Roman" w:hAnsi="Times New Roman" w:eastAsia="Times New Roman" w:cs="Times New Roman"/>
          <w:sz w:val="24"/>
        </w:rPr>
        <w:t>3.1 Cross-cutting design</w:t>
      </w:r>
      <w:r>
        <w:tab/>
      </w:r>
      <w:r>
        <w:rPr>
          <w:rFonts w:ascii="Times New Roman" w:hAnsi="Times New Roman" w:eastAsia="Times New Roman" w:cs="Times New Roman"/>
          <w:sz w:val="24"/>
        </w:rPr>
        <w:t>16</w:t>
      </w:r>
    </w:p>
    <w:p>
      <w:pPr>
        <w:pStyle w:val="TOC2"/>
        <w:spacing w:before="0" w:after="45"/>
      </w:pPr>
      <w:r>
        <w:rPr>
          <w:rFonts w:ascii="Times New Roman" w:hAnsi="Times New Roman" w:eastAsia="Times New Roman" w:cs="Times New Roman"/>
          <w:sz w:val="24"/>
        </w:rPr>
        <w:t>3.2 Resume Analyzer</w:t>
      </w:r>
      <w:r>
        <w:tab/>
      </w:r>
      <w:r>
        <w:rPr>
          <w:rFonts w:ascii="Times New Roman" w:hAnsi="Times New Roman" w:eastAsia="Times New Roman" w:cs="Times New Roman"/>
          <w:sz w:val="24"/>
        </w:rPr>
        <w:t>18</w:t>
      </w:r>
    </w:p>
    <w:p>
      <w:pPr>
        <w:pStyle w:val="TOC2"/>
        <w:spacing w:before="0" w:after="45"/>
      </w:pPr>
      <w:r>
        <w:rPr>
          <w:rFonts w:ascii="Times New Roman" w:hAnsi="Times New Roman" w:eastAsia="Times New Roman" w:cs="Times New Roman"/>
          <w:sz w:val="24"/>
        </w:rPr>
        <w:t>3.3 Job Match</w:t>
      </w:r>
      <w:r>
        <w:tab/>
      </w:r>
      <w:r>
        <w:rPr>
          <w:rFonts w:ascii="Times New Roman" w:hAnsi="Times New Roman" w:eastAsia="Times New Roman" w:cs="Times New Roman"/>
          <w:sz w:val="24"/>
        </w:rPr>
        <w:t>19</w:t>
      </w:r>
    </w:p>
    <w:p>
      <w:pPr>
        <w:pStyle w:val="TOC2"/>
        <w:spacing w:before="0" w:after="45"/>
      </w:pPr>
      <w:r>
        <w:rPr>
          <w:rFonts w:ascii="Times New Roman" w:hAnsi="Times New Roman" w:eastAsia="Times New Roman" w:cs="Times New Roman"/>
          <w:sz w:val="24"/>
        </w:rPr>
        <w:t>3.4 Career Path</w:t>
      </w:r>
      <w:r>
        <w:tab/>
      </w:r>
      <w:r>
        <w:rPr>
          <w:rFonts w:ascii="Times New Roman" w:hAnsi="Times New Roman" w:eastAsia="Times New Roman" w:cs="Times New Roman"/>
          <w:sz w:val="24"/>
        </w:rPr>
        <w:t>20</w:t>
      </w:r>
    </w:p>
    <w:p>
      <w:pPr>
        <w:pStyle w:val="TOC2"/>
        <w:spacing w:before="0" w:after="45"/>
      </w:pPr>
      <w:r>
        <w:rPr>
          <w:rFonts w:ascii="Times New Roman" w:hAnsi="Times New Roman" w:eastAsia="Times New Roman" w:cs="Times New Roman"/>
          <w:sz w:val="24"/>
        </w:rPr>
        <w:t>3.5 Cover Letter</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3.6 Interview Q&amp;A</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3.7 Portfolio Planner</w:t>
      </w:r>
      <w:r>
        <w:tab/>
      </w:r>
      <w:r>
        <w:rPr>
          <w:rFonts w:ascii="Times New Roman" w:hAnsi="Times New Roman" w:eastAsia="Times New Roman" w:cs="Times New Roman"/>
          <w:sz w:val="24"/>
        </w:rPr>
        <w:t>21</w:t>
      </w:r>
    </w:p>
    <w:p>
      <w:pPr>
        <w:pStyle w:val="TOC2"/>
        <w:spacing w:before="0" w:after="45"/>
      </w:pPr>
      <w:r>
        <w:rPr>
          <w:rFonts w:ascii="Times New Roman" w:hAnsi="Times New Roman" w:eastAsia="Times New Roman" w:cs="Times New Roman"/>
          <w:sz w:val="24"/>
        </w:rPr>
        <w:t>3.8 Persistence, regeneration, and result history</w:t>
      </w:r>
      <w:r>
        <w:tab/>
      </w:r>
      <w:r>
        <w:rPr>
          <w:rFonts w:ascii="Times New Roman" w:hAnsi="Times New Roman" w:eastAsia="Times New Roman" w:cs="Times New Roman"/>
          <w:sz w:val="24"/>
        </w:rPr>
        <w:t>22</w:t>
      </w:r>
    </w:p>
    <w:p>
      <w:pPr>
        <w:pStyle w:val="TOC2"/>
        <w:spacing w:before="0" w:after="45"/>
      </w:pPr>
      <w:r>
        <w:rPr>
          <w:rFonts w:ascii="Times New Roman" w:hAnsi="Times New Roman" w:eastAsia="Times New Roman" w:cs="Times New Roman"/>
          <w:sz w:val="24"/>
        </w:rPr>
        <w:t>3.9 Reliability behaviour observed in production</w:t>
      </w:r>
      <w:r>
        <w:tab/>
      </w:r>
      <w:r>
        <w:rPr>
          <w:rFonts w:ascii="Times New Roman" w:hAnsi="Times New Roman" w:eastAsia="Times New Roman" w:cs="Times New Roman"/>
          <w:sz w:val="24"/>
        </w:rPr>
        <w:t>22</w:t>
      </w:r>
    </w:p>
    <w:p>
      <w:pPr>
        <w:pStyle w:val="TOC1"/>
        <w:spacing w:before="0" w:after="45"/>
      </w:pPr>
      <w:r>
        <w:rPr>
          <w:rFonts w:ascii="Times New Roman" w:hAnsi="Times New Roman" w:eastAsia="Times New Roman" w:cs="Times New Roman"/>
          <w:b/>
          <w:bCs/>
          <w:sz w:val="24"/>
        </w:rPr>
        <w:t>Chapter 4 — Conducted studies and results</w:t>
      </w:r>
      <w:r>
        <w:tab/>
      </w:r>
      <w:r>
        <w:rPr>
          <w:rFonts w:ascii="Times New Roman" w:hAnsi="Times New Roman" w:eastAsia="Times New Roman" w:cs="Times New Roman"/>
          <w:b/>
          <w:bCs/>
          <w:sz w:val="24"/>
        </w:rPr>
        <w:t>23</w:t>
      </w:r>
    </w:p>
    <w:p>
      <w:pPr>
        <w:pStyle w:val="TOC2"/>
        <w:spacing w:before="0" w:after="45"/>
      </w:pPr>
      <w:r>
        <w:rPr>
          <w:rFonts w:ascii="Times New Roman" w:hAnsi="Times New Roman" w:eastAsia="Times New Roman" w:cs="Times New Roman"/>
          <w:sz w:val="24"/>
        </w:rPr>
        <w:t>4.1 Methodology</w:t>
      </w:r>
      <w:r>
        <w:tab/>
      </w:r>
      <w:r>
        <w:rPr>
          <w:rFonts w:ascii="Times New Roman" w:hAnsi="Times New Roman" w:eastAsia="Times New Roman" w:cs="Times New Roman"/>
          <w:sz w:val="24"/>
        </w:rPr>
        <w:t>23</w:t>
      </w:r>
    </w:p>
    <w:p>
      <w:pPr>
        <w:pStyle w:val="TOC2"/>
        <w:spacing w:before="0" w:after="45"/>
      </w:pPr>
      <w:r>
        <w:rPr>
          <w:rFonts w:ascii="Times New Roman" w:hAnsi="Times New Roman" w:eastAsia="Times New Roman" w:cs="Times New Roman"/>
          <w:sz w:val="24"/>
        </w:rPr>
        <w:t>4.2 The strong heuristic (v2)</w:t>
      </w:r>
      <w:r>
        <w:tab/>
      </w:r>
      <w:r>
        <w:rPr>
          <w:rFonts w:ascii="Times New Roman" w:hAnsi="Times New Roman" w:eastAsia="Times New Roman" w:cs="Times New Roman"/>
          <w:sz w:val="24"/>
        </w:rPr>
        <w:t>25</w:t>
      </w:r>
    </w:p>
    <w:p>
      <w:pPr>
        <w:pStyle w:val="TOC2"/>
        <w:spacing w:before="0" w:after="45"/>
      </w:pPr>
      <w:r>
        <w:rPr>
          <w:rFonts w:ascii="Times New Roman" w:hAnsi="Times New Roman" w:eastAsia="Times New Roman" w:cs="Times New Roman"/>
          <w:sz w:val="24"/>
        </w:rPr>
        <w:t>4.3 Results</w:t>
      </w:r>
      <w:r>
        <w:tab/>
      </w:r>
      <w:r>
        <w:rPr>
          <w:rFonts w:ascii="Times New Roman" w:hAnsi="Times New Roman" w:eastAsia="Times New Roman" w:cs="Times New Roman"/>
          <w:sz w:val="24"/>
        </w:rPr>
        <w:t>27</w:t>
      </w:r>
    </w:p>
    <w:p>
      <w:pPr>
        <w:pStyle w:val="TOC2"/>
        <w:spacing w:before="0" w:after="45"/>
      </w:pPr>
      <w:r>
        <w:rPr>
          <w:rFonts w:ascii="Times New Roman" w:hAnsi="Times New Roman" w:eastAsia="Times New Roman" w:cs="Times New Roman"/>
          <w:sz w:val="24"/>
        </w:rPr>
        <w:t>4.4 Discussion and limitations</w:t>
      </w:r>
      <w:r>
        <w:tab/>
      </w:r>
      <w:r>
        <w:rPr>
          <w:rFonts w:ascii="Times New Roman" w:hAnsi="Times New Roman" w:eastAsia="Times New Roman" w:cs="Times New Roman"/>
          <w:sz w:val="24"/>
        </w:rPr>
        <w:t>33</w:t>
      </w:r>
    </w:p>
    <w:p>
      <w:pPr>
        <w:pStyle w:val="TOC1"/>
        <w:spacing w:before="0" w:after="45"/>
      </w:pPr>
      <w:r>
        <w:rPr>
          <w:rFonts w:ascii="Times New Roman" w:hAnsi="Times New Roman" w:eastAsia="Times New Roman" w:cs="Times New Roman"/>
          <w:b/>
          <w:bCs/>
          <w:sz w:val="24"/>
        </w:rPr>
        <w:t>Chapter 5 — Conclusions</w:t>
      </w:r>
      <w:r>
        <w:tab/>
      </w:r>
      <w:r>
        <w:rPr>
          <w:rFonts w:ascii="Times New Roman" w:hAnsi="Times New Roman" w:eastAsia="Times New Roman" w:cs="Times New Roman"/>
          <w:b/>
          <w:bCs/>
          <w:sz w:val="24"/>
        </w:rPr>
        <w:t>34</w:t>
      </w:r>
    </w:p>
    <w:p>
      <w:pPr>
        <w:pStyle w:val="TOC2"/>
        <w:spacing w:before="0" w:after="45"/>
      </w:pPr>
      <w:r>
        <w:rPr>
          <w:rFonts w:ascii="Times New Roman" w:hAnsi="Times New Roman" w:eastAsia="Times New Roman" w:cs="Times New Roman"/>
          <w:sz w:val="24"/>
        </w:rPr>
        <w:t>5.1 Results</w:t>
      </w:r>
      <w:r>
        <w:tab/>
      </w:r>
      <w:r>
        <w:rPr>
          <w:rFonts w:ascii="Times New Roman" w:hAnsi="Times New Roman" w:eastAsia="Times New Roman" w:cs="Times New Roman"/>
          <w:sz w:val="24"/>
        </w:rPr>
        <w:t>34</w:t>
      </w:r>
    </w:p>
    <w:p>
      <w:pPr>
        <w:pStyle w:val="TOC2"/>
        <w:spacing w:before="0" w:after="45"/>
      </w:pPr>
      <w:r>
        <w:rPr>
          <w:rFonts w:ascii="Times New Roman" w:hAnsi="Times New Roman" w:eastAsia="Times New Roman" w:cs="Times New Roman"/>
          <w:sz w:val="24"/>
        </w:rPr>
        <w:t>5.2 Limitations</w:t>
      </w:r>
      <w:r>
        <w:tab/>
      </w:r>
      <w:r>
        <w:rPr>
          <w:rFonts w:ascii="Times New Roman" w:hAnsi="Times New Roman" w:eastAsia="Times New Roman" w:cs="Times New Roman"/>
          <w:sz w:val="24"/>
        </w:rPr>
        <w:t>35</w:t>
      </w:r>
    </w:p>
    <w:p>
      <w:pPr>
        <w:pStyle w:val="TOC2"/>
        <w:spacing w:before="0" w:after="45"/>
      </w:pPr>
      <w:r>
        <w:rPr>
          <w:rFonts w:ascii="Times New Roman" w:hAnsi="Times New Roman" w:eastAsia="Times New Roman" w:cs="Times New Roman"/>
          <w:sz w:val="24"/>
        </w:rPr>
        <w:t>5.3 Future development</w:t>
      </w:r>
      <w:r>
        <w:tab/>
      </w:r>
      <w:r>
        <w:rPr>
          <w:rFonts w:ascii="Times New Roman" w:hAnsi="Times New Roman" w:eastAsia="Times New Roman" w:cs="Times New Roman"/>
          <w:sz w:val="24"/>
        </w:rPr>
        <w:t>36</w:t>
      </w:r>
    </w:p>
    <w:p>
      <w:pPr>
        <w:pStyle w:val="TOC1"/>
        <w:spacing w:before="0" w:after="45"/>
      </w:pPr>
      <w:r>
        <w:rPr>
          <w:rFonts w:ascii="Times New Roman" w:hAnsi="Times New Roman" w:eastAsia="Times New Roman" w:cs="Times New Roman"/>
          <w:b/>
          <w:bCs/>
          <w:sz w:val="24"/>
        </w:rPr>
        <w:t>Bibliography</w:t>
      </w:r>
      <w:r>
        <w:tab/>
      </w:r>
      <w:r>
        <w:rPr>
          <w:rFonts w:ascii="Times New Roman" w:hAnsi="Times New Roman" w:eastAsia="Times New Roman" w:cs="Times New Roman"/>
          <w:b/>
          <w:bCs/>
          <w:sz w:val="24"/>
        </w:rPr>
        <w:t>38</w:t>
      </w:r>
    </w:p>
    <w:p>
      <w:pPr>
        <w:pStyle w:val="TOC1"/>
        <w:spacing w:before="0" w:after="45"/>
      </w:pPr>
      <w:r>
        <w:rPr>
          <w:rFonts w:ascii="Times New Roman" w:hAnsi="Times New Roman" w:eastAsia="Times New Roman" w:cs="Times New Roman"/>
          <w:b/>
          <w:bCs/>
          <w:sz w:val="24"/>
        </w:rPr>
        <w:t>Appendix A — Source listings</w:t>
      </w:r>
      <w:r>
        <w:tab/>
      </w:r>
      <w:r>
        <w:rPr>
          <w:rFonts w:ascii="Times New Roman" w:hAnsi="Times New Roman" w:eastAsia="Times New Roman" w:cs="Times New Roman"/>
          <w:b/>
          <w:bCs/>
          <w:sz w:val="24"/>
        </w:rPr>
        <w:t>41</w:t>
      </w:r>
    </w:p>
    <w:p>
      <w:pPr>
        <w:pStyle w:val="TOC1"/>
        <w:spacing w:before="0" w:after="45"/>
      </w:pPr>
      <w:r>
        <w:rPr>
          <w:rFonts w:ascii="Times New Roman" w:hAnsi="Times New Roman" w:eastAsia="Times New Roman" w:cs="Times New Roman"/>
          <w:b/>
          <w:bCs/>
          <w:sz w:val="24"/>
        </w:rPr>
        <w:t>Appendix B — Evaluation dataset description</w:t>
      </w:r>
      <w:r>
        <w:tab/>
      </w:r>
      <w:r>
        <w:rPr>
          <w:rFonts w:ascii="Times New Roman" w:hAnsi="Times New Roman" w:eastAsia="Times New Roman" w:cs="Times New Roman"/>
          <w:b/>
          <w:bCs/>
          <w:sz w:val="24"/>
        </w:rPr>
        <w:t>43</w:t>
      </w:r>
    </w:p>
    <w:p>
      <w:pPr>
        <w:pStyle w:val="TOC1"/>
        <w:spacing w:before="0" w:after="45"/>
      </w:pPr>
      <w:r>
        <w:rPr>
          <w:rFonts w:ascii="Times New Roman" w:hAnsi="Times New Roman" w:eastAsia="Times New Roman" w:cs="Times New Roman"/>
          <w:b/>
          <w:bCs/>
          <w:sz w:val="24"/>
        </w:rPr>
        <w:t>Appendix C — Screenshots of the running system</w:t>
      </w:r>
      <w:r>
        <w:tab/>
      </w:r>
      <w:r>
        <w:rPr>
          <w:rFonts w:ascii="Times New Roman" w:hAnsi="Times New Roman" w:eastAsia="Times New Roman" w:cs="Times New Roman"/>
          <w:b/>
          <w:bCs/>
          <w:sz w:val="24"/>
        </w:rPr>
        <w:t>44</w:t>
      </w:r>
    </w:p>
    <w:p>
      <w:pPr>
        <w:pStyle w:val="TOC1"/>
        <w:spacing w:before="0" w:after="45"/>
        <w:sectPr>
          <w:type w:val="nextPage"/>
          <w:footerReference w:type="default" r:id="rId154"/>
          <w:pgSz w:w="11906" w:h="16838"/>
          <w:pgMar w:top="1417" w:right="1417" w:bottom="1417" w:left="1417" w:header="709" w:footer="709" w:gutter="0"/>
          <w:pgNumType w:fmt="lowerRoman" w:start="1"/>
          <w:cols w:space="708"/>
          <w:docGrid w:linePitch="360"/>
        </w:sectPr>
      </w:pPr>
      <w:r>
        <w:rPr>
          <w:rFonts w:ascii="Times New Roman" w:hAnsi="Times New Roman" w:eastAsia="Times New Roman" w:cs="Times New Roman"/>
          <w:b/>
          <w:bCs/>
          <w:sz w:val="24"/>
        </w:rPr>
        <w:t>Appendix D — Configuration reference</w:t>
      </w:r>
      <w:r>
        <w:tab/>
      </w:r>
      <w:r>
        <w:rPr>
          <w:rFonts w:ascii="Times New Roman" w:hAnsi="Times New Roman" w:eastAsia="Times New Roman" w:cs="Times New Roman"/>
          <w:b/>
          <w:bCs/>
          <w:sz w:val="24"/>
        </w:rPr>
        <w:t>47</w:t>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spacing w:line="312" w:lineRule="auto" w:after="8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tens of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much of the lexical and structural evidence that automated screening systems extract during the first pass over a resume.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shows that LLM-based agents can accelerate resume-screening workflows relative to manual review [16], while context-aware multi-agent systems produce explainable candidate assessments aligned against HR ratings [17]. A complementary semantic-modelling and feedback-loop architecture for resume enhancement is reported in [19]. Resume2Vec [18] documents improved resume/job-description ranking over conventional ATS baselines. The cost of these methods is a per-call charge to a third-party API, latency on the order of one to several seconds per analysis, and an opaque reasoning process that is difficult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spanning six role tracks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four future-work directions: Polish-language coverage, a sentence-transformer intermediate tier [20, 21], retrieval-augmented grounding for LLM outputs [25], and a Redis-backed shared cache.</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functional requirements are summarised in Table 2.1; each row corresponds to one of the six user-facing tools whose implementation is described in Chapter 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2.1: Functional requirements F1–F6, one per user-facing tool.</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680"/>
        <w:gridCol w:w="1644"/>
        <w:gridCol w:w="6520"/>
      </w:tblGrid>
      <w:tr>
        <w:trPr>
          <w:tblHeader w:val="on"/>
        </w:trPr>
        <w:tc>
          <w:tcPr>
            <w:tcW w:type="dxa" w:w="68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ID</w:t>
            </w:r>
          </w:p>
        </w:tc>
        <w:tc>
          <w:tcPr>
            <w:tcW w:type="dxa" w:w="164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Tool</w:t>
            </w:r>
          </w:p>
        </w:tc>
        <w:tc>
          <w:tcPr>
            <w:tcW w:type="dxa" w:w="652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Required behaviour</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F1</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Resume Analyzer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free-text or uploaded resume, return a structured assessment with overall score, per-category sub-scores, identified issues, prioritised actions, and detected strengths.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F2</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Job Match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(text or URL), return a match score, matched keywords, missing keywords, a recruiter-style verdict, and a list of evidence-grounded action items.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F3</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Career Path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optional preferences, return a ranked list of suggested career paths with rationale, requisite skills, and a notional progression timeline.</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F4</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Cover Letter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return a tailored cover letter with explicit structural sections that the user can copy and adapt.</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F5</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Interview Q&amp;A</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job description, return a curated list of likely interview questions clustered by category (behavioural, technical, role-specific), each with a coaching note.</w:t>
            </w:r>
          </w:p>
        </w:tc>
      </w:tr>
      <w:tr>
        <w:tc>
          <w:tcPr>
            <w:tcW w:type="dxa" w:w="68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F6</w:t>
            </w:r>
          </w:p>
        </w:tc>
        <w:tc>
          <w:tcPr>
            <w:tcW w:type="dxa" w:w="164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Portfolio Planner</w:t>
            </w:r>
          </w:p>
        </w:tc>
        <w:tc>
          <w:tcPr>
            <w:tcW w:type="dxa" w:w="652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Accept a resume and a target role, return a prioritised list of skill gaps and concrete artefact ideas (project briefs, contributions, certifications) that would close those gaps.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2.2.</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2.2: System technology stack. Rationale entries record the specific property of each choice that makes it suitable for the thesis-scope deployment.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Backend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FastAPI 0.115</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Python-native, asynchronous, automatic OpenAPI generation, Pydantic-driven schema validation.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ORM and migrations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SQLAlchemy 2.0 +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Mature, type-safe in 2.0, integrates with FastAPI’s dependency injection.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PostgreSQL 16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Single-node managed Postgres is sufficient for the workload; no sharding required.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Lowest cost per 1 M tokens in the production-quality tier at the time of selection; native asynchronous client; reliable structured-output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Frontend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React 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Concurrent rendering, automatic batching, and the most mature component ecosystem.</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Routing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TanStack Router via TanStack Start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File-based routes, type-safe links, search-param state co-location.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Build tool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Sub-second hot module replacement during development.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Styling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Tailwind 4 + Radix UI primitives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Utility-first CSS without a parallel design-token system; Radix provides accessibility-correct primitives for menus, dialogs, and toggles.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Animation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Declarative timeline animations for the input page heroes.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 in HttpOnly cookies + Google OAuth (authlib)</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No client-readable tokens; standard refresh-rotation pattern.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Transactional email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Resend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Used only for password-reset emails (no welcome or marketing email is sent in V1).</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Hosting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Railway (backend, frontend, Postgres)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Single dashboard, single billing relationship, native GitHub deploy hooks.</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Observability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Railway built-in metrics + Sentry free tier</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Sufficient for thesis-scope traffic; can be extended to a paid tier without code changes.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12" w:lineRule="auto" w:after="8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job_posts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 between unrelated tool runs.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2.3: Primary persistence tables. The schema is intentionally narrow: every row in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tool_runs</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is the unit of audit and history, and the regeneration parent pointer plus the linked-context list together carry the workflow graph without requiring an additional table.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12" w:lineRule="auto" w:after="8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12" w:lineRule="auto" w:after="8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12" w:lineRule="auto" w:after="8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12" w:lineRule="auto" w:after="8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12" w:lineRule="auto" w:after="8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Section 5.3 documents the Redis-backed shared cache as the planned operational upgrade.</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share negligible content vocabulary (per-track residual overlap of 0–6 tokens), with per-pair overlap bounded as reported in Section 4.1.4.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following Cohen’s conventional benchmarks for large effects in behavioural research [26],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[28] 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τ-b. Table 4.1 reports the post-mitigation values computed on the disjoint-vocabulary dataset described in Section 4.1.1 alongside the pre-mitigation values from the archived leakage-version run, for an explicit before/after comparison.</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4.1: Overall agreement between blended and fully heuristic modes (n = 100 pairs). Pearson confidence intervals are computed by cluster bootstrap on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with 2 000 resamples and seed = 42, addressing threat T3 of Section 4.1.4.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Post-mitigation (disjoint)</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Pre-mitigation (leakage version)</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Interpretation</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0.727 [95% CI 0.609, 0.814]</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Linear association between mode scores.</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Spearman ρ</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0.847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0.708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Rank agreement; the property most relevant to screening use.</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Kendall τ-b</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0.669</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0.526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Concordance-based rank agreement.</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4.2: Per-sub-score correlations between blended and heuristic-only modes, post-mitigation versus archived leakage version. Bold entries mark axes above the 0.7 practical interpretation anchor introduced in Section 4.1.2.</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1927"/>
        <w:gridCol w:w="1984"/>
        <w:gridCol w:w="1984"/>
        <w:gridCol w:w="1360"/>
        <w:gridCol w:w="1360"/>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Sub-score</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Kendall τ-b</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Keywords</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0.937</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0.941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0.946</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0.845</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Impact</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0.561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0.447</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0.332</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Structure</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0.440</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0.865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0.804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Clarity</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0.395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0.373</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0.289</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Completeness</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0.756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0.691</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0.793</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0.689</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Pair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95% CI (cluster bootstrap)</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Blended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0.836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[0.762, 0.896]</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0.847</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LLM-only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0.627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Blended vs LLM-only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0.952</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[0.923, 0.973]</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12" w:lineRule="auto" w:after="80"/>
        <w:ind w:firstLine="0"/>
        <w:jc w:val="center"/>
      </w:pPr>
      <w:r>
        <w:rPr>
          <w:rFonts w:ascii="Times New Roman" w:hAnsi="Times New Roman" w:eastAsia="Times New Roman" w:cs="Times New Roman"/>
          <w:i/>
          <w:color w:val="000000"/>
          <w:sz w:val="24"/>
        </w:rP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4.4: Overall score distribution per mode (n = 100 pairs). The KS distance compares the empirical cumulative distribution functions of the two modes; smaller values indicate more similar distributions.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71.84</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72.66</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Standard deviation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7.08</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73.00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74.50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58.00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59.00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81.00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82.00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KS distance vs other mode</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0.100</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0.100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4.5: Service-side latency for a single tool invocation, in milliseconds, with the per-row blended-to-heuristic ratio. The maximum-observed row reflects one transient LLM retry absorbed by the four-retry exponential-backoff policy described in Section 3.1.1.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Metric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(ms)</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(ms)</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Ratio</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18 232.1</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25.5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714×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24 713.7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32.1</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770×</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Maximum observed</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65 926.6</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34.1</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1 933×</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transient LLM retry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Average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$0.00038</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95th-percentile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$0.00042</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Projected monthly cost at 1 000 analyses/day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$11.43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4.7: Sensitivity of the blended-versus-heuristic agreement to the score-combination weights. The Δ row shows the absolute movement after switching from the author-selected weighting to equal weights.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Weighting</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Author-selected (0.30, 0.25, 0.15, 0.15, 0.15)</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0.836</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0.847</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Equal (0.20 across all five)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0.813</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0.823</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Δ</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−0.024</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keepLines/>
        <w:spacing w:line="312" w:lineRule="auto" w:after="80"/>
        <w:ind w:firstLine="0"/>
        <w:jc w:val="center"/>
      </w:pPr>
      <w:r>
        <w:rPr>
          <w:rFonts w:ascii="Times New Roman" w:hAnsi="Times New Roman" w:eastAsia="Times New Roman" w:cs="Times New Roman"/>
          <w:i/>
          <w:color w:val="000000"/>
          <w:sz w:val="24"/>
        </w:rPr>
        <w:t xml:space="preserve">Table 4.8 reports the Pearson correlation against the post-hoc LLM-only score for each variant, with the cluster-bootstrap interval and the absolute delta against the v2 baseline.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4.8: Stage H ablation. Pearson correlation between each variant and the post-hoc LLM-only score, with cluster-bootstrap 95% confidence intervals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clusters, 2 000 resamples, seed = 42). Bold rows mark the v2 baseline and the full v3 stack endpoints of the ablation.</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2891"/>
        <w:gridCol w:w="1814"/>
        <w:gridCol w:w="1530"/>
        <w:gridCol w:w="1247"/>
        <w:gridCol w:w="1134"/>
      </w:tblGrid>
      <w:tr>
        <w:trPr>
          <w:tblHeader w:val="on"/>
        </w:trPr>
        <w:tc>
          <w:tcPr>
            <w:tcW w:type="dxa" w:w="289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Variant</w:t>
            </w:r>
          </w:p>
        </w:tc>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5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95% CI</w:t>
            </w:r>
          </w:p>
        </w:tc>
        <w:tc>
          <w:tcPr>
            <w:tcW w:type="dxa" w:w="124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Spearman ρ</w:t>
            </w:r>
          </w:p>
        </w:tc>
        <w:tc>
          <w:tcPr>
            <w:tcW w:type="dxa" w:w="113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Δ vs v2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heuristic-v2 (BM25 + ESCO + fuzzy)</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baseline</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heuristic-v3 with no Stage H features</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+0.000</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Bigram/trigram matching (H.4)</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0.629</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0.583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SBERT semantic fallback (H.1)</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0.623</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[0.452, 0.759]</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0.573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−0.004</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STAR detection (H.2)</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0.621</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[0.463, 0.755]</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−0.006</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ESCO expansion 107 → 354 (H.5)</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0.617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[0.461, 0.752]</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0.578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−0.009</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Cross-axis coherence (H.3)</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0.605</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[0.438, 0.746]</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0.568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−0.022</w:t>
            </w:r>
          </w:p>
        </w:tc>
      </w:tr>
      <w:tr>
        <w:tc>
          <w:tcPr>
            <w:tcW w:type="dxa" w:w="289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heuristic-v3 full stack</w:t>
            </w:r>
          </w:p>
        </w:tc>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bCs/>
                <w:color w:val="000000"/>
                <w:sz w:val="18"/>
              </w:rPr>
              <w:t xml:space="preserve">0.590</w:t>
            </w:r>
          </w:p>
        </w:tc>
        <w:tc>
          <w:tcPr>
            <w:tcW w:type="dxa" w:w="15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[0.415, 0.735]</w:t>
            </w:r>
          </w:p>
        </w:tc>
        <w:tc>
          <w:tcPr>
            <w:tcW w:type="dxa" w:w="124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0.556</w:t>
            </w:r>
          </w:p>
        </w:tc>
        <w:tc>
          <w:tcPr>
            <w:tcW w:type="dxa" w:w="113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−0.036</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 when all five gated signals fire simultaneously.</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discriminative power: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 cross-model comparisons remain a known limitation of LLM-as-judge evaluations [29].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spacing w:line="312" w:lineRule="auto" w:after="80"/>
        <w:ind w:firstLine="283"/>
        <w:jc w:val="both"/>
      </w:pPr>
      <w:r>
        <w:rPr>
          <w:rFonts w:ascii="Times New Roman" w:hAnsi="Times New Roman" w:eastAsia="Times New Roman" w:cs="Times New Roman"/>
          <w:color w:val="000000"/>
          <w:sz w:val="24"/>
        </w:rPr>
        <w:t xml:space="preserve">Chapter 5 — Conclusions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312" w:lineRule="auto" w:after="80"/>
        <w:ind w:firstLine="283"/>
        <w:jc w:val="both"/>
      </w:pPr>
      <w:r>
        <w:rPr>
          <w:rFonts w:ascii="Times New Roman" w:hAnsi="Times New Roman" w:eastAsia="Times New Roman" w:cs="Times New Roman"/>
          <w:color w:val="000000"/>
          <w:sz w:val="24"/>
        </w:rPr>
        <w:t xml:space="preserve">5.1 Results</w:t>
      </w:r>
    </w:p>
    <w:p>
      <w:pPr>
        <w:pStyle w:val="FirstParagraph"/>
        <w:spacing w:line="312" w:lineRule="auto" w:after="8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4.3 reported four metric families measured across 100 (resume, job-description) pairs on the post-mitigation disjoint-vocabulary dataset. On the overall score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0.470, 0.758]; this is the cross-mode agreement after controlling for the 0.40 heuristic share that the blended mode carries by construction. The agreement is dominated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where both modes consume the same evidence, and is weakest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spacing w:line="312" w:lineRule="auto" w:after="80"/>
        <w:ind w:firstLine="283"/>
        <w:jc w:val="both"/>
      </w:pPr>
      <w:r>
        <w:rPr>
          <w:rFonts w:ascii="Times New Roman" w:hAnsi="Times New Roman" w:eastAsia="Times New Roman" w:cs="Times New Roman"/>
          <w:color w:val="000000"/>
          <w:sz w:val="24"/>
        </w:rP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spacing w:line="312" w:lineRule="auto" w:after="80"/>
        <w:ind w:firstLine="283"/>
        <w:jc w:val="both"/>
      </w:pPr>
      <w:r>
        <w:rPr>
          <w:rFonts w:ascii="Times New Roman" w:hAnsi="Times New Roman" w:eastAsia="Times New Roman" w:cs="Times New Roman"/>
          <w:color w:val="000000"/>
          <w:sz w:val="24"/>
        </w:rP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but strong enough on aggregate ranking and on legitimate skill-overlap evidence (keywords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to justify its place in the deployed system as both an emergency fallback and a runtime-switchable mode for cost-sensitive or audit-sensitive deployments.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Validity-threat closure reported in 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Three measurements address threats T1, T2, and T3 of Section 4.1.4, and their numerical results are reported inline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LLM-only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 pair, recovered post-hoc from the locked-payload identity rather than from a second LLM rerun, is reported in Section 4.3.1’ and addresses threat T2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(LLM-only, heuristic) = 0.627 [95% CI 0.470, 0.758]).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vocabulary-disjoint regeneration of the synthetic benchmark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by-resume cluster-bootstrap confidence intervals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all headline correlations, computed by resampling resume identifiers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are reported alongside the point estimates in Sections 4.3.1 and 4.3.1’ and address T3. The three closures together support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strong-agreement-within-this-synthetic-evaluation-set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in Section 4.4. T4 (post-hoc heuristic design) remains a disclosed limitation rather than a closed one.</w:t>
      </w:r>
    </w:p>
    <w:bookmarkEnd w:id="115"/>
    <w:bookmarkStart w:id="116" w:name="limitations"/>
    <w:p>
      <w:pPr>
        <w:pStyle w:val="Heading2"/>
        <w:spacing w:line="312" w:lineRule="auto" w:after="80"/>
        <w:ind w:firstLine="283"/>
        <w:jc w:val="both"/>
      </w:pPr>
      <w:r>
        <w:rPr>
          <w:rFonts w:ascii="Times New Roman" w:hAnsi="Times New Roman" w:eastAsia="Times New Roman" w:cs="Times New Roman"/>
          <w:color w:val="000000"/>
          <w:sz w:val="24"/>
        </w:rPr>
        <w:t xml:space="preserve">5.2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312" w:lineRule="auto" w:after="8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312" w:lineRule="auto" w:after="8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312" w:lineRule="auto" w:after="8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312" w:lineRule="auto" w:after="8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spacing w:line="312" w:lineRule="auto" w:after="80"/>
        <w:ind w:firstLine="283"/>
        <w:jc w:val="both"/>
      </w:pPr>
      <w:r>
        <w:rPr>
          <w:rFonts w:ascii="Times New Roman" w:hAnsi="Times New Roman" w:eastAsia="Times New Roman" w:cs="Times New Roman"/>
          <w:color w:val="000000"/>
          <w:sz w:val="24"/>
        </w:rPr>
        <w:t xml:space="preserve">5.3 Future development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312" w:lineRule="auto" w:after="8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312" w:lineRule="auto" w:after="8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four future-work directions, no single ranking holds across all the criteria that would matter. The sentence-transformer intermediate tier is the most technically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probed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the four: Stage H of this thesis (Section 4.3.6) implemented an SBERT semantic-fallback layer alongside four other classical-IR enhancements and reported a controlled null on the synthetic evaluation set, with the SBERT-only variant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and the full-stack v3 configuration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spacing w:line="312" w:lineRule="auto" w:after="8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spacing w:line="312" w:lineRule="auto" w:after="80"/>
        <w:ind w:firstLine="283"/>
        <w:jc w:val="both"/>
      </w:pP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World Economic Forum,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Future of Jobs Report 2023</w:t>
      </w:r>
      <w:r>
        <w:rPr>
          <w:rFonts w:ascii="Times New Roman" w:hAnsi="Times New Roman" w:eastAsia="Times New Roman" w:cs="Times New Roman"/>
          <w:color w:val="000000"/>
          <w:sz w:val="24"/>
        </w:rPr>
        <w:t xml:space="preserve">. Geneva: WEF, May 2023. https://www.weforum.org/publications/the-future-of-jobs-report-2023/</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statistical-and-evaluation-methodology"/>
    <w:p>
      <w:pPr>
        <w:pStyle w:val="Heading2"/>
        <w:spacing w:line="312" w:lineRule="auto" w:after="80"/>
        <w:ind w:firstLine="283"/>
        <w:jc w:val="both"/>
      </w:pPr>
      <w:r>
        <w:rPr>
          <w:rFonts w:ascii="Times New Roman" w:hAnsi="Times New Roman" w:eastAsia="Times New Roman" w:cs="Times New Roman"/>
          <w:color w:val="000000"/>
          <w:sz w:val="24"/>
        </w:rPr>
        <w:t xml:space="preserve">10. Statistical and evaluation methodology</w:t>
      </w:r>
    </w:p>
    <w:p>
      <w:pPr>
        <w:pStyle w:val="FirstParagraph"/>
        <w:spacing w:line="312" w:lineRule="auto" w:after="80"/>
        <w:jc w:val="both"/>
      </w:pPr>
      <w:r>
        <w:rPr>
          <w:rFonts w:ascii="Times New Roman" w:hAnsi="Times New Roman" w:eastAsia="Times New Roman" w:cs="Times New Roman"/>
          <w:color w:val="000000"/>
          <w:sz w:val="24"/>
        </w:rPr>
        <w:t xml:space="preserve">[26] J. Cohen,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Statistical Power Analysis for the Behavioral Sciences</w:t>
      </w:r>
      <w:r>
        <w:rPr>
          <w:rFonts w:ascii="Times New Roman" w:hAnsi="Times New Roman" w:eastAsia="Times New Roman" w:cs="Times New Roman"/>
          <w:color w:val="000000"/>
          <w:sz w:val="24"/>
        </w:rPr>
        <w:t xml:space="preserve">, 2nd ed. Hillsdale, NJ: Lawrence Erlbaum, 1988.</w:t>
      </w:r>
    </w:p>
    <w:p>
      <w:pPr>
        <w:pStyle w:val="BodyText"/>
        <w:spacing w:line="312" w:lineRule="auto" w:after="80"/>
        <w:jc w:val="both"/>
      </w:pPr>
      <w:r>
        <w:rPr>
          <w:rFonts w:ascii="Times New Roman" w:hAnsi="Times New Roman" w:eastAsia="Times New Roman" w:cs="Times New Roman"/>
          <w:color w:val="000000"/>
          <w:sz w:val="24"/>
        </w:rPr>
        <w:t xml:space="preserve">[27] T. D. Cook and D. T. Campbell,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Quasi-Experimentation: Design and Analysis Issues for Field Settings</w:t>
      </w:r>
      <w:r>
        <w:rPr>
          <w:rFonts w:ascii="Times New Roman" w:hAnsi="Times New Roman" w:eastAsia="Times New Roman" w:cs="Times New Roman"/>
          <w:color w:val="000000"/>
          <w:sz w:val="24"/>
        </w:rPr>
        <w:t xml:space="preserve">. Boston, MA: Houghton Mifflin, 1979.</w:t>
      </w:r>
    </w:p>
    <w:p>
      <w:pPr>
        <w:pStyle w:val="BodyText"/>
        <w:spacing w:line="312" w:lineRule="auto" w:after="80"/>
        <w:jc w:val="both"/>
      </w:pPr>
      <w:r>
        <w:rPr>
          <w:rFonts w:ascii="Times New Roman" w:hAnsi="Times New Roman" w:eastAsia="Times New Roman" w:cs="Times New Roman"/>
          <w:color w:val="000000"/>
          <w:sz w:val="24"/>
        </w:rPr>
        <w:t xml:space="preserve">[28] A. C. Cameron, J. B. Gelbach, and D. L. Miller,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“Bootstrap-based improvements for inference with clustered errors,”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Review of Economics and Statistics</w:t>
      </w:r>
      <w:r>
        <w:rPr>
          <w:rFonts w:ascii="Times New Roman" w:hAnsi="Times New Roman" w:eastAsia="Times New Roman" w:cs="Times New Roman"/>
          <w:color w:val="000000"/>
          <w:sz w:val="24"/>
        </w:rPr>
        <w:t xml:space="preserve">, vol. 90, no. 3, pp. 414–427, 2008. https://doi.org/10.1162/rest.90.3.414</w:t>
      </w:r>
    </w:p>
    <w:p>
      <w:pPr>
        <w:pStyle w:val="BodyText"/>
        <w:spacing w:line="312" w:lineRule="auto" w:after="80"/>
        <w:jc w:val="both"/>
      </w:pPr>
      <w:r>
        <w:rPr>
          <w:rFonts w:ascii="Times New Roman" w:hAnsi="Times New Roman" w:eastAsia="Times New Roman" w:cs="Times New Roman"/>
          <w:color w:val="000000"/>
          <w:sz w:val="24"/>
        </w:rPr>
        <w:t xml:space="preserve">[29] L. Zheng, W.-L. Chiang, Y. Sheng, S. Zhuang, Z. Wu, Y. Zhuang, Z. Lin, Z. Li, D. Li, E. P. Xing, H. Zhang, J. E. Gonzalez, and I. Stoica,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“Judging LLM-as-a-Judge with MT-Bench and Chatbot Arena,”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Advances in Neural Information Processing Systems</w:t>
      </w:r>
      <w:r>
        <w:rPr>
          <w:rFonts w:ascii="Times New Roman" w:hAnsi="Times New Roman" w:eastAsia="Times New Roman" w:cs="Times New Roman"/>
          <w:color w:val="000000"/>
          <w:sz w:val="24"/>
        </w:rPr>
        <w:t xml:space="preserve">, vol. 36, 2023. https://arxiv.org/abs/2306.05685</w:t>
      </w:r>
    </w:p>
    <w:bookmarkEnd w:id="128"/>
    <w:bookmarkStart w:id="129"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11.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9"/>
    <w:bookmarkEnd w:id="130"/>
    <w:bookmarkStart w:id="162" w:name="appendices"/>
    <w:p>
      <w:pPr>
        <w:pStyle w:val="Heading1"/>
        <w:spacing w:line="312" w:lineRule="auto" w:after="80"/>
        <w:ind w:firstLine="283"/>
        <w:jc w:val="both"/>
      </w:pPr>
      <w:r>
        <w:rPr>
          <w:rFonts w:ascii="Times New Roman" w:hAnsi="Times New Roman" w:eastAsia="Times New Roman" w:cs="Times New Roman"/>
          <w:color w:val="000000"/>
          <w:sz w:val="24"/>
        </w:rPr>
        <w:t xml:space="preserve">Appendices</w:t>
      </w:r>
    </w:p>
    <w:bookmarkStart w:id="135" w:name="appendix-a-source-listings"/>
    <w:p>
      <w:pPr>
        <w:pStyle w:val="Heading2"/>
        <w:spacing w:line="312" w:lineRule="auto" w:after="80"/>
        <w:ind w:firstLine="283"/>
        <w:jc w:val="both"/>
      </w:pP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build_resume_prepass_v2(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target_role_label: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ResumePrepassV2: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text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resume_text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sections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_detect_sections(text)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bullets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[m.group(</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_BULLET_RE.finditer(text)]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tokens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_tokenize(text)</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resume_skills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_normalise_skills(text)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missing: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matched_locations: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fuzzy_count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(full body in the source file; see Section 4.2 of the thesis for the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accompanying methodological description)</w:t>
      </w:r>
    </w:p>
    <w:bookmarkEnd w:id="131"/>
    <w:bookmarkStart w:id="132"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_bm25_score(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int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query_terms: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idf: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avg_dl: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350.0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k1: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1.5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0.75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"""Standard BM25 score of a query against a single document's term-frequencies."""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sum</w:t>
      </w:r>
      <w:r>
        <w:rPr>
          <w:rStyle w:val="NormalTok"/>
          <w:rFonts w:ascii="Courier New" w:hAnsi="Courier New" w:eastAsia="Courier New" w:cs="Courier New"/>
          <w:b w:val="0"/>
          <w:i w:val="0"/>
          <w:color w:val="000000"/>
          <w:sz w:val="19"/>
        </w:rPr>
        <w:t xml:space="preserve">(resume_tf.values())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term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resume_tf.get(term,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continue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idf.get(term, math.log((</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norm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avg_dl))</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norm</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score</w:t>
      </w:r>
    </w:p>
    <w:bookmarkEnd w:id="132"/>
    <w:bookmarkStart w:id="133"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keepNext w:val="0"/>
        <w:keepLines/>
        <w:spacing w:line="240" w:lineRule="auto" w:before="40" w:after="40"/>
        <w:ind w:firstLine="0" w:left="227" w:right="227"/>
        <w:jc w:val="left"/>
        <w:shd w:val="clear" w:color="auto" w:fill="F5F5F5"/>
      </w:pPr>
      <w:r>
        <w:rPr>
          <w:rStyle w:val="NormalTok"/>
          <w:rFonts w:ascii="Courier New" w:hAnsi="Courier New" w:eastAsia="Courier New" w:cs="Courier New"/>
          <w:b w:val="0"/>
          <w:i w:val="0"/>
          <w:color w:val="000000"/>
          <w:sz w:val="19"/>
        </w:rPr>
        <w:t xml:space="preserve">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Literal[</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_VALID_MODES: </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_initial_mode: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configured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getattr</w:t>
      </w:r>
      <w:r>
        <w:rPr>
          <w:rStyle w:val="NormalTok"/>
          <w:rFonts w:ascii="Courier New" w:hAnsi="Courier New" w:eastAsia="Courier New" w:cs="Courier New"/>
          <w:b w:val="0"/>
          <w:i w:val="0"/>
          <w:color w:val="000000"/>
          <w:sz w:val="19"/>
        </w:rPr>
        <w:t xml:space="preserve">(settings, </w:t>
      </w:r>
      <w:r>
        <w:rPr>
          <w:rStyle w:val="StringTok"/>
          <w:rFonts w:ascii="Courier New" w:hAnsi="Courier New" w:eastAsia="Courier New" w:cs="Courier New"/>
          <w:b w:val="0"/>
          <w:i w:val="0"/>
          <w:color w:val="000000"/>
          <w:sz w:val="19"/>
        </w:rPr>
        <w:t xml:space="preserve">"SCORING_MODE"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configured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_initial_mode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configured</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_current_mode: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_initial_mode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get_scoring_mode()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set_scoring_mode(mode: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global</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mode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raise</w:t>
      </w:r>
      <w:r>
        <w:rPr>
          <w:rStyle w:val="NormalTok"/>
          <w:rFonts w:ascii="Courier New" w:hAnsi="Courier New" w:eastAsia="Courier New" w:cs="Courier New"/>
          <w:b w:val="0"/>
          <w:i w:val="0"/>
          <w:color w:val="000000"/>
          <w:sz w:val="19"/>
        </w:rPr>
        <w:t xml:space="preserve"> </w:t>
      </w:r>
      <w:r>
        <w:rPr>
          <w:rStyle w:val="PreprocessorTok"/>
          <w:rFonts w:ascii="Courier New" w:hAnsi="Courier New" w:eastAsia="Courier New" w:cs="Courier New"/>
          <w:b w:val="0"/>
          <w:i w:val="0"/>
          <w:color w:val="000000"/>
          <w:sz w:val="19"/>
        </w:rPr>
        <w:t xml:space="preserve">ValueError</w:t>
      </w:r>
      <w:r>
        <w:rPr>
          <w:rStyle w:val="NormalTok"/>
          <w:rFonts w:ascii="Courier New" w:hAnsi="Courier New" w:eastAsia="Courier New" w:cs="Courier New"/>
          <w:b w:val="0"/>
          <w:i w:val="0"/>
          <w:color w:val="000000"/>
          <w:sz w:val="19"/>
        </w:rPr>
        <w:t xml:space="preserve">(</w:t>
      </w:r>
      <w:r>
        <w:rPr>
          <w:rStyle w:val="SpecialStringTok"/>
          <w:rFonts w:ascii="Courier New" w:hAnsi="Courier New" w:eastAsia="Courier New" w:cs="Courier New"/>
          <w:b w:val="0"/>
          <w:i w:val="0"/>
          <w:color w:val="000000"/>
          <w:sz w:val="19"/>
        </w:rPr>
        <w:t xml:space="preserve">f"unknown scoring mode: </w:t>
      </w:r>
      <w:r>
        <w:rPr>
          <w:rStyle w:val="SpecialCha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mode</w:t>
      </w:r>
      <w:r>
        <w:rPr>
          <w:rStyle w:val="SpecialCharTok"/>
          <w:rFonts w:ascii="Courier New" w:hAnsi="Courier New" w:eastAsia="Courier New" w:cs="Courier New"/>
          <w:b w:val="0"/>
          <w:i w:val="0"/>
          <w:color w:val="000000"/>
          <w:sz w:val="19"/>
        </w:rPr>
        <w:t xml:space="preserve">!r}</w:t>
      </w:r>
      <w:r>
        <w:rPr>
          <w:rStyle w:val="SpecialString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_current_mode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p>
    <w:bookmarkEnd w:id="133"/>
    <w:bookmarkStart w:id="134"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keepNext w:val="0"/>
        <w:keepLines/>
        <w:spacing w:line="240" w:lineRule="auto" w:before="40" w:after="40"/>
        <w:ind w:firstLine="0" w:left="227" w:right="227"/>
        <w:jc w:val="left"/>
        <w:shd w:val="clear" w:color="auto" w:fill="F5F5F5"/>
      </w:pPr>
      <w:r>
        <w:rPr>
          <w:rStyle w:val="ControlFlowTok"/>
          <w:rFonts w:ascii="Courier New" w:hAnsi="Courier New" w:eastAsia="Courier New" w:cs="Courier New"/>
          <w:b w:val="0"/>
          <w:i w:val="0"/>
          <w:color w:val="000000"/>
          <w:sz w:val="19"/>
        </w:rPr>
        <w:t xml:space="preserve">async</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run_tool_pipeline(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tool_name: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service_fn: Callable[..., Awaitable[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service_kwargs: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label_fn: Callable[[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feedback: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parent_run_id: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workspace_id: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linked_context_ids: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current_user: User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db: Session,</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cache_extra_keys: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"""Shared pipeline: sanitize -&gt; cache -&gt; service -&gt; fallback -&gt; persist -&gt; respond."""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(sanitisation, cache lookup, service call, persistence, observability)</w:t>
      </w:r>
    </w:p>
    <w:bookmarkEnd w:id="134"/>
    <w:bookmarkEnd w:id="135"/>
    <w:bookmarkStart w:id="140" w:name="Xe2691035b1ea9be44987f1df6fe865ef1936dcd"/>
    <w:p>
      <w:pPr>
        <w:pStyle w:val="Heading2"/>
        <w:spacing w:line="312" w:lineRule="auto" w:after="8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6"/>
    <w:bookmarkStart w:id="137"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9"/>
    <w:bookmarkEnd w:id="140"/>
    <w:bookmarkStart w:id="157" w:name="Xa5e1eb6ef87c5a83e8c05d91d91fb5c96834f8e"/>
    <w:p>
      <w:pPr>
        <w:pStyle w:val="Heading2"/>
        <w:spacing w:line="312" w:lineRule="auto" w:after="8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FirstParagraph"/>
        <w:keepNext/>
        <w:spacing w:before="60" w:after="40"/>
        <w:jc w:val="center"/>
      </w:pPr>
      <w:r>
        <w:drawing>
          <wp:inline>
            <wp:extent cx="4031999" cy="2267999"/>
            <wp:effectExtent b="0" l="0" r="0" t="0"/>
            <wp:docPr descr=""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4031999" cy="2267999"/>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4"/>
    <w:bookmarkStart w:id="148"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FirstParagraph"/>
        <w:keepNext/>
        <w:spacing w:before="60" w:after="40"/>
        <w:jc w:val="center"/>
      </w:pPr>
      <w:r>
        <w:drawing>
          <wp:inline>
            <wp:extent cx="4031999" cy="2267999"/>
            <wp:effectExtent b="0" l="0" r="0" t="0"/>
            <wp:docPr descr=""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4031999" cy="2267999"/>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FirstParagraph"/>
        <w:keepNext/>
        <w:spacing w:before="60" w:after="40"/>
        <w:jc w:val="center"/>
      </w:pPr>
      <w:r>
        <w:drawing>
          <wp:inline>
            <wp:extent cx="4031999" cy="4531798"/>
            <wp:effectExtent b="0" l="0" r="0" t="0"/>
            <wp:docPr descr=""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4031999" cy="453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FirstParagraph"/>
        <w:keepNext/>
        <w:spacing w:before="60" w:after="40"/>
        <w:jc w:val="center"/>
      </w:pPr>
      <w:r>
        <w:drawing>
          <wp:inline>
            <wp:extent cx="4031999" cy="5520898"/>
            <wp:effectExtent b="0" l="0" r="0" t="0"/>
            <wp:docPr desc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4031999" cy="55208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6"/>
    <w:bookmarkEnd w:id="157"/>
    <w:bookmarkStart w:id="161" w:name="appendix-d-configuration-reference"/>
    <w:p>
      <w:pPr>
        <w:pStyle w:val="Heading2"/>
        <w:spacing w:line="312" w:lineRule="auto" w:after="80"/>
        <w:ind w:firstLine="283"/>
        <w:jc w:val="both"/>
      </w:pPr>
      <w:r>
        <w:rPr>
          <w:rFonts w:ascii="Times New Roman" w:hAnsi="Times New Roman" w:eastAsia="Times New Roman" w:cs="Times New Roman"/>
          <w:color w:val="000000"/>
          <w:sz w:val="24"/>
        </w:rPr>
        <w:t xml:space="preserve">Appendix D — Configuration reference</w:t>
      </w:r>
    </w:p>
    <w:bookmarkStart w:id="158"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spacing w:line="240" w:lineRule="auto" w:after="0"/>
              <w:ind w:firstLine="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spacing w:line="240" w:lineRule="auto" w:after="0"/>
              <w:ind w:firstLine="0"/>
            </w:pPr>
            <w:r>
              <w:rPr>
                <w:rFonts w:ascii="Times New Roman" w:hAnsi="Times New Roman" w:eastAsia="Times New Roman" w:cs="Times New Roman"/>
                <w:b w:val="0"/>
                <w:color w:val="000000"/>
                <w:sz w:val="18"/>
              </w:rPr>
              <w:t xml:space="preserve">(empty disables)</w:t>
            </w:r>
          </w:p>
        </w:tc>
      </w:tr>
    </w:tbl>
    <w:bookmarkEnd w:id="158"/>
    <w:bookmarkStart w:id="159"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returned by both endpoints is:</w:t>
      </w:r>
    </w:p>
    <w:p>
      <w:pPr>
        <w:pStyle w:val="SourceCode"/>
        <w:keepNext w:val="0"/>
        <w:keepLines/>
        <w:spacing w:line="240" w:lineRule="auto" w:before="40" w:after="40"/>
        <w:ind w:firstLine="0" w:left="227" w:right="227"/>
        <w:jc w:val="left"/>
        <w:shd w:val="clear" w:color="auto" w:fill="F5F5F5"/>
      </w:pP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"mode"</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"heuristic_version"</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"v1"</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"blended_weight_heuristic"</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0.4</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"blended_weight_llm"</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0.6</w:t>
      </w:r>
      <w:r>
        <w:rPr>
          <w:rFonts w:ascii="Courier New" w:hAnsi="Courier New" w:eastAsia="Courier New" w:cs="Courier New"/>
          <w:b w:val="0"/>
          <w:i w:val="0"/>
          <w:color w:val="000000"/>
          <w:sz w:val="19"/>
        </w:rPr>
        <w:br/>
      </w:r>
      <w:r>
        <w:rPr>
          <w:rStyle w:val="FunctionTok"/>
          <w:rFonts w:ascii="Courier New" w:hAnsi="Courier New" w:eastAsia="Courier New" w:cs="Courier New"/>
          <w:b w:val="0"/>
          <w:i w:val="0"/>
          <w:color w:val="000000"/>
          <w:sz w:val="19"/>
        </w:rPr>
        <w:t xml:space="preserv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9"/>
    <w:bookmarkStart w:id="160"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 the following commands at the repository root:</w:t>
      </w:r>
    </w:p>
    <w:p>
      <w:pPr>
        <w:pStyle w:val="SourceCode"/>
        <w:keepNext w:val="0"/>
        <w:keepLines/>
        <w:spacing w:line="240" w:lineRule="auto" w:before="40" w:after="40"/>
        <w:ind w:firstLine="0" w:left="227" w:right="227"/>
        <w:jc w:val="left"/>
        <w:shd w:val="clear" w:color="auto" w:fill="F5F5F5"/>
      </w:pP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cd backend</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SCORING_MODE=blended RESULT_CACHE_ENABLED=false </w:t>
      </w:r>
      <w:r>
        <w:rPr>
          <w:rStyle w:val="DataType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python ../scripts/eval_scoring.py</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python ../scripts/analyze_eval_results.py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emits the Markdown-formatted result tables reported in Chapter 4.3.</w:t>
      </w:r>
    </w:p>
    <w:bookmarkEnd w:id="160"/>
    <w:bookmarkEnd w:id="161"/>
    <w:bookmarkEnd w:id="162"/>
    <w:sectPr>
      <w:type w:val="nextPage"/>
      <w:footerReference w:type="default" r:id="rId154"/>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2026-05-09T12:11:43Z</dcterms:created>
  <dcterms:modified xsi:type="dcterms:W3CDTF">2026-05-09T12:11:43Z</dcterms:modified>
</cp:coreProperties>
</file>

<file path=docProps/custom.xml><?xml version="1.0" encoding="utf-8"?>
<Properties xmlns="http://schemas.openxmlformats.org/officeDocument/2006/custom-properties" xmlns:vt="http://schemas.openxmlformats.org/officeDocument/2006/docPropsVTypes"/>
</file>