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60" w:lineRule="auto" w:after="12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60" w:lineRule="auto" w:after="12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60" w:lineRule="auto" w:after="12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łączący deterministyczną heurystykę ze strukturalnym wyjściem modelu językowego (40% / 60%), oraz</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syntetyczne CV oraz syntetyczne opisy stanowisk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jest to zgodność krzyżowa po wyłączeniu 0,40-składnika heurystycznego, który tryb mieszany zawiera z definicji. Tryb mieszany zachowuje nieredukowalną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spacing w:line="360" w:lineRule="auto" w:after="12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60" w:lineRule="auto" w:after="120"/>
        <w:ind w:firstLine="283"/>
        <w:jc w:val="both"/>
      </w:pPr>
      <w:r>
        <w:rPr>
          <w:rFonts w:ascii="Times New Roman" w:hAnsi="Times New Roman" w:eastAsia="Times New Roman" w:cs="Times New Roman"/>
          <w:color w:val="000000"/>
          <w:sz w:val="24"/>
        </w:rPr>
        <w:t xml:space="preserve">Abstract (English)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personalized career recommendation. The system, deployed as a web application on a managed cloud platform, integrates six complementary tools (resume analysis, job-description matching, career-path suggestion, cover-letter generation, interview preparation, and portfolio planning) that together support a candidate through the full job-search workflow. The frontend is built with React 19 and TanStack Start; the backend uses FastAPI and PostgreSQL; large language model inference is delegated to Google Vertex AI Gemini 2.5 Flash. To address concerns of cost, latency, and dependence on a third-party model provider, the analytical core of the system supports two scoring modes that can be switched at runtime: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combines a deterministic heuristic with the language model’s structured output (40% / 60% weighting),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grounded in classical information-retrieval methods: TF–IDF–weighted keyword evidence with BM25 ranking, ESCO-aligned skill normalization, Levenshtein-style fuzzy matching, and section-weighted feature extraction. A controlled comparative study evaluated both modes on 100 (resume, job-description) pairs spanning six role tracks across four metric families: score agreement (Pearson, Spearman, Kendall), distribution shape, latency, and per-call cost. The benchmark is a synthetic, deterministically generated set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template-synthesised resumes and template-synthesised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disjoint-vocabulary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construction in which resume-side and JD-side phrase pools share no content-word vocabulary beyond the canonical skill terms; the construction limits and the corresponding threats to validity are documented explicitly in the chapter that reports the result. Within this synthetic evaluation set,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confidence interval 0.762, 0.896 under cluster bootstrap on resume identity] and Spearman ρ = 0.847 on the overall score, runs roughly two-to-three orders of magnitude faster (median 25.5 ms vs 18.2 s), and incurs zero LLM-side marginal cost. The post-hoc LLM-only-versus-heuristic correlation, recovered from the locked-prepass identity to isolate the structural blended-formula component,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cross-mode agreement after controlling for the 0.40 heuristic share that the blended mode carries by construction. The blended mode retains an irreducible advantage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that motivates keeping the language-model component available alongside the deterministic baseline. Limitations include a single-language scope (English), a single-author synthetic dataset, and a single LLM-provider configuration; long-horizon longitudinal validation is out of scope. Future work proposes integrating a retrieval-augmented component, expanding to Polish-language resumes, and extending the heuristic with sentence-transformer–based semantic matching as an intermediate tier.</w:t>
      </w:r>
    </w:p>
    <w:p>
      <w:pPr>
        <w:pStyle w:val="BodyText"/>
        <w:spacing w:line="360" w:lineRule="auto" w:after="12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60" w:lineRule="auto" w:after="120"/>
        <w:ind w:firstLine="283"/>
        <w:jc w:val="both"/>
      </w:pPr>
      <w:r>
        <w:rPr>
          <w:rFonts w:ascii="Times New Roman" w:hAnsi="Times New Roman" w:eastAsia="Times New Roman" w:cs="Times New Roman"/>
          <w:color w:val="000000"/>
          <w:sz w:val="24"/>
        </w:rPr>
        <w:t xml:space="preserve">Acknowledgements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60" w:lineRule="auto" w:after="12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60" w:lineRule="auto" w:after="12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60" w:lineRule="auto" w:after="12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60" w:lineRule="auto" w:after="120"/>
        <w:ind w:firstLine="283"/>
        <w:jc w:val="both"/>
      </w:pPr>
      <w:r>
        <w:rPr>
          <w:rFonts w:ascii="Times New Roman" w:hAnsi="Times New Roman" w:eastAsia="Times New Roman" w:cs="Times New Roman"/>
          <w:color w:val="000000"/>
          <w:sz w:val="24"/>
        </w:rPr>
        <w:t xml:space="preserve">List of abbreviations and symbols</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Abbreviation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Expansion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Artificial Intelligence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Application Programming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American Psychological Association (citation style)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Archive of Diploma Theses (USOS-APD)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ATS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Applicant Tracking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Bidirectional Encoder Representations from Transformers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BM25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Best Match 25 (probabilistic relevance ranking function)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BS4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BeautifulSoup 4 (HTML parsing library)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Creative Commons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CDN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Content Delivery Network</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CI / CD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Continuous Integration / Continuous Deployment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CLI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Command-Line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Cross-Origin Resource Sharing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CRUD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Create, Read, Update, Delete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CSRF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Cross-Site Request Forgery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CSS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Cascading Style Sheets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CSV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Comma-Separated Values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DOM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Document Object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ECE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Electronic and Computer Engineering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English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European Skills, Competences, Qualifications and Occupations (EU multilingual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EU</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European Union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Faculty of Arts and Sciences (Harvard, source of action-verb list)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Fairness, Accountability, and Transparency (ACM conference series)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GDPR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General Data Protection Regulation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Gemini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Google’s family of large language models (2.5 Flash used here)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GPT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Generative Pre-trained Transformer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GraphQL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Query language for APIs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Graphical User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Human Resources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HTML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HyperText Markup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HyperText Transfer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 Secure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HttpOnly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Cookie attribute preventing JavaScript access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Identifier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Information Retrieval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International Standard Classification of Occupations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JavaScript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Jednolity System Antyplagiatowy (Polish national anti-plagiarism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JavaScript Object Notation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JWT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JSON Web Token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Kolmogorov–Smirnov (statistical distance)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Large Language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MIT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Massachusetts Institute of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Machine Learning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nDCG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Normalised Discounted Cumulative Gain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Named-Entity Recognition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NLP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Natural Language Processing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Open Authorization (federated-identity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OECD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Organisation for Economic Co-operation and Development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O*NET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Occupational Information Network (US Department of Labor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ORM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Object–Relational Mapping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Portable Document Format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Polish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Pull Request / Pattern Recognition (latter in example thesis)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PWr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Politechnika Wrocławska (Wrocław University of Science and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Retrieval-Augmented Generation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RBO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Ranked Biased Overlap</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Representational State Transfer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RPM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Requests Per Minute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SaaS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Software as a Service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Sentence-BERT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SDK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Software Development Kit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SOA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Service-Oriented Architecture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Single-Page Application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Structured Query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Term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TF–IDF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Term Frequency–Inverse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TLS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Transport Layer Security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Time-To-Live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User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Uniform Resource Locator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USOS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Uniwersytecki System Obsługi Studiów (PWr student information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USOS-APD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USOS Archive of Diploma Theses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UUID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Universally Unique Identifier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UX</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User Experience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V1 / V1.1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Version 1 / Version 1.1 (release-numbering convention used in this thesis)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WCAG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Web Content Accessibility Guidelines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WEFiM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Wydział Elektroniki, Fotoniki i Mikrosystemów (Faculty of Electronics, Photonics and Microsystems)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XML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eXtensible Markup Language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Zod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Runtime schema-validation library for TypeScript</w:t>
            </w:r>
          </w:p>
        </w:tc>
      </w:tr>
    </w:tbl>
    <w:bookmarkStart w:id="25" w:name="symbols-used-in-formulas-in-chapter-4"/>
    <w:p>
      <w:pPr>
        <w:pStyle w:val="Heading2"/>
        <w:spacing w:line="360" w:lineRule="auto" w:after="120"/>
        <w:ind w:firstLine="283"/>
        <w:jc w:val="both"/>
      </w:pPr>
      <w:r>
        <w:rPr>
          <w:rFonts w:ascii="Times New Roman" w:hAnsi="Times New Roman" w:eastAsia="Times New Roman" w:cs="Times New Roman"/>
          <w:color w:val="000000"/>
          <w:sz w:val="24"/>
        </w:rPr>
        <w:t xml:space="preserve">Symbols (used in formulas in Chapter 4)</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Symbol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Meaning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Pearson correlation coefficient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k₁</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BM25 hyperparameters (term-frequency saturation and document-length normalisation)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Fuzzy-matching threshold (Levenshtein-similarity 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idf(t)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Inverse document frequency of term</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N</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Number of resumes and number of job descriptions in the evaluation set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R</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J</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 single resume and a single 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K</w:t>
            </w:r>
            <w:r>
              <w:rPr>
                <w:rFonts w:ascii="Times New Roman" w:hAnsi="Times New Roman" w:eastAsia="Times New Roman" w:cs="Times New Roman"/>
                <w:b w:val="0"/>
                <w:color w:val="000000"/>
                <w:sz w:val="21"/>
              </w:rPr>
              <w:t xml:space="preserv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Keyword extractor function (returns the keyword set of an input)</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dl, avgdl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Document length, average document length (BM25 normalisation)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49"/>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60" w:lineRule="auto" w:after="120"/>
        <w:ind w:firstLine="283"/>
        <w:jc w:val="both"/>
      </w:pPr>
      <w:r>
        <w:rPr>
          <w:rFonts w:ascii="Times New Roman" w:hAnsi="Times New Roman" w:eastAsia="Times New Roman" w:cs="Times New Roman"/>
          <w:color w:val="000000"/>
          <w:sz w:val="24"/>
        </w:rPr>
        <w:t xml:space="preserve">Chapter 1 — Introduction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w:t>
      </w:r>
    </w:p>
    <w:p>
      <w:pPr>
        <w:pStyle w:val="BodyText"/>
        <w:spacing w:line="360" w:lineRule="auto" w:after="12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60" w:lineRule="auto" w:after="12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60" w:lineRule="auto" w:after="12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Career decision making sits at the intersection of three difficult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inventory their skills, experience, and preferences in a form that other systems can reason over.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the candidate’s profile compares to the current demand expressed in job advertisements.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what concrete steps (a sharper resume bullet, a portfolio gap to close, a story to rehearse for an interview) would move the candidate from where they are to where they want to be.</w:t>
      </w:r>
    </w:p>
    <w:p>
      <w:pPr>
        <w:pStyle w:val="BodyText"/>
        <w:spacing w:line="360" w:lineRule="auto" w:after="120"/>
        <w:ind w:firstLine="283"/>
        <w:jc w:val="both"/>
      </w:pPr>
      <w:r>
        <w:rPr>
          <w:rFonts w:ascii="Times New Roman" w:hAnsi="Times New Roman" w:eastAsia="Times New Roman" w:cs="Times New Roman"/>
          <w:color w:val="000000"/>
          <w:sz w:val="24"/>
        </w:rPr>
        <w:t xml:space="preserve">Each of those sub-problems has been studied in isolation. Career-counselling research treats self-assessment as a structured interview problem [15]. Information-retrieval research treats market alignment as a ranking problem over a corpus of job postings [13, 21]. Behavioural-economics research treats action planning as a goal-setting problem under uncertainty. What has been missing in practice, and what motivates this thesis, is an integrated system in which these three sub-problems share a single representation of the candidate, so that the output of one stage feeds the next without manual re-entry of information.</w:t>
      </w:r>
    </w:p>
    <w:bookmarkEnd w:id="27"/>
    <w:bookmarkStart w:id="28" w:name="Xb2b33d9c0e4613654e8bd0dc0463185643a1762"/>
    <w:p>
      <w:pPr>
        <w:pStyle w:val="Heading2"/>
        <w:spacing w:line="360" w:lineRule="auto" w:after="12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Recommendation systems were originally developed for content domains in which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(films, books, songs, products) are dense, well-described, and observed many times across many users. Career recommendation differs from those classical settings on every one of those properties. Job titles are sparse and inconsistently labelled across employers, the relevant features of a candidate are hidden inside a free-text resume, and a single user generates only a handful of explicit preference signals over their working life. As a result, the most successful recent career-recommendation systems do not rely on classical collaborative filtering at all; they instead treat the problem as a structured matching problem between two semi-structured documents (a resume and a job description) projected into a shared representation [6, 8, 9, 10].</w:t>
      </w:r>
    </w:p>
    <w:p>
      <w:pPr>
        <w:pStyle w:val="BodyText"/>
        <w:spacing w:line="360" w:lineRule="auto" w:after="120"/>
        <w:ind w:firstLine="283"/>
        <w:jc w:val="both"/>
      </w:pPr>
      <w:r>
        <w:rPr>
          <w:rFonts w:ascii="Times New Roman" w:hAnsi="Times New Roman" w:eastAsia="Times New Roman" w:cs="Times New Roman"/>
          <w:color w:val="000000"/>
          <w:sz w:val="24"/>
        </w:rPr>
        <w:t xml:space="preserve">Several recent systems illustrate this shift. CareerRec [15] applies tree-based classifiers (XGBoost and Random Forest) to a labelled dataset of 2,255 information-technology employees in Saudi Arabia and reports an accuracy of approximately 70 % on a multi-class career-path classification task. The broader stream of AI-augmented decision-support research [1, 2] frames the same dual problem of profile representation and outcome prediction in domains adjacent to recruitment (strategic-marketing decision-making and operations research) and confirms that the methodological pattern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learned representations over hand-engineered features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has converged across these neighbouring fields. The common thread across the recent neural career systems is that they substitute learned representations of resumes and jobs for hand-engineered features but stop at producing a list of recommended job titles. None of them address the full workflow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a recommendation, which is where the present thesis extends the state of the practice.</w:t>
      </w:r>
    </w:p>
    <w:bookmarkEnd w:id="28"/>
    <w:bookmarkStart w:id="29" w:name="X0f507a345d505e2b6b09af5902860f6a3d367ad"/>
    <w:p>
      <w:pPr>
        <w:pStyle w:val="Heading2"/>
        <w:spacing w:line="360" w:lineRule="auto" w:after="12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For any of the matching approaches above to work, the first step is to extract structure from a resume that arrives as an unstructured PDF or text file. Resume parsing is an old problem; the earliest approaches were rule-based, using hand-written regular expressions and section-header dictionaries to pull out candidate information [14]. Those rule-based parsers are brittle in the presence of unusual formatting, but they remain useful as a deterministic baseline because their behaviour is fully inspectable.</w:t>
      </w:r>
    </w:p>
    <w:p>
      <w:pPr>
        <w:pStyle w:val="BodyText"/>
        <w:spacing w:line="360" w:lineRule="auto" w:after="120"/>
        <w:ind w:firstLine="283"/>
        <w:jc w:val="both"/>
      </w:pPr>
      <w:r>
        <w:rPr>
          <w:rFonts w:ascii="Times New Roman" w:hAnsi="Times New Roman" w:eastAsia="Times New Roman" w:cs="Times New Roman"/>
          <w:color w:val="000000"/>
          <w:sz w:val="24"/>
        </w:rPr>
        <w:t xml:space="preserve">Modern resume parsers are predominantly neural. Named-entity-recognition (NER) models trained on annotated resume corpora extract person names, organisations, dates, and skills, and the broader role of natural-language processing techniques in human-resources and management research is surveyed in [4]. Transformer-based models such as BERT, RoBERTa, and DeBERTa improve on raw NER by capturing the contextual meaning of skill phrases. A single token like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“Python”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can refer to a programming language or to a surface-level mention in a list of hobbies, and contextual models are substantially better at telling those apart. Resume2Vec [18] reports a 15.85 % improvement in normalised discounted cumulative gain over a non-contextual ATS baseline, attributing the gain entirely to its use of transformer embeddings.</w:t>
      </w:r>
    </w:p>
    <w:p>
      <w:pPr>
        <w:pStyle w:val="BodyText"/>
        <w:spacing w:line="360" w:lineRule="auto" w:after="120"/>
        <w:ind w:firstLine="283"/>
        <w:jc w:val="both"/>
      </w:pPr>
      <w:r>
        <w:rPr>
          <w:rFonts w:ascii="Times New Roman" w:hAnsi="Times New Roman" w:eastAsia="Times New Roman" w:cs="Times New Roman"/>
          <w:color w:val="000000"/>
          <w:sz w:val="24"/>
        </w:rPr>
        <w:t xml:space="preserve">Job-description analysis is the symmetric problem on the demand side. The most consequential recent research direction in this area is the linking of free-text job postings to standardised skill taxonomies, primarily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ESCO</w:t>
      </w:r>
      <w:r>
        <w:rPr>
          <w:rFonts w:ascii="Times New Roman" w:hAnsi="Times New Roman" w:eastAsia="Times New Roman" w:cs="Times New Roman"/>
          <w:color w:val="000000"/>
          <w:sz w:val="24"/>
        </w:rPr>
        <w:t xml:space="preserve">, the European multilingual classification published by the European Commission [8], and O*NET, maintained by the United States Department of Labor. Linking a job posting to ESCO produces, for each posting, a list of normalised skill identifiers that can be compared across postings and across resumes; without normalisation,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 as three independent skills even though a hiring manager treats them as one. Recent work demonstrates both top-down approaches (matching detected phrases against the ESCO knowledge base) and bottom-up approaches that train models such as JobBERT and ESCOXLM-R directly on annotated postings [9, 10, 11, 12, 13]. The system described in this thesis adopts a top-down strategy: a curated subset of ESCO skill labels is bundled with the application and used as a normalisation layer on both the resume side and the job-description side.</w:t>
      </w:r>
    </w:p>
    <w:bookmarkEnd w:id="29"/>
    <w:bookmarkStart w:id="30" w:name="Xa6a123f0eef37d7de42a3068fa80ba2182618c4"/>
    <w:p>
      <w:pPr>
        <w:pStyle w:val="Heading2"/>
        <w:spacing w:line="360" w:lineRule="auto" w:after="12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60" w:lineRule="auto" w:after="12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most of what a recruiter scans for during the first pass over a resume.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spacing w:line="360" w:lineRule="auto" w:after="12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60" w:lineRule="auto" w:after="12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w:t>
      </w:r>
    </w:p>
    <w:bookmarkEnd w:id="30"/>
    <w:bookmarkStart w:id="31" w:name="purpose-of-the-thesis"/>
    <w:p>
      <w:pPr>
        <w:pStyle w:val="Heading2"/>
        <w:spacing w:line="360" w:lineRule="auto" w:after="120"/>
        <w:ind w:firstLine="283"/>
        <w:jc w:val="both"/>
      </w:pPr>
      <w:r>
        <w:rPr>
          <w:rFonts w:ascii="Times New Roman" w:hAnsi="Times New Roman" w:eastAsia="Times New Roman" w:cs="Times New Roman"/>
          <w:color w:val="000000"/>
          <w:sz w:val="24"/>
        </w:rPr>
        <w:t xml:space="preserve">1.5 Purpose of the thesis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trends, generating personalised career suggestions through a combination of classical information-retrieval methods and large-language-model inference.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scope of the thesis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consists of two parallel aspects.</w:t>
      </w:r>
    </w:p>
    <w:p>
      <w:pPr>
        <w:pStyle w:val="BodyText"/>
        <w:spacing w:line="360" w:lineRule="auto" w:after="12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covers the design and implementation of a deployed web application that integrates six complementary tools (Resume Analyzer, Job Match, Career Path, Cover Letter, Interview Q&amp;A, and Portfolio Planner). The implementation comprises a Python/FastAPI backend, a React/TanStack Start frontend, a relational data model for users and tool-run history, integration with Google Vertex AI Gemini 2.5 Flash for language-model inference, deployment to Railway with a continuous-deployment pipeline, and operational observability through Sentry and Railway metrics.</w:t>
      </w:r>
    </w:p>
    <w:p>
      <w:pPr>
        <w:pStyle w:val="BodyText"/>
        <w:spacing w:line="360" w:lineRule="auto" w:after="12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covers a controlled comparative study of two scoring methods. The system supports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40%, language model 60%)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grounded in TF–IDF–weighted keyword evidence, ESCO-aligned skill normalisation, fuzzy matching against a curated skill list, section-weighted features, and quantification detection. A small evaluation harness runs both modes against a curated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synthetic 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dataset of resumes and job descriptions and reports four metric families (score agreement, score distribution, latency, and per-call cost) with the goal of characterising the trade-offs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within that evaluation 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a way that informs both the deployment of this specific system and the design of comparable systems in future research.</w:t>
      </w:r>
    </w:p>
    <w:p>
      <w:pPr>
        <w:pStyle w:val="BodyText"/>
        <w:spacing w:line="360" w:lineRule="auto" w:after="120"/>
        <w:ind w:firstLine="283"/>
        <w:jc w:val="both"/>
      </w:pPr>
      <w:r>
        <w:rPr>
          <w:rFonts w:ascii="Times New Roman" w:hAnsi="Times New Roman" w:eastAsia="Times New Roman" w:cs="Times New Roman"/>
          <w:color w:val="000000"/>
          <w:sz w:val="24"/>
        </w:rPr>
        <w:t xml:space="preserve">The thesis explicitly does not attempt to establish that one scoring method is universally superior. The deliberate choice to include both modes as runtime-switchable configurations, rather than to commit to a single approach, is itself the most defendable answer to the design question, because it preserves the option to fall back to the deterministic mode in any context where third-party LLM access is unavailable, prohibitively costly, or insufficiently auditable.</w:t>
      </w:r>
    </w:p>
    <w:p>
      <w:pPr>
        <w:pStyle w:val="BodyText"/>
        <w:spacing w:line="360" w:lineRule="auto" w:after="12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bookmarkEnd w:id="31"/>
    <w:bookmarkStart w:id="32" w:name="structure-of-the-thesis"/>
    <w:p>
      <w:pPr>
        <w:pStyle w:val="Heading2"/>
        <w:spacing w:line="360" w:lineRule="auto" w:after="12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remainder of the thesis is organised as follows.</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describes the architecture of the system. It presents the functional and non-functional requirements, justifies the chosen technology stack (FastAPI, React 19, TanStack Start, PostgreSQL, Vertex AI), and explains the structure of the backend (router/service/pipeline layering), the frontend (file-based routing, session state, and the resume-carry mechanism that propagates context across tools), and the persistence model (users, tool runs, refresh-token chains). The chapter closes with the deployment topology on Railway and the choice of in-memory caching with a planned upgrade path to Redis.</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3</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describes the implementation of each of the six tools, highlighting the cross-cutting concerns that are shared by all of them: the unified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(sanitise → cache → service → persist → respond), prompt construction, structured-output validation against a Pydantic schema, retry and fallback policies, and the heuristic prepass that produces a deterministic baseline before any LLM call is dispatched.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presents the conducted study. Section 4.1 introduces the methodology and the curated evaluation dataset. Section 4.2 specifies the implementation of the strong heuristic, including the TF–IDF and BM25 weighting, the ESCO skill subset, and the fuzzy-matching configuration. Section 4.3 reports the comparative results for the two scoring modes on score agreement, distribution shape, latency, and cost. Section 4.4 discusses the limitations of the study: single-subject evaluation, English-only resumes, and the dependence of the LLM mode on a single model provider.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concludes the thesis. It summarises the contributions, characterises the limitations, and outlines three directions for future development: a sentence-transformer–based intermediate tier between the strict heuristic and the LLM (in the lineage of Sentence-BERT [20]), integration with the Polish-language portion of ESCO, and a retrieval-augmented variant of the blended mode that grounds the language-model output in a corpus of curated, source-attributed labour-market documents [25].</w:t>
      </w:r>
    </w:p>
    <w:p>
      <w:pPr>
        <w:pStyle w:val="BodyText"/>
        <w:spacing w:line="360" w:lineRule="auto" w:after="120"/>
        <w:ind w:firstLine="283"/>
        <w:jc w:val="both"/>
      </w:pPr>
      <w:r>
        <w:rPr>
          <w:rFonts w:ascii="Times New Roman" w:hAnsi="Times New Roman" w:eastAsia="Times New Roman" w:cs="Times New Roman"/>
          <w:color w:val="000000"/>
          <w:sz w:val="24"/>
        </w:rPr>
        <w:t xml:space="preserve">The bibliography lists the cited works grouped by topic. Appendix A reproduces the most important source listings of the heuristic implementation and the cross-cutting tool pipeline. Appendix B documents the synthetic evaluation dataset, including the synthesis procedure and the per-track pair distribution. Appendix C provides four production screenshots illustrating the landing page, the Resume Analyzer (input and blended-mode result), and the Job Match result, captured against the live deployment of the system on the day of submission. Appendix D records the configuration reference for the deployed backend.</w:t>
      </w:r>
    </w:p>
    <w:bookmarkEnd w:id="32"/>
    <w:bookmarkEnd w:id="33"/>
    <w:bookmarkStart w:id="59" w:name="chapter-2-system-architecture"/>
    <w:p>
      <w:pPr>
        <w:pStyle w:val="Heading1"/>
        <w:spacing w:line="360" w:lineRule="auto" w:after="12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60" w:lineRule="auto" w:after="12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60" w:lineRule="auto" w:after="120"/>
        <w:ind w:firstLine="283"/>
        <w:jc w:val="both"/>
      </w:pPr>
      <w:r>
        <w:rPr>
          <w:rFonts w:ascii="Times New Roman" w:hAnsi="Times New Roman" w:eastAsia="Times New Roman" w:cs="Times New Roman"/>
          <w:color w:val="000000"/>
          <w:sz w:val="24"/>
        </w:rPr>
        <w:t xml:space="preserve">2.1.1 Functional requirements</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056"/>
        <w:gridCol w:w="1584"/>
        <w:gridCol w:w="52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ID</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Tool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Required behaviour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Resume Analyzer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free-text or uploaded resume, return a structured assessment with overall score, per-category sub-scores, identified issues, prioritised actions, and detected strengths.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Job Match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job description (text or URL), return a match score, matched keywords, missing keywords, a recruiter-style verdict, and a list of evidence-grounded action items.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Career Path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optional preferences, return a ranked list of suggested career paths with rationale, requisite skills, and a notional progression timeline.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Cover Letter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job description, return a tailored cover letter with explicit structural sections that the user can copy and adapt.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Interview Q&amp;A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job description, return a curated list of likely interview questions clustered by category (behavioural, technical, role-specific), each with a coaching note.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Portfolio Planner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target role, return a prioritised list of skill gaps and concrete artefact ideas (project briefs, contributions, certifications) that would close those gaps.</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same uploaded resume must serve as input across all six tools without re-entry. Tool runs must be re-runnable (regeneration must produce a new history record rather than overwriting the original), and a previously generated result must be referenceable as context when invoking another tool.</w:t>
      </w:r>
    </w:p>
    <w:bookmarkEnd w:id="34"/>
    <w:bookmarkStart w:id="35" w:name="non-functional-requirements"/>
    <w:p>
      <w:pPr>
        <w:pStyle w:val="Heading3"/>
        <w:spacing w:line="360" w:lineRule="auto" w:after="12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60" w:lineRule="auto" w:after="12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60" w:lineRule="auto" w:after="12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bookmarkEnd w:id="35"/>
    <w:bookmarkEnd w:id="36"/>
    <w:bookmarkStart w:id="37" w:name="technology-stack-and-rationale"/>
    <w:p>
      <w:pPr>
        <w:pStyle w:val="Heading2"/>
        <w:spacing w:line="360" w:lineRule="auto" w:after="12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technology stack is summarised in Table 2.1.</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2132"/>
        <w:gridCol w:w="2436"/>
        <w:gridCol w:w="33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Layer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Choice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Rationale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Backend framework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FastAPI 0.115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Python-native, asynchronous, automatic OpenAPI generation, Pydantic-driven schema validation.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ORM and migrations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SQLAlchemy 2.0 + Alembic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Mature, type-safe in 2.0, integrates with FastAPI’s dependency injection.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Database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PostgreSQL 16 (Railway managed)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Single-node managed Postgres is sufficient for the workload; no sharding required.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 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 Vertex AI Gemini 2.5 Flash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Lowest cost per 1M tokens in the production-quality tier at the time of selection; native asynchronous client; reliable structured-output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Frontend framework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React 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Concurrent rendering, automatic batching, and the most mature component ecosystem.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Routing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TanStack Router via TanStack Start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File-based routes, type-safe links, search-param state co-location.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Build tool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Vite 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Sub-second hot module replacement during development.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Styling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Tailwind 4 + Radix UI primitives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Utility-first CSS without a parallel design-token system; Radix provides accessibility-correct primitives for menus, dialogs, and toggles.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Animation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Framer Motion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Declarative timeline animations for the input page heroes.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Authentication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JWT in HttpOnly cookies + Google OAuth (authlib)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No client-readable tokens; standard refresh-rotation pattern.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Resend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Used only for password-reset emails (no welcome or marketing email is sent in V1).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Hosting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Railway (backend, frontend, Postgres)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Single dashboard, single billing relationship, native GitHub deploy hooks.</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Observability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Railway built-in metrics + Sentry free tier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Sufficient for thesis-scope traffic; can be extended to a paid tier without code changes.</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60" w:lineRule="auto" w:after="12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bookmarkEnd w:id="37"/>
    <w:bookmarkStart w:id="48" w:name="backend-architecture"/>
    <w:p>
      <w:pPr>
        <w:pStyle w:val="Heading2"/>
        <w:spacing w:line="360" w:lineRule="auto" w:after="120"/>
        <w:ind w:firstLine="283"/>
        <w:jc w:val="both"/>
      </w:pPr>
      <w:r>
        <w:rPr>
          <w:rFonts w:ascii="Times New Roman" w:hAnsi="Times New Roman" w:eastAsia="Times New Roman" w:cs="Times New Roman"/>
          <w:color w:val="000000"/>
          <w:sz w:val="24"/>
        </w:rPr>
        <w:t xml:space="preserve">2.3 Backend architecture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120" w:after="80"/>
        <w:jc w:val="center"/>
      </w:pPr>
      <w:r>
        <w:drawing>
          <wp:inline>
            <wp:extent cx="5688000" cy="4107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5688000" cy="41079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60" w:lineRule="auto" w:after="120"/>
        <w:ind w:firstLine="283"/>
        <w:jc w:val="both"/>
      </w:pPr>
      <w:r>
        <w:rPr>
          <w:rFonts w:ascii="Times New Roman" w:hAnsi="Times New Roman" w:eastAsia="Times New Roman" w:cs="Times New Roman"/>
          <w:color w:val="000000"/>
          <w:sz w:val="24"/>
        </w:rPr>
        <w:t xml:space="preserve">2.3.1 Routers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w:t>
      </w:r>
    </w:p>
    <w:bookmarkEnd w:id="41"/>
    <w:bookmarkStart w:id="45" w:name="the-shared-tool-pipeline"/>
    <w:p>
      <w:pPr>
        <w:pStyle w:val="Heading3"/>
        <w:spacing w:line="360" w:lineRule="auto" w:after="12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120" w:after="80"/>
        <w:jc w:val="center"/>
      </w:pPr>
      <w:r>
        <w:drawing>
          <wp:inline>
            <wp:extent cx="5688000" cy="4107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5688000" cy="41079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60" w:lineRule="auto" w:after="12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60" w:lineRule="auto" w:after="12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w:t>
      </w:r>
    </w:p>
    <w:bookmarkEnd w:id="45"/>
    <w:bookmarkStart w:id="46" w:name="tool-services-and-prompt-builders"/>
    <w:p>
      <w:pPr>
        <w:pStyle w:val="Heading3"/>
        <w:spacing w:line="360" w:lineRule="auto" w:after="12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bookmarkEnd w:id="46"/>
    <w:bookmarkStart w:id="47" w:name="the-heuristic-prepass"/>
    <w:p>
      <w:pPr>
        <w:pStyle w:val="Heading3"/>
        <w:spacing w:line="360" w:lineRule="auto" w:after="12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implementable without a parallel codepath.</w:t>
      </w:r>
    </w:p>
    <w:bookmarkEnd w:id="47"/>
    <w:bookmarkEnd w:id="48"/>
    <w:bookmarkStart w:id="52" w:name="frontend-architecture"/>
    <w:p>
      <w:pPr>
        <w:pStyle w:val="Heading2"/>
        <w:spacing w:line="360" w:lineRule="auto" w:after="120"/>
        <w:ind w:firstLine="283"/>
        <w:jc w:val="both"/>
      </w:pPr>
      <w:r>
        <w:rPr>
          <w:rFonts w:ascii="Times New Roman" w:hAnsi="Times New Roman" w:eastAsia="Times New Roman" w:cs="Times New Roman"/>
          <w:color w:val="000000"/>
          <w:sz w:val="24"/>
        </w:rPr>
        <w:t xml:space="preserve">2.4 Frontend architecture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60" w:lineRule="auto" w:after="120"/>
        <w:ind w:firstLine="283"/>
        <w:jc w:val="both"/>
      </w:pPr>
      <w:r>
        <w:rPr>
          <w:rFonts w:ascii="Times New Roman" w:hAnsi="Times New Roman" w:eastAsia="Times New Roman" w:cs="Times New Roman"/>
          <w:color w:val="000000"/>
          <w:sz w:val="24"/>
        </w:rPr>
        <w:t xml:space="preserve">2.4.1 Route structure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60" w:lineRule="auto" w:after="12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60" w:lineRule="auto" w:after="12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w:t>
      </w:r>
    </w:p>
    <w:bookmarkEnd w:id="49"/>
    <w:bookmarkStart w:id="50" w:name="state-management"/>
    <w:p>
      <w:pPr>
        <w:pStyle w:val="Heading3"/>
        <w:spacing w:line="360" w:lineRule="auto" w:after="120"/>
        <w:ind w:firstLine="283"/>
        <w:jc w:val="both"/>
      </w:pPr>
      <w:r>
        <w:rPr>
          <w:rFonts w:ascii="Times New Roman" w:hAnsi="Times New Roman" w:eastAsia="Times New Roman" w:cs="Times New Roman"/>
          <w:color w:val="000000"/>
          <w:sz w:val="24"/>
        </w:rPr>
        <w:t xml:space="preserve">2.4.2 State management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60" w:lineRule="auto" w:after="12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60" w:lineRule="auto" w:after="12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w:t>
      </w:r>
    </w:p>
    <w:p>
      <w:pPr>
        <w:pStyle w:val="Compact"/>
        <w:numPr>
          <w:ilvl w:val="0"/>
          <w:numId w:val="1005"/>
        </w:numPr>
        <w:spacing w:line="360" w:lineRule="auto" w:after="12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60" w:lineRule="auto" w:after="12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60" w:lineRule="auto" w:after="12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911"/>
        <w:gridCol w:w="2457"/>
        <w:gridCol w:w="35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Table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Key columns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users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One row per registered account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id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(UUID),</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email</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password_hash</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(bcrypt) or null for OAuth-only accounts,</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google_subject</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for federated identities, timestamps.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tool_runs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One row per tool invocation that the system chose to persist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user_id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tool_name</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label</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result_json</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parent_run_id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for regeneration chains,</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linked_context_ids</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workspace_id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feedback_text</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created_at</w:t>
            </w:r>
            <w:r>
              <w:rPr>
                <w:rFonts w:ascii="Times New Roman" w:hAnsi="Times New Roman" w:eastAsia="Times New Roman" w:cs="Times New Roman"/>
                <w:b w:val="0"/>
                <w:color w:val="000000"/>
                <w:sz w:val="21"/>
              </w:rPr>
              <w:t xml:space="preserv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workspaces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Optional grouping of tool runs around a single role search</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user_id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label</w:t>
            </w:r>
            <w:r>
              <w:rPr>
                <w:rFonts w:ascii="Times New Roman" w:hAnsi="Times New Roman" w:eastAsia="Times New Roman" w:cs="Times New Roman"/>
                <w:b w:val="0"/>
                <w:color w:val="000000"/>
                <w:sz w:val="21"/>
              </w:rPr>
              <w:t xml:space="preserve">, timestamps.</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60" w:lineRule="auto" w:after="12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60" w:lineRule="auto" w:after="12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bookmarkEnd w:id="53"/>
    <w:bookmarkStart w:id="54" w:name="authentication-and-security"/>
    <w:p>
      <w:pPr>
        <w:pStyle w:val="Heading2"/>
        <w:spacing w:line="360" w:lineRule="auto" w:after="12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60" w:lineRule="auto" w:after="12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60" w:lineRule="auto" w:after="12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w:t>
      </w:r>
    </w:p>
    <w:bookmarkEnd w:id="54"/>
    <w:bookmarkStart w:id="58" w:name="deployment-topology"/>
    <w:p>
      <w:pPr>
        <w:pStyle w:val="Heading2"/>
        <w:spacing w:line="360" w:lineRule="auto" w:after="120"/>
        <w:ind w:firstLine="283"/>
        <w:jc w:val="both"/>
      </w:pPr>
      <w:r>
        <w:rPr>
          <w:rFonts w:ascii="Times New Roman" w:hAnsi="Times New Roman" w:eastAsia="Times New Roman" w:cs="Times New Roman"/>
          <w:color w:val="000000"/>
          <w:sz w:val="24"/>
        </w:rPr>
        <w:t xml:space="preserve">2.7 Deployment topology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120" w:after="80"/>
        <w:jc w:val="center"/>
      </w:pPr>
      <w:r>
        <w:drawing>
          <wp:inline>
            <wp:extent cx="5688000" cy="394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5688000" cy="39499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60" w:lineRule="auto" w:after="12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60" w:lineRule="auto" w:after="12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60" w:lineRule="auto" w:after="12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60" w:lineRule="auto" w:after="12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60" w:lineRule="auto" w:after="12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60" w:lineRule="auto" w:after="12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60" w:lineRule="auto" w:after="12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60" w:lineRule="auto" w:after="12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and returns a parsed Python dictionary.</w:t>
      </w:r>
    </w:p>
    <w:p>
      <w:pPr>
        <w:pStyle w:val="BodyText"/>
        <w:spacing w:line="360" w:lineRule="auto" w:after="12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60" w:lineRule="auto" w:after="120"/>
        <w:ind w:firstLine="283"/>
        <w:jc w:val="both"/>
      </w:pPr>
      <w:r>
        <w:rPr>
          <w:rFonts w:ascii="Times New Roman" w:hAnsi="Times New Roman" w:eastAsia="Times New Roman" w:cs="Times New Roman"/>
          <w:color w:val="000000"/>
          <w:sz w:val="24"/>
        </w:rP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60"/>
    <w:bookmarkStart w:id="61" w:name="the-locked-payload-prompt-pattern"/>
    <w:p>
      <w:pPr>
        <w:pStyle w:val="Heading3"/>
        <w:spacing w:line="360" w:lineRule="auto" w:after="12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the heuristic prepass already produces a complete response on its own.</w:t>
      </w:r>
    </w:p>
    <w:bookmarkEnd w:id="61"/>
    <w:bookmarkStart w:id="62" w:name="pydantic-validated-structured-output"/>
    <w:p>
      <w:pPr>
        <w:pStyle w:val="Heading3"/>
        <w:spacing w:line="360" w:lineRule="auto" w:after="12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Every LLM response is validated against a Pydantic schema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schema is bidirectional: the same definition that constrains the JSON returned by Gemini also defines the Zod schema used by the frontend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62"/>
    <w:bookmarkStart w:id="63" w:name="fallback-policy"/>
    <w:p>
      <w:pPr>
        <w:pStyle w:val="Heading3"/>
        <w:spacing w:line="360" w:lineRule="auto" w:after="120"/>
        <w:ind w:firstLine="283"/>
        <w:jc w:val="both"/>
      </w:pPr>
      <w:r>
        <w:rPr>
          <w:rFonts w:ascii="Times New Roman" w:hAnsi="Times New Roman" w:eastAsia="Times New Roman" w:cs="Times New Roman"/>
          <w:color w:val="000000"/>
          <w:sz w:val="24"/>
        </w:rPr>
        <w:t xml:space="preserve">3.1.4 Fallback policy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60" w:lineRule="auto" w:after="12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60" w:lineRule="auto" w:after="12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spacing w:line="360" w:lineRule="auto" w:after="12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60" w:lineRule="auto" w:after="120"/>
        <w:ind w:firstLine="283"/>
        <w:jc w:val="both"/>
      </w:pPr>
      <w:r>
        <w:rPr>
          <w:rFonts w:ascii="Times New Roman" w:hAnsi="Times New Roman" w:eastAsia="Times New Roman" w:cs="Times New Roman"/>
          <w:color w:val="000000"/>
          <w:sz w:val="24"/>
        </w:rPr>
        <w:t xml:space="preserve">3.1.5 Caching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60" w:lineRule="auto" w:after="120"/>
        <w:ind w:firstLine="283"/>
        <w:jc w:val="both"/>
      </w:pPr>
      <w:r>
        <w:rPr>
          <w:rFonts w:ascii="Times New Roman" w:hAnsi="Times New Roman" w:eastAsia="Times New Roman" w:cs="Times New Roman"/>
          <w:color w:val="000000"/>
          <w:sz w:val="24"/>
        </w:rPr>
        <w:t xml:space="preserve">3.2 Resume Analyzer</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60" w:lineRule="auto" w:after="120"/>
        <w:ind w:firstLine="283"/>
        <w:jc w:val="both"/>
      </w:pPr>
      <w:r>
        <w:rPr>
          <w:rFonts w:ascii="Times New Roman" w:hAnsi="Times New Roman" w:eastAsia="Times New Roman" w:cs="Times New Roman"/>
          <w:color w:val="000000"/>
          <w:sz w:val="24"/>
        </w:rPr>
        <w:t xml:space="preserve">3.2.1 Input contract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request body contains the raw resume text (free-form, minimum 80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60" w:lineRule="auto" w:after="120"/>
        <w:ind w:firstLine="283"/>
        <w:jc w:val="both"/>
      </w:pPr>
      <w:r>
        <w:rPr>
          <w:rFonts w:ascii="Times New Roman" w:hAnsi="Times New Roman" w:eastAsia="Times New Roman" w:cs="Times New Roman"/>
          <w:color w:val="000000"/>
          <w:sz w:val="24"/>
        </w:rPr>
        <w:t xml:space="preserve">3.2.2 Heuristic prepass</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60" w:lineRule="auto" w:after="12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by more than 20 points,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independent estimates disagreed.</w:t>
      </w:r>
    </w:p>
    <w:bookmarkEnd w:id="68"/>
    <w:bookmarkEnd w:id="69"/>
    <w:bookmarkStart w:id="73" w:name="job-match"/>
    <w:p>
      <w:pPr>
        <w:pStyle w:val="Heading2"/>
        <w:spacing w:line="360" w:lineRule="auto" w:after="120"/>
        <w:ind w:firstLine="283"/>
        <w:jc w:val="both"/>
      </w:pPr>
      <w:r>
        <w:rPr>
          <w:rFonts w:ascii="Times New Roman" w:hAnsi="Times New Roman" w:eastAsia="Times New Roman" w:cs="Times New Roman"/>
          <w:color w:val="000000"/>
          <w:sz w:val="24"/>
        </w:rPr>
        <w:t xml:space="preserve">3.3 Job Match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60" w:lineRule="auto" w:after="120"/>
        <w:ind w:firstLine="283"/>
        <w:jc w:val="both"/>
      </w:pPr>
      <w:r>
        <w:rPr>
          <w:rFonts w:ascii="Times New Roman" w:hAnsi="Times New Roman" w:eastAsia="Times New Roman" w:cs="Times New Roman"/>
          <w:color w:val="000000"/>
          <w:sz w:val="24"/>
        </w:rPr>
        <w:t xml:space="preserve">3.3.1 Input contract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60" w:lineRule="auto" w:after="120"/>
        <w:ind w:firstLine="283"/>
        <w:jc w:val="both"/>
      </w:pPr>
      <w:r>
        <w:rPr>
          <w:rFonts w:ascii="Times New Roman" w:hAnsi="Times New Roman" w:eastAsia="Times New Roman" w:cs="Times New Roman"/>
          <w:color w:val="000000"/>
          <w:sz w:val="24"/>
        </w:rPr>
        <w:t xml:space="preserve">3.3.2 Heuristic prepass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60" w:lineRule="auto" w:after="12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60" w:lineRule="auto" w:after="120"/>
        <w:ind w:firstLine="283"/>
        <w:jc w:val="both"/>
      </w:pPr>
      <w:r>
        <w:rPr>
          <w:rFonts w:ascii="Times New Roman" w:hAnsi="Times New Roman" w:eastAsia="Times New Roman" w:cs="Times New Roman"/>
          <w:color w:val="000000"/>
          <w:sz w:val="24"/>
        </w:rP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72"/>
    <w:bookmarkEnd w:id="73"/>
    <w:bookmarkStart w:id="76" w:name="career-path"/>
    <w:p>
      <w:pPr>
        <w:pStyle w:val="Heading2"/>
        <w:spacing w:line="360" w:lineRule="auto" w:after="120"/>
        <w:ind w:firstLine="283"/>
        <w:jc w:val="both"/>
      </w:pPr>
      <w:r>
        <w:rPr>
          <w:rFonts w:ascii="Times New Roman" w:hAnsi="Times New Roman" w:eastAsia="Times New Roman" w:cs="Times New Roman"/>
          <w:color w:val="000000"/>
          <w:sz w:val="24"/>
        </w:rPr>
        <w:t xml:space="preserve">3.4 Career Path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60" w:lineRule="auto" w:after="120"/>
        <w:ind w:firstLine="283"/>
        <w:jc w:val="both"/>
      </w:pPr>
      <w:r>
        <w:rPr>
          <w:rFonts w:ascii="Times New Roman" w:hAnsi="Times New Roman" w:eastAsia="Times New Roman" w:cs="Times New Roman"/>
          <w:color w:val="000000"/>
          <w:sz w:val="24"/>
        </w:rPr>
        <w:t xml:space="preserve">3.4.1 Heuristic prepass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60" w:lineRule="auto" w:after="12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60" w:lineRule="auto" w:after="12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60" w:lineRule="auto" w:after="120"/>
        <w:ind w:firstLine="283"/>
        <w:jc w:val="both"/>
      </w:pPr>
      <w:r>
        <w:rPr>
          <w:rFonts w:ascii="Times New Roman" w:hAnsi="Times New Roman" w:eastAsia="Times New Roman" w:cs="Times New Roman"/>
          <w:color w:val="000000"/>
          <w:sz w:val="24"/>
        </w:rPr>
        <w:t xml:space="preserve">3.5 Cover Letter</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60" w:lineRule="auto" w:after="12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60" w:lineRule="auto" w:after="120"/>
        <w:ind w:firstLine="283"/>
        <w:jc w:val="both"/>
      </w:pPr>
      <w:r>
        <w:rPr>
          <w:rFonts w:ascii="Times New Roman" w:hAnsi="Times New Roman" w:eastAsia="Times New Roman" w:cs="Times New Roman"/>
          <w:color w:val="000000"/>
          <w:sz w:val="24"/>
        </w:rPr>
        <w:t xml:space="preserve">3.6 Interview Q&amp;A</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60" w:lineRule="auto" w:after="12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60" w:lineRule="auto" w:after="12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79"/>
    <w:bookmarkEnd w:id="80"/>
    <w:bookmarkStart w:id="82" w:name="portfolio-planner"/>
    <w:p>
      <w:pPr>
        <w:pStyle w:val="Heading2"/>
        <w:spacing w:line="360" w:lineRule="auto" w:after="120"/>
        <w:ind w:firstLine="283"/>
        <w:jc w:val="both"/>
      </w:pPr>
      <w:r>
        <w:rPr>
          <w:rFonts w:ascii="Times New Roman" w:hAnsi="Times New Roman" w:eastAsia="Times New Roman" w:cs="Times New Roman"/>
          <w:color w:val="000000"/>
          <w:sz w:val="24"/>
        </w:rPr>
        <w:t xml:space="preserve">3.7 Portfolio Planner</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60" w:lineRule="auto" w:after="12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60" w:lineRule="auto" w:after="12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60" w:lineRule="auto" w:after="12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60" w:lineRule="auto" w:after="12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60" w:lineRule="auto" w:after="12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60" w:lineRule="auto" w:after="12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chapter reports the empirical work of the thesis. The system described in Chapters 2 and 3 supports two modes for the analytical tools: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combining a heuristic baseline with the language-model output (40% / 60% weighting)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runs entirely on classical information-retrieval techniques. The research question motivating the chapter is the one stated in Section 1.4: on the controlled synthetic evaluation set described in Section 4.1.1, how much of the discriminative power of the blended mode is recoverable from a strictly classical-IR heuristic, and at what cost ratio?</w:t>
      </w:r>
    </w:p>
    <w:p>
      <w:pPr>
        <w:pStyle w:val="BodyText"/>
        <w:spacing w:line="360" w:lineRule="auto" w:after="120"/>
        <w:ind w:firstLine="283"/>
        <w:jc w:val="both"/>
      </w:pPr>
      <w:r>
        <w:rPr>
          <w:rFonts w:ascii="Times New Roman" w:hAnsi="Times New Roman" w:eastAsia="Times New Roman" w:cs="Times New Roman"/>
          <w:color w:val="000000"/>
          <w:sz w:val="24"/>
        </w:rPr>
        <w:t xml:space="preserve">The chapter is structured as follows. Section 4.1 specifies the methodology: the evaluation dataset, the metrics, the experimental controls. Section 4.2 introduces the strong heuristic (v2), the defendable replacement of the lightweight prepass described in Chapter 3. Section 4.3 reports the results. Section 4.4 discusses the limitations.</w:t>
      </w:r>
    </w:p>
    <w:bookmarkStart w:id="90" w:name="methodology"/>
    <w:p>
      <w:pPr>
        <w:pStyle w:val="Heading2"/>
        <w:spacing w:line="360" w:lineRule="auto" w:after="12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60" w:lineRule="auto" w:after="120"/>
        <w:ind w:firstLine="283"/>
        <w:jc w:val="both"/>
      </w:pPr>
      <w:r>
        <w:rPr>
          <w:rFonts w:ascii="Times New Roman" w:hAnsi="Times New Roman" w:eastAsia="Times New Roman" w:cs="Times New Roman"/>
          <w:color w:val="000000"/>
          <w:sz w:val="24"/>
        </w:rPr>
        <w:t xml:space="preserve">4.1.1 Evaluation dataset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dataset consists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 Each track contains five resumes spanning junior, mid, and senior seniority levels and three to four job descriptions paired only within the same track.</w:t>
      </w:r>
    </w:p>
    <w:p>
      <w:pPr>
        <w:pStyle w:val="BodyText"/>
        <w:spacing w:line="360" w:lineRule="auto" w:after="120"/>
        <w:ind w:firstLine="283"/>
        <w:jc w:val="both"/>
      </w:pPr>
      <w:r>
        <w:rPr>
          <w:rFonts w:ascii="Times New Roman" w:hAnsi="Times New Roman" w:eastAsia="Times New Roman" w:cs="Times New Roman"/>
          <w:color w:val="000000"/>
          <w:sz w:val="24"/>
        </w:rPr>
        <w:t xml:space="preserve">Both the resumes and the job descriptions are deterministically template-synthesised by the script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fixed-seed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random generator. The script is reproducible: every invocation reproduces the same 30 resumes and 20 job descriptions byte-for-byte, so the evaluation manifest is recoverable from the script alone without any cached artefact. Surface details (candidate names, employer placeholders, cities, universities) are drawn from curated lists shipped inside the synthesis script; the resume body content draws from a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pool written in past-tense achievement framing, and the job-description body content draws from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pool written in future-tense requirement framing. The two pools are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lexically disjoint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the content-word level after stop-words and role-domain skill terms are removed; this construction was adopted as part of the Stage G mitigation of validity threat T1 (Section 4.1.4) so that keyword-overlap measurements between resume and JD sides are not artefactually inflated by phrase-template identity. Synthesising both sides of the pair rather than scraping public listings removes the privacy and licensing risks associated with persisting third-party content, but it introduces the residual validity threats discussed in Section 4.1.4.</w:t>
      </w:r>
    </w:p>
    <w:p>
      <w:pPr>
        <w:pStyle w:val="BodyText"/>
        <w:spacing w:line="360" w:lineRule="auto" w:after="120"/>
        <w:ind w:firstLine="283"/>
        <w:jc w:val="both"/>
      </w:pPr>
      <w:r>
        <w:rPr>
          <w:rFonts w:ascii="Times New Roman" w:hAnsi="Times New Roman" w:eastAsia="Times New Roman" w:cs="Times New Roman"/>
          <w:color w:val="000000"/>
          <w:sz w:val="24"/>
        </w:rPr>
        <w:t xml:space="preserve">The decision to synthesise the dataset rather than recruit a panel of real applicants and scrape real postings was a pragmatic one for a Bachelor-thesis schedule. A real-applicant panel would have required a written-consent process, a privacy review for the persistence of the data, and a collection window longer than the four months between project kick-off and the submission deadline. Section 4.4 returns to the implication for external validity.</w:t>
      </w:r>
    </w:p>
    <w:p>
      <w:pPr>
        <w:pStyle w:val="BodyText"/>
        <w:spacing w:line="360" w:lineRule="auto" w:after="120"/>
        <w:ind w:firstLine="283"/>
        <w:jc w:val="both"/>
      </w:pPr>
      <w:r>
        <w:rPr>
          <w:rFonts w:ascii="Times New Roman" w:hAnsi="Times New Roman" w:eastAsia="Times New Roman" w:cs="Times New Roman"/>
          <w:color w:val="000000"/>
          <w:sz w:val="24"/>
        </w:rPr>
        <w:t xml:space="preserve">The full evaluation pairs every resume with every job description on the same role track. Per-track job-description counts are three for four tracks and four for two tracks, which produces an exact total of 5 × 3 × 4 + 5 × 4 × 2 = 100 (resume, job-description) pairs; Appendix B.3 documents the per-track distribution. Each pair is run through the analytical pipeline once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once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producing two complete response objects per pair. The resulting dataset of 200 response objects is the basis for all metrics reported in Section 4.3.</w:t>
      </w:r>
    </w:p>
    <w:bookmarkEnd w:id="86"/>
    <w:bookmarkStart w:id="87" w:name="metrics"/>
    <w:p>
      <w:pPr>
        <w:pStyle w:val="Heading3"/>
        <w:spacing w:line="360" w:lineRule="auto" w:after="120"/>
        <w:ind w:firstLine="283"/>
        <w:jc w:val="both"/>
      </w:pPr>
      <w:r>
        <w:rPr>
          <w:rFonts w:ascii="Times New Roman" w:hAnsi="Times New Roman" w:eastAsia="Times New Roman" w:cs="Times New Roman"/>
          <w:color w:val="000000"/>
          <w:sz w:val="24"/>
        </w:rPr>
        <w:t xml:space="preserve">4.1.2 Metrics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Four metrics are computed per pair.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Pearson product–moment correlation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between the two modes’ overall scores measures linear association across all pairs. The Spearman rank correlation ρ and Kendall τ are also computed: these capture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rank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agreement, which is the property most relevant to using the heuristic as a screening signal even when its score scale differs from the blended mode. Values around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are sometimes used as soft anchors in retrieval-quality discussions [6]; this thesis treats the number as a reference point only, not as a hypothesis the chapter seeks to confirm.</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between the two distributions of overall scores. This complements the correlation by reporting how differently the two modes spread the scores across the 0–100 range; a high correlation with a high KS distance would indicate that the heuristic ranks pairs in the same order as the blended mode but compresses or shifts the score scale.</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wall-clock time from the moment the request reaches the tool service to the moment a complete response is returned, measured in milliseconds. Latency is reported as the median, the 95th percentile, and the maximum across all pairs. Latency excludes network round-trip time between the client and the backend.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marginal cost of a single tool invocation, expressed in US dollars. The blended mode incurs a Gemini 2.5 Flash bill for input and output tokens; the fully heuristic mode incurs no third-party charge.</w:t>
      </w:r>
    </w:p>
    <w:bookmarkEnd w:id="87"/>
    <w:bookmarkStart w:id="88" w:name="controls"/>
    <w:p>
      <w:pPr>
        <w:pStyle w:val="Heading3"/>
        <w:spacing w:line="360" w:lineRule="auto" w:after="120"/>
        <w:ind w:firstLine="283"/>
        <w:jc w:val="both"/>
      </w:pPr>
      <w:r>
        <w:rPr>
          <w:rFonts w:ascii="Times New Roman" w:hAnsi="Times New Roman" w:eastAsia="Times New Roman" w:cs="Times New Roman"/>
          <w:color w:val="000000"/>
          <w:sz w:val="24"/>
        </w:rPr>
        <w:t xml:space="preserve">4.1.3 Controls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Three controls were applied to ensure the comparison is sound.</w:t>
      </w:r>
    </w:p>
    <w:p>
      <w:pPr>
        <w:pStyle w:val="BodyText"/>
        <w:spacing w:line="360" w:lineRule="auto" w:after="120"/>
        <w:ind w:firstLine="283"/>
        <w:jc w:val="both"/>
      </w:pPr>
      <w:r>
        <w:rPr>
          <w:rFonts w:ascii="Times New Roman" w:hAnsi="Times New Roman" w:eastAsia="Times New Roman" w:cs="Times New Roman"/>
          <w:color w:val="000000"/>
          <w:sz w:val="24"/>
        </w:rPr>
        <w:t xml:space="preserve">The same content hash is used for both modes per pair, which prevents cache reuse from contaminating the latency numbers. Cache is otherwise disabled for the duration of the experimental run by setting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same heuristic implementation (selected through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used by both modes for the comparative run, so the only difference between the two runs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This isolates the LLM contribution rather than confounding it with an upstream change to the prepass.</w:t>
      </w:r>
    </w:p>
    <w:p>
      <w:pPr>
        <w:pStyle w:val="BodyText"/>
        <w:spacing w:line="360" w:lineRule="auto" w:after="120"/>
        <w:ind w:firstLine="283"/>
        <w:jc w:val="both"/>
      </w:pPr>
      <w:r>
        <w:rPr>
          <w:rFonts w:ascii="Times New Roman" w:hAnsi="Times New Roman" w:eastAsia="Times New Roman" w:cs="Times New Roman"/>
          <w:color w:val="000000"/>
          <w:sz w:val="24"/>
        </w:rPr>
        <w:t xml:space="preserve">The temperature of the LLM call is fixed at 0.0 for the blended-mode run, which removes sampling variance from the comparison. The remaining variability in the LLM output reflects only the model’s deterministic decoding given the fixed input.</w:t>
      </w:r>
    </w:p>
    <w:bookmarkEnd w:id="88"/>
    <w:bookmarkStart w:id="89" w:name="threats-to-validity"/>
    <w:p>
      <w:pPr>
        <w:pStyle w:val="Heading3"/>
        <w:spacing w:line="360" w:lineRule="auto" w:after="120"/>
        <w:ind w:firstLine="283"/>
        <w:jc w:val="both"/>
      </w:pPr>
      <w:r>
        <w:rPr>
          <w:rFonts w:ascii="Times New Roman" w:hAnsi="Times New Roman" w:eastAsia="Times New Roman" w:cs="Times New Roman"/>
          <w:color w:val="000000"/>
          <w:sz w:val="24"/>
        </w:rPr>
        <w:t xml:space="preserve">4.1.4 Threats to validity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Four threats to the validity of the comparative result reported in Section 4.3 are stated explicitly here so that the discussion in Section 4.4 and the limitation framing in Section 5.2 can refer back to them.</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original synthesis script populated resume bullet content and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you’ll do”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of every job description from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same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per-track responsibility list (the dictionary entry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track["responsibilities"]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the early version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In some pairs identical sentences appeared on both sides; the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contained the literal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both the resume bullet list and the job-description responsibilities. The keyword-axis correlation observed in the leakage version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was consistent with this construction: both scoring modes consumed the same lexical surface that the synthesis had injected on both sides. The dataset has been regenerated under a disjoint-vocabulary construction: each role track now exposes two separate phrase pools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past-tense achievement framing,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future-tense requirement framing) whose lexical content is disjoint at the content-word level after stop-words and role-domain skill terms are removed. The verification script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(committed alongside the synthesis script) reports that per-pair content-token overlap dropped from a mean of 11.82 in the leakage version to 0.44 in the disjoint-pool version, a 27× reduction; zero pairs flag the &gt;3-token threshold against 97 in the leakage version. The numbers reported in Section 4.3 are post-mitigation; the leakage-version dataset and its results are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an explicit before/after comparison.</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T2 (Self-correlation between the two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blended-mode overall score is computed as a weighted mean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0.40 × heuristic_score + 0.60 × llm_score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(Sections 3.2.3 and 4.2.7); the heuristic-only mode score is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alone. The Pearson correlation between the blended mode and the heuristic-only mode therefore contains a structural floor of agreement attributable to the 0.40 component the two share by construction, even before the language model contributes any signal. Because the heuristic prepass is exposed to the LLM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meaning the heuristic component of the blended score is invariant under the LLM call, the LLM-only score is recoverable post-hoc from the same per-pair results without any additional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the resulting LLM-only-versus-heuristic correlation alongside the headline blended-versus-heuristic correlation, so the structural component is now isolated from the cross-mode agreement.</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paired observations are constructed by pairing 30 resumes with 20 job descriptions inside their respective tracks. Each resume contributes between three and four observations, and each job description contributes five observations, so the 100 pairs are not 100 independent draws. The correlations reported in Section 4.3.1 are now accompanied by 95% confidence intervals computed via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pairs sharing a resume are resampled together so that the in-track pairing structure is honoured. The intervals are wider than an independent-and-identically-distributed assumption would suggest, as expected.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T4 (Post-hoc heuristic design, DISCLOSED but not 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specified in Section 4.2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(disclosed in Section 1.4). Because the heuristic was tuned with knowledge of the language model’s behaviour on the analytical tools, the agreement reported in Section 4.3.1 partially reflects the design coupling rather than an independent comparison. Closing this threat fully would require redesigning the heuristic from scratch against a held-out reference, which is outside the scope of the engineering BSc deliverable; the thesis flags this disclosure as a partial mitigation rather than a claim that the coupling is dissolved.</w:t>
      </w:r>
    </w:p>
    <w:p>
      <w:pPr>
        <w:pStyle w:val="BodyText"/>
        <w:spacing w:line="360" w:lineRule="auto" w:after="120"/>
        <w:ind w:firstLine="283"/>
        <w:jc w:val="both"/>
      </w:pPr>
      <w:r>
        <w:rPr>
          <w:rFonts w:ascii="Times New Roman" w:hAnsi="Times New Roman" w:eastAsia="Times New Roman" w:cs="Times New Roman"/>
          <w:color w:val="000000"/>
          <w:sz w:val="24"/>
        </w:rPr>
        <w:t xml:space="preserve">Of the four threats, T1 is closed by the disjoint-pool regeneration, T2 by the post-hoc LLM-only baseline, and T3 by the cluster-bootstrap confidence intervals. T4 remains a transparent disclosure rather than a closure; the explicit sensitivity rerun of the score-combination weights reported in Section 4.3.5 is the only mitigation available without redesigning the heuristic against an independent reference.</w:t>
      </w:r>
    </w:p>
    <w:bookmarkEnd w:id="89"/>
    <w:bookmarkEnd w:id="90"/>
    <w:bookmarkStart w:id="100" w:name="the-strong-heuristic-v2"/>
    <w:p>
      <w:pPr>
        <w:pStyle w:val="Heading2"/>
        <w:spacing w:line="360" w:lineRule="auto" w:after="12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heuristic prepass described in Chapter 3 was sufficient to support the system’s fallback behaviour but is not, on its own, defendable as a serious comparison point against an LLM. Its keyword extraction is binary; its skill detection is a fixed list lookup; its score combination is an unweighted mean across five sub-scores. To support the comparative study, this section introduces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 heuristic v2</w:t>
      </w:r>
      <w:r>
        <w:rPr>
          <w:rFonts w:ascii="Times New Roman" w:hAnsi="Times New Roman" w:eastAsia="Times New Roman" w:cs="Times New Roman"/>
          <w:color w:val="000000"/>
          <w:sz w:val="24"/>
        </w:rPr>
        <w:t xml:space="preserve">, which replaces each of those weak primitives with a published-method counterpart drawn from classical information-retrieval research. By construction, every component of v2 is non-neural; the line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clean for the comparison reported in Section 4.3.</w:t>
      </w:r>
    </w:p>
    <w:p>
      <w:pPr>
        <w:pStyle w:val="BodyText"/>
        <w:spacing w:line="360" w:lineRule="auto" w:after="120"/>
        <w:ind w:firstLine="283"/>
        <w:jc w:val="both"/>
      </w:pPr>
      <w:r>
        <w:rPr>
          <w:rFonts w:ascii="Times New Roman" w:hAnsi="Times New Roman" w:eastAsia="Times New Roman" w:cs="Times New Roman"/>
          <w:color w:val="000000"/>
          <w:sz w:val="24"/>
        </w:rPr>
        <w:t xml:space="preserve">The decision to keep the heuristic strictly non-neural rather than to include a sentence-transformer–based component was made deliberately. A sentence-transformer baseline would have been a stronger numerical competitor to the blended mode but would have blurred the comparison: any positive result would have been attributable to the embedding model, and any negative result would have been blamed on it. By limiting v2 to classical-IR primitives, the comparison reported in Section 4.3 is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 reasoning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non-language-model methods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the strictest sense available, which is the comparison that the literature in Section 1.4 frames most clearly. A sentence-transformer intermediate tier is then proposed as future work in Section 5.3.</w:t>
      </w:r>
    </w:p>
    <w:bookmarkStart w:id="91" w:name="tfidfweighted-keyword-evidence"/>
    <w:p>
      <w:pPr>
        <w:pStyle w:val="Heading3"/>
        <w:spacing w:line="360" w:lineRule="auto" w:after="12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lightweight prepass described in Chapter 3 reports a binary match/miss for each keyword in a job description. Keywords are not all equally informative: the term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“communication”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appears in nearly every white-collar job description and contributes little to discriminating between roles, whereas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“vector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appears in a small fraction of postings and is highly discriminative when present. The strong heuristic weights keyword evidence by the inverse document frequency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each term, computed over the corpus of job descriptions in the evaluation set [5]. The keyword-alignment sub-score is then defined as</w:t>
      </w:r>
    </w:p>
    <w:p>
      <w:pPr>
        <w:pStyle w:val="BodyText"/>
        <w:spacing w:line="360" w:lineRule="auto" w:after="12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60" w:lineRule="auto" w:after="12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and idf is the corpus-level inverse document frequency. This replaces a count ratio with a weighted-coverage ratio.</w:t>
      </w:r>
    </w:p>
    <w:p>
      <w:pPr>
        <w:pStyle w:val="BodyText"/>
        <w:spacing w:line="360" w:lineRule="auto" w:after="120"/>
        <w:ind w:firstLine="283"/>
        <w:jc w:val="both"/>
      </w:pPr>
      <w:r>
        <w:rPr>
          <w:rFonts w:ascii="Times New Roman" w:hAnsi="Times New Roman" w:eastAsia="Times New Roman" w:cs="Times New Roman"/>
          <w:color w:val="000000"/>
          <w:sz w:val="24"/>
        </w:rPr>
        <w:t xml:space="preserve">The full BM25 form [6] adds a saturation term that prevents very high keyword frequency in the resume from dominating the score.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the parameters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are taken from the BM25 defaults that have proven robust across decades of retrieval research. The IDF table is computed in two complementary ways: the production path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bundled baseline 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derived once at import time from the ESCO knowledge base shipped with the application (each ESCO entry, canonical label plus surface variants, treated as a short document), while the evaluation harness recomputes IDF over the full set of evaluation job descriptions before scoring. Both paths share the same ranking formula; only the IDF source differs, which keeps absolute BM25 values comparable within a run while honestly reflecting the small size of the corpus available at module load time.</w:t>
      </w:r>
    </w:p>
    <w:bookmarkEnd w:id="91"/>
    <w:bookmarkStart w:id="92" w:name="esco-aligned-skill-normalisation"/>
    <w:p>
      <w:pPr>
        <w:pStyle w:val="Heading3"/>
        <w:spacing w:line="360" w:lineRule="auto" w:after="12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fixed skill list used by the lightweight prepass cannot reconcile surface variations of the same underlying skill.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should map to a single ESCO skill identifier; the prior implementation treated them as three independent strings. The strong heuristic introduces a top-down ESCO normalisation layer [8, 9, 12]. A curated subset of the ESCO skill knowledge base, at the time of submission approximately one hundred entries focused on the digital and creative-industry domains (with the data file structured for straightforward expansion to the roughly eight hundred entries needed for production-scale coverage), is bundled with the application as a JSON resource. Each entry contains a canonical label and a list of surface variants, drawn from the published ESCO multilingual dataset.</w:t>
      </w:r>
    </w:p>
    <w:p>
      <w:pPr>
        <w:pStyle w:val="BodyText"/>
        <w:spacing w:line="360" w:lineRule="auto" w:after="120"/>
        <w:ind w:firstLine="283"/>
        <w:jc w:val="both"/>
      </w:pPr>
      <w:r>
        <w:rPr>
          <w:rFonts w:ascii="Times New Roman" w:hAnsi="Times New Roman" w:eastAsia="Times New Roman" w:cs="Times New Roman"/>
          <w:color w:val="000000"/>
          <w:sz w:val="24"/>
        </w:rPr>
        <w:t xml:space="preserve">At analysis time, both the resume and the job description are scanned for occurrences of any ESCO surface variant; matches are normalised to the canonical label, and the two sets of canonical labels are intersected. The keyword-alignment sub-score is then computed against the normalised label sets, so that the three Postgres surface forms count as a single match against a job description that asks for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w:t>
      </w:r>
    </w:p>
    <w:bookmarkEnd w:id="92"/>
    <w:bookmarkStart w:id="93" w:name="fuzzy-matching"/>
    <w:p>
      <w:pPr>
        <w:pStyle w:val="Heading3"/>
        <w:spacing w:line="360" w:lineRule="auto" w:after="120"/>
        <w:ind w:firstLine="283"/>
        <w:jc w:val="both"/>
      </w:pPr>
      <w:r>
        <w:rPr>
          <w:rFonts w:ascii="Times New Roman" w:hAnsi="Times New Roman" w:eastAsia="Times New Roman" w:cs="Times New Roman"/>
          <w:color w:val="000000"/>
          <w:sz w:val="24"/>
        </w:rPr>
        <w:t xml:space="preserve">4.2.3 Fuzzy matching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Even after ESCO normalisation, surface variation persists for skills that are not in the bundled ESCO subset and for non-skill keywords that the user has supplied informally. The strong heuristic applies an additional fuzzy-matching pass based on the Levenshtein-edit-distance similarity metric [7], implemented through Python’s standard-library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(which computes a normalised longest-common-subsequence ratio mathematically equivalent to a normalised edit distance for the cases that arise in resume keyword matching). A keyword from the job description is considered matched in the resume when either (i) the exact token appears, (ii) the canonical ESCO label appears after normalisation, or (iii) a token in the resume has SequenceMatcher ratio above a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the keyword. The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was chosen empirically: values below 0.80 admit too many spurious matches (English plurals are at ~0.95 already; below 0.80, unrelated tokens begin to register), and values above 0.90 reject obvious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Choosing the standard-library implementation rather than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keeps the heuristic dependency-free, which is a property that makes the fully-heuristic mode auditable in deployments where third-party libraries are restricted.</w:t>
      </w:r>
    </w:p>
    <w:bookmarkEnd w:id="93"/>
    <w:bookmarkStart w:id="94" w:name="section-weighted-features"/>
    <w:p>
      <w:pPr>
        <w:pStyle w:val="Heading3"/>
        <w:spacing w:line="360" w:lineRule="auto" w:after="12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 skill listed in a dedicated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carries different evidential weight from the same skill mentioned in a project description. Recruiters read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as a checklist and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as a narrative; the two should not contribute equally to a sub-score that is meant to reflect what a recruiter scans for [18]. The strong heuristic applies a per-section weight when computing the matched-keyword set: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1.0,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0.7,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0.5, and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0.3. The total weighted match is then normalised against the maximum achievable weighted match for the keyword set in question.</w:t>
      </w:r>
    </w:p>
    <w:bookmarkEnd w:id="94"/>
    <w:bookmarkStart w:id="95" w:name="quantification-regex"/>
    <w:p>
      <w:pPr>
        <w:pStyle w:val="Heading3"/>
        <w:spacing w:line="360" w:lineRule="auto" w:after="120"/>
        <w:ind w:firstLine="283"/>
        <w:jc w:val="both"/>
      </w:pPr>
      <w:r>
        <w:rPr>
          <w:rFonts w:ascii="Times New Roman" w:hAnsi="Times New Roman" w:eastAsia="Times New Roman" w:cs="Times New Roman"/>
          <w:color w:val="000000"/>
          <w:sz w:val="24"/>
        </w:rPr>
        <w:t xml:space="preserve">4.2.5 Quantification regex</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Quantification (numbers, percentages, currency tokens, time periods) is one of the strongest signals that a resume bullet describes a measurable outcome rather than a duty. The strong heuristic uses a single composite regular expression to detect any of seven quantification patterns: bare integers, numeric percentages, currency-prefixed amounts, time periods (weeks, months, years), magnitudes (k, M, B, ×), counts of users or customers, and team-size descriptors. The count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quantified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bullets enters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with a saturating logarithmic weight, so that the difference between zero and three quantified bullets is much larger than the difference between fifteen and eighteen.</w:t>
      </w:r>
    </w:p>
    <w:bookmarkEnd w:id="95"/>
    <w:bookmarkStart w:id="96" w:name="action-verb-scoring"/>
    <w:p>
      <w:pPr>
        <w:pStyle w:val="Heading3"/>
        <w:spacing w:line="360" w:lineRule="auto" w:after="120"/>
        <w:ind w:firstLine="283"/>
        <w:jc w:val="both"/>
      </w:pPr>
      <w:r>
        <w:rPr>
          <w:rFonts w:ascii="Times New Roman" w:hAnsi="Times New Roman" w:eastAsia="Times New Roman" w:cs="Times New Roman"/>
          <w:color w:val="000000"/>
          <w:sz w:val="24"/>
        </w:rPr>
        <w:t xml:space="preserve">4.2.6 Action-verb scoring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 resume bullet that begins with a strong action verb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communicates ownership more directly than one that begins with a passive construction or a weak filler verb (</w:t>
      </w:r>
      <w:r>
        <w:rPr>
          <w:rFonts w:ascii="Times New Roman" w:hAnsi="Times New Roman" w:eastAsia="Times New Roman" w:cs="Times New Roman"/>
          <w:color w:val="000000"/>
          <w:sz w:val="24"/>
        </w:rPr>
        <w:t xml:space="preserve">“worked 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“involved in”</w:t>
      </w:r>
      <w:r>
        <w:rPr>
          <w:rFonts w:ascii="Times New Roman" w:hAnsi="Times New Roman" w:eastAsia="Times New Roman" w:cs="Times New Roman"/>
          <w:color w:val="000000"/>
          <w:sz w:val="24"/>
        </w:rPr>
        <w:t xml:space="preserve">). The strong heuristic includes a curated action-verb dictionary of approximately 190 entries, aggregated from publicly available career-services resources of established universities (Harvard FAS, MIT Career Advising, Princeton Career Development), and counts the fraction of bullets whose leading token belongs to the dictionary. This fraction enters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with a linear weight.</w:t>
      </w:r>
    </w:p>
    <w:bookmarkEnd w:id="96"/>
    <w:bookmarkStart w:id="97" w:name="score-combination"/>
    <w:p>
      <w:pPr>
        <w:pStyle w:val="Heading3"/>
        <w:spacing w:line="360" w:lineRule="auto" w:after="120"/>
        <w:ind w:firstLine="283"/>
        <w:jc w:val="both"/>
      </w:pPr>
      <w:r>
        <w:rPr>
          <w:rFonts w:ascii="Times New Roman" w:hAnsi="Times New Roman" w:eastAsia="Times New Roman" w:cs="Times New Roman"/>
          <w:color w:val="000000"/>
          <w:sz w:val="24"/>
        </w:rPr>
        <w:t xml:space="preserve">4.2.7 Score combination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into the overall score through a weighted mean rather than the simple mean used by the lightweight prepass. The weights (0.30, 0.25, 0.15, 0.15, 0.15) are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author-selected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reflect the design intuition that recruiter-side scanning is dominated by keyword and impact signals, with structural, clarity, and completeness signals carrying smaller but non-trivial weight. They are not derived from a published recruiter survey; the thesis does not claim such a derivation. Section 4.3.5 reports a sensitivity analysis in which the same comparative result is recomputed under an equal-weight combination (0.20 across all five sub-scores); the value-association result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stays above the 0.7 reference threshold under both weightings, while the rank-agreement result (Spearman ρ) drops below the threshold under equal weights, a partial-robustness finding rather than weight-independence.</w:t>
      </w:r>
    </w:p>
    <w:bookmarkEnd w:id="97"/>
    <w:bookmarkStart w:id="98" w:name="implementation-notes"/>
    <w:p>
      <w:pPr>
        <w:pStyle w:val="Heading3"/>
        <w:spacing w:line="360" w:lineRule="auto" w:after="120"/>
        <w:ind w:firstLine="283"/>
        <w:jc w:val="both"/>
      </w:pPr>
      <w:r>
        <w:rPr>
          <w:rFonts w:ascii="Times New Roman" w:hAnsi="Times New Roman" w:eastAsia="Times New Roman" w:cs="Times New Roman"/>
          <w:color w:val="000000"/>
          <w:sz w:val="24"/>
        </w:rPr>
        <w:t xml:space="preserve">4.2.8 Implementation notes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strong heuristic v2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a new module added alongside the existing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the lightweight version remains available for the production fallback path. A configuration flag selects which version is active: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enables the strong heuristic for the analytical tools and is the default for the experimental run reported in Section 4.3. The corresponding admin toggle is described in Section 4.2.9.</w:t>
      </w:r>
    </w:p>
    <w:bookmarkEnd w:id="98"/>
    <w:bookmarkStart w:id="99" w:name="the-administrative-toggle"/>
    <w:p>
      <w:pPr>
        <w:pStyle w:val="Heading3"/>
        <w:spacing w:line="360" w:lineRule="auto" w:after="12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Non-functional requirement N7 of Chapter 2 calls for runtime switchability between the two scoring modes. The implementation introduces three small surfaces.</w:t>
      </w:r>
    </w:p>
    <w:p>
      <w:pPr>
        <w:pStyle w:val="BodyText"/>
        <w:spacing w:line="360" w:lineRule="auto" w:after="120"/>
        <w:ind w:firstLine="283"/>
        <w:jc w:val="both"/>
      </w:pPr>
      <w:r>
        <w:rPr>
          <w:rFonts w:ascii="Times New Roman" w:hAnsi="Times New Roman" w:eastAsia="Times New Roman" w:cs="Times New Roman"/>
          <w:color w:val="000000"/>
          <w:sz w:val="24"/>
        </w:rPr>
        <w:t xml:space="preserve">A backend configuration flag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accepts the values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the default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When the value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the analytical services skip the LLM call entirely and return the response constructed from the strong heuristic v2.</w:t>
      </w:r>
    </w:p>
    <w:p>
      <w:pPr>
        <w:pStyle w:val="BodyText"/>
        <w:spacing w:line="360" w:lineRule="auto" w:after="120"/>
        <w:ind w:firstLine="283"/>
        <w:jc w:val="both"/>
      </w:pPr>
      <w:r>
        <w:rPr>
          <w:rFonts w:ascii="Times New Roman" w:hAnsi="Times New Roman" w:eastAsia="Times New Roman" w:cs="Times New Roman"/>
          <w:color w:val="000000"/>
          <w:sz w:val="24"/>
        </w:rPr>
        <w:t xml:space="preserve">A runtime-state module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maintains an in-memory override of the configuration flag. The override is set by a POST request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read by the analytical services on every request. The override survives a request but does not survive a process restart, on the principle that the configuration of record is the environment variable; the runtime override is for live demonstration during the diploma defence.</w:t>
      </w:r>
    </w:p>
    <w:p>
      <w:pPr>
        <w:pStyle w:val="BodyText"/>
        <w:spacing w:line="360" w:lineRule="auto" w:after="120"/>
        <w:ind w:firstLine="283"/>
        <w:jc w:val="both"/>
      </w:pPr>
      <w:r>
        <w:rPr>
          <w:rFonts w:ascii="Times New Roman" w:hAnsi="Times New Roman" w:eastAsia="Times New Roman" w:cs="Times New Roman"/>
          <w:color w:val="000000"/>
          <w:sz w:val="24"/>
        </w:rPr>
        <w:t xml:space="preserve">The runtime toggle is exercised by issuing a POST request to the endpoint through any HTTP client, or through the auto-generated FastAPI documentation page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/api/v1/docs</w:t>
      </w:r>
      <w:r>
        <w:rPr>
          <w:rFonts w:ascii="Times New Roman" w:hAnsi="Times New Roman" w:eastAsia="Times New Roman" w:cs="Times New Roman"/>
          <w:color w:val="000000"/>
          <w:sz w:val="24"/>
        </w:rPr>
        <w:t xml:space="preserve">, by an authenticated administrator. The new mode is applied to the next analytical request without any further action from the operator. Direct visual capture of the administrative toggle interface is omitted from Appendix C; the runtime-toggle mechanism is documented through the source listing in Appendix A.3 and through the comparative study reported in Section 4.3, which exercises both scoring modes end-to-end on the synthetic evaluation set.</w:t>
      </w:r>
    </w:p>
    <w:bookmarkEnd w:id="99"/>
    <w:bookmarkEnd w:id="100"/>
    <w:bookmarkStart w:id="112" w:name="results"/>
    <w:p>
      <w:pPr>
        <w:pStyle w:val="Heading2"/>
        <w:spacing w:line="360" w:lineRule="auto" w:after="120"/>
        <w:ind w:firstLine="283"/>
        <w:jc w:val="both"/>
      </w:pPr>
      <w:r>
        <w:rPr>
          <w:rFonts w:ascii="Times New Roman" w:hAnsi="Times New Roman" w:eastAsia="Times New Roman" w:cs="Times New Roman"/>
          <w:color w:val="000000"/>
          <w:sz w:val="24"/>
        </w:rPr>
        <w:t xml:space="preserve">4.3 Results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on the synthetic evaluation set described in Section 4.1.1. Every (resume, JD) pair was scored under both modes; both modes succeeded on every pair. The numerical results in the tables below are emitted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file. The reference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used by Robertson and Zaragoza [6] in their reliability discussion is taken as a literature anchor for what counts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“comparable”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as a research hypothesis to test.</w:t>
      </w:r>
    </w:p>
    <w:bookmarkStart w:id="101" w:name="score-agreement"/>
    <w:p>
      <w:pPr>
        <w:pStyle w:val="Heading3"/>
        <w:spacing w:line="360" w:lineRule="auto" w:after="120"/>
        <w:ind w:firstLine="283"/>
        <w:jc w:val="both"/>
      </w:pPr>
      <w:r>
        <w:rPr>
          <w:rFonts w:ascii="Times New Roman" w:hAnsi="Times New Roman" w:eastAsia="Times New Roman" w:cs="Times New Roman"/>
          <w:color w:val="000000"/>
          <w:sz w:val="24"/>
        </w:rPr>
        <w:t xml:space="preserve">4.3.1 Score agreement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 The numbers reported here are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post-mitigation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values, computed on the disjoint-vocabulary dataset described in Section 4.1.1;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pre-mitigation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values for the same statistics on the leakage-version dataset are reported alongside for an explicit before/after comparison, and the leakage-version dataset and results are archived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respectively.</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244"/>
        <w:gridCol w:w="1923"/>
        <w:gridCol w:w="2941"/>
        <w:gridCol w:w="181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Post-mitigation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Pre-mitigation (leakage)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Interpretation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Pearson</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0.836</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[95% CI 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0.727 [95% CI 0.609, 0.814]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Linear association between mode scores.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Spearman ρ</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0.847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Rank agreement; the property most relevant to screening use.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Kendall τ</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0.669</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0.526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Pairwise rank concordance.</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cluster-bootstrap confidence intervals are computed by resampling resume clusters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so that the in-track pairing structure documented in Section 4.1.3 is honoured; the intervals are wider than an i.i.d. assumption would suggest, as expected, and address validity threat T3 of Section 4.1.4. 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0.836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higher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than the pre-mitigation 0.727. This result initially seems counter-intuitive given that the leakage construction was expected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inflate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keyword overlap, and the explanation lies in the per-sub-score breakdown below: the leakage-version dataset injected high-correlation noise on the keyword axis but suppressed the cleaner cross-mode signal on the structure and completeness axes; the disjoint-pool regeneration removed the artefactual lexical sharing without removing the legitimate skill-overlap signal that classical keyword matching is supposed to detect, and revealed a higher post-mitigation agreement than the leakage version had recorded. The agreement is best read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the weaker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moderate-to-useful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that the leakage-version chapter supported.</w:t>
      </w:r>
    </w:p>
    <w:p>
      <w:pPr>
        <w:pStyle w:val="BodyText"/>
        <w:spacing w:line="360" w:lineRule="auto" w:after="120"/>
        <w:ind w:firstLine="283"/>
        <w:jc w:val="both"/>
      </w:pPr>
      <w:r>
        <w:rPr>
          <w:rFonts w:ascii="Times New Roman" w:hAnsi="Times New Roman" w:eastAsia="Times New Roman" w:cs="Times New Roman"/>
          <w:color w:val="000000"/>
          <w:sz w:val="24"/>
        </w:rPr>
        <w:t xml:space="preserve">The per-sub-score breakdown reveals where the agreement comes from and where the two modes diverge.</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957"/>
        <w:gridCol w:w="2523"/>
        <w:gridCol w:w="2436"/>
        <w:gridCol w:w="1044"/>
        <w:gridCol w:w="957"/>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Sub-score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Post-mitigation 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Pre-mitigation 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Kendall τ</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keywords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0.937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0.941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0.845</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impact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0.561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0.332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structure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0.440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clarity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0.395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0.373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0.289</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completeness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0.691</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0.793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0.689</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is essentially unchanged between the leakage and the disjoint-vocabulary versions (0.941 → 0.937). This invariance confirms that the agreement on the keyword axis is not driven by the action-verb phrasing that the disjoint-pool regeneration removed but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skill-term overlap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both pools intentionally retained: the resume side and the JD side both reference the same canonical ESCO skill labels (Python, React, BM25, and so on), and that signal is the legitimate matching evidence the heuristic and the language model are both designed to consume.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is the largest single beneficiary of the regeneration (0.440 → 0.830): under the disjoint-vocabulary construction, both modes pick up the structural regularities of the synthesised resumes more cleanly because the leakage-version’s repeated phrase templates had introduced sentence-length and bullet-density artefacts that depressed the structure-axis correlation.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 the two axes on which the language-model contribution is most distinct from the heuristic;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clarity correlation is consistent with the language model weighing prose-quality features the heuristic cannot see.</w:t>
      </w:r>
    </w:p>
    <w:p>
      <w:pPr>
        <w:pStyle w:val="BodyText"/>
        <w:spacing w:line="360" w:lineRule="auto" w:after="120"/>
        <w:ind w:firstLine="283"/>
        <w:jc w:val="both"/>
      </w:pPr>
      <w:r>
        <w:rPr>
          <w:rFonts w:ascii="Times New Roman" w:hAnsi="Times New Roman" w:eastAsia="Times New Roman" w:cs="Times New Roman"/>
          <w:color w:val="000000"/>
          <w:sz w:val="24"/>
        </w:rPr>
        <w:t xml:space="preserve">An analytical sanity check confirms the structural decomposition. Given the construction blended = 0.40 × heuristic + 0.60 × LLM and the measured r(LLM-only, heuristic) = 0.627 (recovered post-hoc in Section 4.3.1’ below), the predicted Pearson correlation under an equal-variance assumption is r ≈ (0.4 + 0.6 × 0.627) / sqrt(0.52 + 0.48 × 0.627) ≈ 0.857. The observed r(blended, heuristic) = 0.836 sits within rounding distance of this analytical prediction, confirming that the blended score behaves as the weighted agreement of its two components in correlation space, not merely in score space. This decomposition is the methodological anchor of the comparative study reported in this chapter.</w:t>
      </w:r>
    </w:p>
    <w:p>
      <w:pPr>
        <w:pStyle w:val="BodyText"/>
        <w:spacing w:line="360" w:lineRule="auto" w:after="120"/>
        <w:ind w:firstLine="283"/>
        <w:jc w:val="both"/>
      </w:pPr>
      <w:r>
        <w:rPr>
          <w:rFonts w:ascii="Times New Roman" w:hAnsi="Times New Roman" w:eastAsia="Times New Roman" w:cs="Times New Roman"/>
          <w:color w:val="000000"/>
          <w:sz w:val="24"/>
        </w:rPr>
        <w:t xml:space="preserve">The self-correlation concern flagged as threat T2 in Section 4.1.4 is addressed quantitatively in the next subsection.</w:t>
      </w:r>
    </w:p>
    <w:bookmarkEnd w:id="101"/>
    <w:bookmarkStart w:id="102" w:name="llm-only-baseline-t2-mitigation"/>
    <w:p>
      <w:pPr>
        <w:pStyle w:val="Heading3"/>
        <w:spacing w:line="360" w:lineRule="auto" w:after="12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60" w:lineRule="auto" w:after="12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60" w:lineRule="auto" w:after="12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4.1’ reports the three pairwise correlations with cluster-bootstrap confidence intervals.</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Pair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95% CI (cluster bootstrap)</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blended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0.847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LLM-only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[0.476, 0.765]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blended vs LLM-only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0.952</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[0.923, 0.973]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This distribution shape is comparable to the blended and heuristic distributions (Section 4.3.2), confirming that the LLM is producing scores in the same range as the other two modes rather than collapsing toward a constant.</w:t>
      </w:r>
    </w:p>
    <w:p>
      <w:pPr>
        <w:pStyle w:val="BodyText"/>
        <w:spacing w:line="360" w:lineRule="auto" w:after="120"/>
        <w:ind w:firstLine="283"/>
        <w:jc w:val="both"/>
      </w:pPr>
      <w:r>
        <w:rPr>
          <w:rFonts w:ascii="Times New Roman" w:hAnsi="Times New Roman" w:eastAsia="Times New Roman" w:cs="Times New Roman"/>
          <w:color w:val="000000"/>
          <w:sz w:val="24"/>
        </w:rPr>
        <w:t xml:space="preserve">The substantive interpretation: the LLM-only versus heuristic correlation of 0.627 is the honest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agreement after isolating the structural blended-formula component. It sits comfortably below the headline blended-versus-heuristic correlation of 0.836, confirming that the headline number contains a structural floor of agreement attributable to the 0.40 heuristic component the two modes share by construction. The 0.627 figure is the relevant statistic for an external reader who asks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“how much do the language model and the classical-IR heuristic actually agree on?”</w:t>
      </w:r>
      <w:r>
        <w:rPr>
          <w:rFonts w:ascii="Times New Roman" w:hAnsi="Times New Roman" w:eastAsia="Times New Roman" w:cs="Times New Roman"/>
          <w:color w:val="000000"/>
          <w:sz w:val="24"/>
        </w:rPr>
        <w:t xml:space="preserve">; the 0.836 figure is the relevant statistic for an operator who asks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“what does the runtime toggle (Section 4.2.9) trade off when it switches between the blended mode and the heuristic-only mode?”</w:t>
      </w:r>
      <w:r>
        <w:rPr>
          <w:rFonts w:ascii="Times New Roman" w:hAnsi="Times New Roman" w:eastAsia="Times New Roman" w:cs="Times New Roman"/>
          <w:color w:val="000000"/>
          <w:sz w:val="24"/>
        </w:rPr>
        <w:t xml:space="preserve">. Both are reported because each addresses a different question. The blended-versus-LLM-only correlation of 0.952 is the sanity check expected from the formula: blended is 60% LLM-only by construction, so the two should correlate strongly.</w:t>
      </w:r>
    </w:p>
    <w:bookmarkEnd w:id="102"/>
    <w:bookmarkStart w:id="106" w:name="score-distribution"/>
    <w:p>
      <w:pPr>
        <w:pStyle w:val="Heading3"/>
        <w:spacing w:line="360" w:lineRule="auto" w:after="12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60" w:lineRule="auto" w:after="120"/>
        <w:ind w:firstLine="0"/>
        <w:jc w:val="center"/>
      </w:pPr>
      <w:r>
        <w:rPr>
          <w:rFonts w:ascii="Times New Roman" w:hAnsi="Times New Roman" w:eastAsia="Times New Roman" w:cs="Times New Roman"/>
          <w:i/>
          <w:color w:val="000000"/>
          <w:sz w:val="24"/>
        </w:rPr>
        <w:t xml:space="preserve">Table 4.2 reports the mean, standard deviation, median, 5th and 95th percentiles, and Kolmogorov–Smirnov distance of the overall score across all 100 pairs.</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Mean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71.84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72.66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Std. dev.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7.08</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73.00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74.50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58.00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59.00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81.00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82.00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KS distance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0.100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Two effects are visible. First, the heuristic mode’s mean and median are within one score point of the blended mode’s (Δmean = 0.82, Δmedian = 1.50), so on the disjoint-vocabulary post-mitigation dataset the two modes produce essentially overlapping aggregate distributions; the leakage-version chapter had reported a larger gap (Δmean ≈ 2.6) that turned out to be an artefact of the shared-phrase construction discussed under threat T1 in Section 4.1.4. Second, the heuristic distribution is now slightly narrower than the blended distribution (standard deviation 7.08 vs 7.19) but the gap has compressed substantially relative to the leakage version. The KS distance of 0.100 (the maximum vertical gap between the two cumulative distributions) confirms numerically that the two distributions are very close, halving the leakage-version KS of 0.200. Figure 4.1 visualises both distributions on the same axes.</w:t>
      </w:r>
    </w:p>
    <w:p>
      <w:pPr>
        <w:pStyle w:val="CaptionedFigure"/>
        <w:keepNext/>
        <w:spacing w:before="120" w:after="80"/>
        <w:jc w:val="center"/>
      </w:pPr>
      <w:r>
        <w:drawing>
          <wp:inline>
            <wp:extent cx="5688000" cy="4023074"/>
            <wp:effectExtent b="0" l="0" r="0" t="0"/>
            <wp:docPr descr="Figure 4.1: Distribution of overall scores across 100 (resume, JD) pairs, by scoring mode."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5688000" cy="4023074"/>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4.1: Distribution of overall scores across 100 (resume, JD) pairs, by scoring mode.</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106"/>
    <w:bookmarkStart w:id="107" w:name="latency"/>
    <w:p>
      <w:pPr>
        <w:pStyle w:val="Heading3"/>
        <w:spacing w:line="360" w:lineRule="auto" w:after="120"/>
        <w:ind w:firstLine="283"/>
        <w:jc w:val="both"/>
      </w:pPr>
      <w:r>
        <w:rPr>
          <w:rFonts w:ascii="Times New Roman" w:hAnsi="Times New Roman" w:eastAsia="Times New Roman" w:cs="Times New Roman"/>
          <w:color w:val="000000"/>
          <w:sz w:val="24"/>
        </w:rPr>
        <w:t xml:space="preserve">4.3.3 Latency</w:t>
      </w:r>
    </w:p>
    <w:p>
      <w:pPr>
        <w:pStyle w:val="FirstParagraph"/>
        <w:keepLines/>
        <w:spacing w:line="360" w:lineRule="auto" w:after="120"/>
        <w:ind w:firstLine="0"/>
        <w:jc w:val="center"/>
      </w:pPr>
      <w:r>
        <w:rPr>
          <w:rFonts w:ascii="Times New Roman" w:hAnsi="Times New Roman" w:eastAsia="Times New Roman" w:cs="Times New Roman"/>
          <w:i/>
          <w:color w:val="000000"/>
          <w:sz w:val="24"/>
        </w:rPr>
        <w:t xml:space="preserve">Table 4.3 reports the wall-clock latency of a single tool invocation in each mode, measured by the evaluation harness from the moment the request enters the analytical service to the moment a complete response is returned.</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Latency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Heuristic v2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18 232.1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25.5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24 713.7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770×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Maximum observed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65 926.6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34.1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1 933×</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blended mode is dominated by the LLM call: median ≈ 18 seconds is consistent with a structured-output Gemini 2.5 Flash call against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~608 input tokens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resume and JD content plus a static system-prompt overhead documented in Section 4.3.4, with approximately 1 118 output tokens. The maximum observed of 66 seconds reflects a single retry-after-timeout case absorbed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described in Section 3.1.1. The heuristic v2 mode runs in tens of milliseconds: the median is 25.5 ms and the 95th percentile is 32.1 ms, both well inside the spec target stated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heuristic-v2-design.md</w:t>
      </w:r>
      <w:r>
        <w:rPr>
          <w:rFonts w:ascii="Times New Roman" w:hAnsi="Times New Roman" w:eastAsia="Times New Roman" w:cs="Times New Roman"/>
          <w:color w:val="000000"/>
          <w:sz w:val="24"/>
        </w:rPr>
        <w:t xml:space="preserve">. The blended cold-path 95th percentile of 24 713.7 ms is consistent with the split non-functional requirement N1b introduced in Section 2.1.2 (blended cold-path target ≤ 25 s, dominated by the upstream Gemini call); production cached-path latency is materially lower as reported in Section 3.9. The two-to-three-orders-of-magnitude latency advantage of the heuristic mode is consistent across the median, the 95th percentile, and the worst-case row.</w:t>
      </w:r>
    </w:p>
    <w:bookmarkEnd w:id="107"/>
    <w:bookmarkStart w:id="108" w:name="per-call-cost"/>
    <w:p>
      <w:pPr>
        <w:pStyle w:val="Heading3"/>
        <w:spacing w:line="360" w:lineRule="auto" w:after="120"/>
        <w:ind w:firstLine="283"/>
        <w:jc w:val="both"/>
      </w:pPr>
      <w:r>
        <w:rPr>
          <w:rFonts w:ascii="Times New Roman" w:hAnsi="Times New Roman" w:eastAsia="Times New Roman" w:cs="Times New Roman"/>
          <w:color w:val="000000"/>
          <w:sz w:val="24"/>
        </w:rPr>
        <w:t xml:space="preserve">4.3.4 Per-call cost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Per-call cost is computed from the Vertex AI billing schedule for Gemini 2.5 Flash at the rates in effect at the time of measurement (input $0.075 / 1 M tokens; output $0.30 / 1 M tokens). The heuristic v2 mode’s marginal cost on the LLM side is zero by construction.</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Cost item</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608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Output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1 118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Per-call USD (avg.)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$0.00038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Per-call USD (95th pct.)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$0.00042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1 000 calls / day projected monthly bill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$11.43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60" w:lineRule="auto" w:after="120"/>
        <w:ind w:firstLine="283"/>
        <w:jc w:val="both"/>
      </w:pPr>
      <w:r>
        <w:rPr>
          <w:rFonts w:ascii="Times New Roman" w:hAnsi="Times New Roman" w:eastAsia="Times New Roman" w:cs="Times New Roman"/>
          <w:color w:val="000000"/>
          <w:sz w:val="24"/>
        </w:rPr>
        <w:t xml:space="preserve">The blended mode at one thousand analyses per day projects to roughly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$11.43 per month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LLM-side spend on this evaluation set. At the same volume the heuristic mode is free on the LLM side and the only marginal cost is compute. The cost ratio is unbounded as a multiple but small in absolute terms at thesis-scope traffic; the comparative discussion in Section 4.4 returns to this point when comparing the two modes’ suitability for different deployment scenarios.</w:t>
      </w:r>
    </w:p>
    <w:bookmarkEnd w:id="108"/>
    <w:bookmarkStart w:id="109" w:name="Xc5b9496d48d597ec2064019f244ae133cf5ccd1"/>
    <w:p>
      <w:pPr>
        <w:pStyle w:val="Heading3"/>
        <w:spacing w:line="360" w:lineRule="auto" w:after="12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Weighting</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Author-selected (0.30/0.25/0.15/0.15/0.15)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0.847</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Equal (0.20 across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0.813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0.823</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Pearson correlation moves by Δ = −0.023 between the two weightings; the Spearman correlation moves by Δ = −0.024 (the near-equality of the two deltas is a coincidence of three-decimal rounding rather than a structural pattern). Both correlations remain comfortably above the 0.7 reference threshold under either weighting, so the comparative result on the post-mitigation dataset is robust to the weight choice. The per-pair score recomputation is performed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persisted per-sub-score breakdown rather than from a second eval-harness run, so the cost of producing this analysis is zero.</w:t>
      </w:r>
    </w:p>
    <w:bookmarkEnd w:id="109"/>
    <w:bookmarkStart w:id="110" w:name="heuristic-enhancement-ablation-stage-h"/>
    <w:p>
      <w:pPr>
        <w:pStyle w:val="Heading3"/>
        <w:spacing w:line="360" w:lineRule="auto" w:after="12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post-hoc LLM-only-versus-heuristic correlation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reported in Section 4.3.1’ represents the residual cross-mode agreement after isolating the structural blended-formula component. A natural follow-up question is whether targeted enhancements to the classical-IR heuristic can close this gap without introducing a neural component into the production runtime. To answer this question without committing to a redesign of the deployed v2 heuristic, an enhanced variant is implemented in a separate module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that adds five focused signals on top of v2:</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H.1</w:t>
      </w:r>
      <w:r>
        <w:rPr>
          <w:rFonts w:ascii="Times New Roman" w:hAnsi="Times New Roman" w:eastAsia="Times New Roman" w:cs="Times New Roman"/>
          <w:color w:val="000000"/>
          <w:sz w:val="24"/>
        </w:rPr>
        <w:t xml:space="preserve">: sentence-embedding semantic fallback for keyword matching, using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sentence-transformers/all-MiniLM-L6-v2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as a final fallback after the v2 cascade (exact → fuzzy → ESCO);</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H.2</w:t>
      </w:r>
      <w:r>
        <w:rPr>
          <w:rFonts w:ascii="Times New Roman" w:hAnsi="Times New Roman" w:eastAsia="Times New Roman" w:cs="Times New Roman"/>
          <w:color w:val="000000"/>
          <w:sz w:val="24"/>
        </w:rPr>
        <w:t xml:space="preserve">: STAR-format detection over experience bullets (Situation, Task, Action, Result), aggregated as a 0–100 sub-component of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H.3</w:t>
      </w:r>
      <w:r>
        <w:rPr>
          <w:rFonts w:ascii="Times New Roman" w:hAnsi="Times New Roman" w:eastAsia="Times New Roman" w:cs="Times New Roman"/>
          <w:color w:val="000000"/>
          <w:sz w:val="24"/>
        </w:rPr>
        <w:t xml:space="preserve">: three cross-axis coherence checks deducted from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(C1) years-claimed versus date-supported employment span, (C2) skills listed in the Skills section but not grounded in the Experience or Projects passages, (C3) education year versus claimed years of professional experience;</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H.4</w:t>
      </w:r>
      <w:r>
        <w:rPr>
          <w:rFonts w:ascii="Times New Roman" w:hAnsi="Times New Roman" w:eastAsia="Times New Roman" w:cs="Times New Roman"/>
          <w:color w:val="000000"/>
          <w:sz w:val="24"/>
        </w:rPr>
        <w:t xml:space="preserve">: bigram and trigram phrase matching with a sliding-window fallback, weighted at 1.5× and 2.0× the unigram contribution respectively;</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H.5</w:t>
      </w:r>
      <w:r>
        <w:rPr>
          <w:rFonts w:ascii="Times New Roman" w:hAnsi="Times New Roman" w:eastAsia="Times New Roman" w:cs="Times New Roman"/>
          <w:color w:val="000000"/>
          <w:sz w:val="24"/>
        </w:rPr>
        <w:t xml:space="preserve">: a hand-curated expansion of the ESCO subset from 107 entries to 354 entries (Path B execution: the Path A re-derivation from the official ESCO v1.1.1 static export is left to follow-on work).</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Each enhancement is gated behind an explicit feature flag so that controlled subsets can be exercised independently of the others. 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LLM cannot move the heuristic component at inference time, so the post-hoc-recovered LLM-only score per pair from Section 4.3.1’ is invariant under any reconfiguration of the heuristic. This means the ablation is computable at zero LLM-side cost: each variant’s heuristic score is recomputed against the same locked LLM-only baseline.</w:t>
      </w:r>
    </w:p>
    <w:p>
      <w:pPr>
        <w:pStyle w:val="BodyText"/>
        <w:spacing w:line="360" w:lineRule="auto" w:after="120"/>
        <w:ind w:firstLine="283"/>
        <w:jc w:val="both"/>
      </w:pPr>
      <w:r>
        <w:rPr>
          <w:rFonts w:ascii="Times New Roman" w:hAnsi="Times New Roman" w:eastAsia="Times New Roman" w:cs="Times New Roman"/>
          <w:color w:val="000000"/>
          <w:sz w:val="24"/>
        </w:rPr>
        <w:t xml:space="preserve">The ablation is computed on the full 100-pair Stage G disjoint-pool evaluation set; for each variant, the Pearson correlation between the variant’s overall heuristic score and the post-hoc-recovered LLM-only score is reported with a 95 % cluster-bootstrap confidence interval (resampled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2 000 resamples, seed = 42).</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131"/>
        <w:gridCol w:w="3142"/>
        <w:gridCol w:w="1005"/>
        <w:gridCol w:w="1508"/>
        <w:gridCol w:w="1131"/>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Variant</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color w:val="000000"/>
                <w:sz w:val="21"/>
              </w:rPr>
              <w:t xml:space="preserve">vs LLM-only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95% CI</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Δ vs v2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heuristic-v2 (BM25 + ESCO + fuzzy)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baseline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heuristic-v3 with no Stage H features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bigram / trigram (H.4)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0.583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SBERT semantic fallback (H.1)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[0.452, 0.759]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STAR detection (H.2)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[0.463, 0.755]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ESCO expansion 107 → 354 (H.5)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0.617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[0.461, 0.752]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0.578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−0.009</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cross-axis coherence (H.3)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0.605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[0.438, 0.746]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0.568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−0.022</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heuristic-v3 (full,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[0.415, 0.735]</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−0.036</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result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a controlled null with a small negative drift on the compound configuration</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cell (the v3 module with every Stage H feature disabled) reproduces the v2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exactly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three decimal places (Δ = +0.000), validating that the v3 module degrades to the v2 reference correctly and that the deltas elsewhere are not module-implementation artefacts. The single-feature deltas span +0.002 (n-gram phrase matching) to −0.022 (cross-axis coherence checks); every one of them sits comfortably inside the ±0.15 half-width of the cluster-bootstrap confidence interval, so none is statistically distinguishable from zero on the available 100-pair evaluation set. The full-stack v3 configuration sits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still inside the bootstrap CI half-width but suggestive that the small false-positive contributions of the five enhancements compound rather than cancel when stacked. Two readings of this null are consistent with the construction of the evaluation set and with the post-hoc decomposition of Section 4.3.1’:</w:t>
      </w:r>
    </w:p>
    <w:p>
      <w:pPr>
        <w:pStyle w:val="BodyText"/>
        <w:spacing w:line="360" w:lineRule="auto" w:after="120"/>
        <w:ind w:firstLine="283"/>
        <w:jc w:val="both"/>
      </w:pPr>
      <w:r>
        <w:rPr>
          <w:rFonts w:ascii="Times New Roman" w:hAnsi="Times New Roman" w:eastAsia="Times New Roman" w:cs="Times New Roman"/>
          <w:color w:val="000000"/>
          <w:sz w:val="24"/>
        </w:rPr>
        <w:t xml:space="preserve">First, the synthetic-template construction described in Section 4.1.1 (tightened by the Stage G disjoint-vocabulary mitigation) generates resume and job-description prose with low surface-form variation: the resume side and the JD side already share canonical skill labels by design and do not, by construction, contain the kind of paraphrase variation that a sentence-embedding semantic fallback or a bigram phrase fallback is built to recover. The classical-IR baseline is close to a recall ceiling on this set; further keyword-level recall via SBERT or n-gram matching does not contribute information that the v2 cascade has not already extracted. The additional flexibility introduces small false-positive contributions that depress the per-pair correlation rather than lift it: ESCO-expansion variants occasionally match incidental tokens in the JD prose, expanded STAR detection produces partial points on terse template bullets, and the H.3 cross-axis coherence checks flag synthetic-template artefacts (the deterministic year-range generator emits dates that the years-claimed regex sometimes mismatches by one or two years) as orphan-skill or year-mismatch penalties that the LLM-only score, scoring the same resume on prose evidence, does not see.</w:t>
      </w:r>
    </w:p>
    <w:p>
      <w:pPr>
        <w:pStyle w:val="BodyText"/>
        <w:spacing w:line="360" w:lineRule="auto" w:after="120"/>
        <w:ind w:firstLine="283"/>
        <w:jc w:val="both"/>
      </w:pPr>
      <w:r>
        <w:rPr>
          <w:rFonts w:ascii="Times New Roman" w:hAnsi="Times New Roman" w:eastAsia="Times New Roman" w:cs="Times New Roman"/>
          <w:color w:val="000000"/>
          <w:sz w:val="24"/>
        </w:rPr>
        <w:t xml:space="preserve">Second, the post-hoc-recovered LLM-only score is, by construction, the residual signal that the language model contributes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 component shared by both modes. The ~0.37-magnitude residual on the Pearson scale (1.0 − 0.627 = 0.373) reflects prose-quality, narrative-coherence, and role-fit evidence that the language model weighs and that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in Section 4.3.1 already pinpoints as the axis of largest disagreement. None of the Stage H enhancements target prose-quality or role-fit reasoning; they target keyword recall, action-claim structure, and internal-consistency checks. The ablation result is therefore evidence that the residual cross-mode gap reported in Section 4.3.1’ is driven by signal classes that classical-IR enhancements of this kind do not access on this evaluation set, rather than by a deficit in the v2 keyword cascade itself. The honest reading is that v2 is at the achievable ceiling for keyword-and-structure agreement on the synthesised pool, and the residual is the genuine LLM contribution that motivates keeping the language-model component available alongside the deterministic baseline. Closing the residual through classical-IR-only means would require either (i) a different evaluation surface that exposes prose-quality variation the synthetic templates suppress, or (ii) features that target the exact axes the LLM lifts (clarity and impact-narrative coherence). Both are properly future work.</w:t>
      </w:r>
    </w:p>
    <w:bookmarkEnd w:id="110"/>
    <w:bookmarkStart w:id="111" w:name="Xcff2c0d3320ec1ce82f83c9b1d53013643ebe8f"/>
    <w:p>
      <w:pPr>
        <w:pStyle w:val="Heading3"/>
        <w:spacing w:line="360" w:lineRule="auto" w:after="12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ablation is reproducible from the artefacts persisted in the repository: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v3 module,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354-entry expansion,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harness that computes the per-variant per-pair heuristic score,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analysis script that computes the table above. The harness reuses the existing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written by Stage G’s blended-mode run and recovers the LLM-only score per pair via the post-hoc identity in Section 4.3.1’. No additional LLM calls are issued. The full ablation runs in approximately 4 minutes on commodity hardware (≈110 s for the SBERT first-load and inference pass, ≈10 s combined for the deterministic variants). Sentence-transformers and PyTorch are listed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backend/requirements.txt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the production deployment surface remains free of the neural dependency.</w:t>
      </w:r>
    </w:p>
    <w:bookmarkEnd w:id="111"/>
    <w:bookmarkEnd w:id="112"/>
    <w:bookmarkStart w:id="113" w:name="discussion-and-limitations"/>
    <w:p>
      <w:pPr>
        <w:pStyle w:val="Heading2"/>
        <w:spacing w:line="360" w:lineRule="auto" w:after="12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reported in Section 4.3 supports the following defendable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within this synthetic evaluation set</w:t>
      </w:r>
      <w:r>
        <w:rPr>
          <w:rFonts w:ascii="Times New Roman" w:hAnsi="Times New Roman" w:eastAsia="Times New Roman" w:cs="Times New Roman"/>
          <w:color w:val="000000"/>
          <w:sz w:val="24"/>
        </w:rPr>
        <w:t xml:space="preserve">: a strictly classical-IR heuristic, augmented with a curated ESCO subset and a fuzzy-matching layer, recovers most of the discriminative power of the blended mode on the overall score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both well above the 0.7 reference threshold under cluster-bootstrap intervals) at roughly two-to-three orders of magnitude lower latency (median 25.5 ms vs 18.2 s) and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honest cross-mode agreement statistic that strips out the 0.40 heuristic share blended carries by construction. Per-sub-score, the agreement is strongest 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and weakest 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which is the axis on which the language model contributes prose-quality evidence the heuristic cannot see. Independently of the numbers, the blended mode produces qualitatively richer recommendations (prose explanations, role-fit narratives, cover-letter-grade phrasing) that the heuristic mode does not attempt to produce; this qualitative dimension is not captured by the four metrics above and is a matter for separate user-research investigation.</w:t>
      </w:r>
    </w:p>
    <w:p>
      <w:pPr>
        <w:pStyle w:val="BodyText"/>
        <w:spacing w:line="360" w:lineRule="auto" w:after="120"/>
        <w:ind w:firstLine="283"/>
        <w:jc w:val="both"/>
      </w:pPr>
      <w:r>
        <w:rPr>
          <w:rFonts w:ascii="Times New Roman" w:hAnsi="Times New Roman" w:eastAsia="Times New Roman" w:cs="Times New Roman"/>
          <w:color w:val="000000"/>
          <w:sz w:val="24"/>
        </w:rPr>
        <w:t xml:space="preserve">Three limitations of the study deserve explicit statement.</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resumes and job descriptions in the evaluation set are in English. The bundled ESCO subset is the multilingual ESCO published by the European Commission, but the deployed system uses only the English labels. Polish-language resumes (a relevant scope for a Wrocław-based deployment) are not exercised. Section 5.3 proposes the integration of the Polish-language ESCO labels as a near-term extension.</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30 resumes were synthesised by a single author and may share a stylistic register that does not generalise to resumes drawn from a wider population. The result reported in Section 4.3.1 should be read as a within-author baseline rather than as a cross-population claim. Replicating the evaluation against a larger multi-author resume corpus is left for future work.</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exclusively. The thesis does not establish that the heuristic baseline would correlate equally well with a different LLM (Claude 4.7, GPT-5.4, Llama 3.3 70B) on the same dataset. Section 5.3 argues that the system architecture supports adding an alternative provider as a configuration change rather than a code change, so this gap is straightforward to close in subsequent work.</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growing literature documents that automated hiring pipelines can encode and amplify bias against protected groups when historical hiring decisions, resume-content stylistic regularities, or third-party-model training distributions are correlated with demographic attributes [22, 23, 24]. The system described in this thesis does not yet incorporate the fairness instrumentation that this literature recommends; neither the disparate-impact diagnostics of [23] nor the discrimination-source taxonomy of [22] is currently exercised against the heuristic and blended scoring pipelines. The synthetic evaluation set used in Section 4.3 is not annotated with demographic attributes, so a fairness audit on the present benchmark is not possible without further dataset construction; for any production deployment beyond the controlled thesis scope, an audit aligned with [24] would be required as a separate work item.</w:t>
      </w:r>
    </w:p>
    <w:p>
      <w:pPr>
        <w:pStyle w:val="BodyText"/>
        <w:spacing w:line="360" w:lineRule="auto" w:after="120"/>
        <w:ind w:firstLine="283"/>
        <w:jc w:val="both"/>
      </w:pPr>
      <w:r>
        <w:rPr>
          <w:rFonts w:ascii="Times New Roman" w:hAnsi="Times New Roman" w:eastAsia="Times New Roman" w:cs="Times New Roman"/>
          <w:color w:val="000000"/>
          <w:sz w:val="24"/>
        </w:rPr>
        <w:t xml:space="preserve">Beyond the headline correlation number, the per-sub-score breakdown reported in Table 4.1 carries diagnostic value in its own right. The two modes do not disagree uniformly across the five sub-scores, and identifying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which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 converge tells the operator where the deterministic baseline is already sufficient, while identifying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which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 diverge points to the dimensions on which the language-model component is contributing evidence the heuristic cannot see. This per-axis view, independently of the specific numerical result, is the cleanest empirical argument the chapter offers for keeping the blended mode available in production even where the heuristic baseline turns out to be competitive on the aggregate score.</w:t>
      </w:r>
    </w:p>
    <w:p>
      <w:pPr>
        <w:pStyle w:val="BodyText"/>
        <w:spacing w:line="360" w:lineRule="auto" w:after="120"/>
        <w:ind w:firstLine="283"/>
        <w:jc w:val="both"/>
      </w:pPr>
      <w:r>
        <w:rPr>
          <w:rFonts w:ascii="Times New Roman" w:hAnsi="Times New Roman" w:eastAsia="Times New Roman" w:cs="Times New Roman"/>
          <w:color w:val="000000"/>
          <w:sz w:val="24"/>
        </w:rPr>
        <w:t xml:space="preserve">The next chapter summarises the contributions of the thesis and proposes three directions for future development.</w:t>
      </w:r>
    </w:p>
    <w:bookmarkEnd w:id="113"/>
    <w:bookmarkEnd w:id="114"/>
    <w:bookmarkStart w:id="125" w:name="bibliography"/>
    <w:p>
      <w:pPr>
        <w:pStyle w:val="Heading1"/>
        <w:spacing w:line="360" w:lineRule="auto" w:after="120"/>
        <w:ind w:firstLine="283"/>
        <w:jc w:val="both"/>
      </w:pPr>
      <w:r>
        <w:rPr>
          <w:rFonts w:ascii="Times New Roman" w:hAnsi="Times New Roman" w:eastAsia="Times New Roman" w:cs="Times New Roman"/>
          <w:color w:val="000000"/>
          <w:sz w:val="24"/>
        </w:rPr>
        <w:t xml:space="preserve">Bibliography</w:t>
      </w:r>
    </w:p>
    <w:bookmarkStart w:id="115" w:name="Xe524d447c5cf25a4d8e2fc35a266a2d3c4bfbe5"/>
    <w:p>
      <w:pPr>
        <w:pStyle w:val="Heading2"/>
        <w:spacing w:line="360" w:lineRule="auto" w:after="12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60" w:lineRule="auto" w:after="12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60" w:lineRule="auto" w:after="12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60" w:lineRule="auto" w:after="12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360" w:lineRule="auto" w:after="12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5"/>
    <w:bookmarkStart w:id="116" w:name="foundational-information-retrieval"/>
    <w:p>
      <w:pPr>
        <w:pStyle w:val="Heading2"/>
        <w:spacing w:line="360" w:lineRule="auto" w:after="12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60" w:lineRule="auto" w:after="12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60" w:lineRule="auto" w:after="12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60" w:lineRule="auto" w:after="12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16"/>
    <w:bookmarkStart w:id="117" w:name="Xdd898e929631c1ac7dcaafa863450eac8c4687c"/>
    <w:p>
      <w:pPr>
        <w:pStyle w:val="Heading2"/>
        <w:spacing w:line="360" w:lineRule="auto" w:after="12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60" w:lineRule="auto" w:after="12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60" w:lineRule="auto" w:after="12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60" w:lineRule="auto" w:after="12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60" w:lineRule="auto" w:after="12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60" w:lineRule="auto" w:after="12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60" w:lineRule="auto" w:after="12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17"/>
    <w:bookmarkStart w:id="118" w:name="X1796bfef32d736987f1174fc0e433d96cea39d8"/>
    <w:p>
      <w:pPr>
        <w:pStyle w:val="Heading2"/>
        <w:spacing w:line="360" w:lineRule="auto" w:after="12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60" w:lineRule="auto" w:after="12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18"/>
    <w:bookmarkStart w:id="119" w:name="ai-based-career-recommendation-systems"/>
    <w:p>
      <w:pPr>
        <w:pStyle w:val="Heading2"/>
        <w:spacing w:line="360" w:lineRule="auto" w:after="12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60" w:lineRule="auto" w:after="12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19"/>
    <w:bookmarkStart w:id="120" w:name="large-language-models-in-recruitment"/>
    <w:p>
      <w:pPr>
        <w:pStyle w:val="Heading2"/>
        <w:spacing w:line="360" w:lineRule="auto" w:after="12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60" w:lineRule="auto" w:after="12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60" w:lineRule="auto" w:after="12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60" w:lineRule="auto" w:after="12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60" w:lineRule="auto" w:after="12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0"/>
    <w:bookmarkStart w:id="121" w:name="Xe3796102e15fa10b5c24e38851c753906160937"/>
    <w:p>
      <w:pPr>
        <w:pStyle w:val="Heading2"/>
        <w:spacing w:line="360" w:lineRule="auto" w:after="12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60" w:lineRule="auto" w:after="12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60" w:lineRule="auto" w:after="12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1"/>
    <w:bookmarkStart w:id="122" w:name="bias-and-fairness-in-algorithmic-hiring"/>
    <w:p>
      <w:pPr>
        <w:pStyle w:val="Heading2"/>
        <w:spacing w:line="360" w:lineRule="auto" w:after="12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60" w:lineRule="auto" w:after="12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60" w:lineRule="auto" w:after="12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60" w:lineRule="auto" w:after="12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2"/>
    <w:bookmarkStart w:id="123" w:name="retrieval-augmented-generation"/>
    <w:p>
      <w:pPr>
        <w:pStyle w:val="Heading2"/>
        <w:spacing w:line="360" w:lineRule="auto" w:after="12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60" w:lineRule="auto" w:after="12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3"/>
    <w:bookmarkStart w:id="124" w:name="web-frameworks-and-system-tooling"/>
    <w:p>
      <w:pPr>
        <w:pStyle w:val="Heading2"/>
        <w:spacing w:line="360" w:lineRule="auto" w:after="120"/>
        <w:ind w:firstLine="283"/>
        <w:jc w:val="both"/>
      </w:pPr>
      <w:r>
        <w:rPr>
          <w:rFonts w:ascii="Times New Roman" w:hAnsi="Times New Roman" w:eastAsia="Times New Roman" w:cs="Times New Roman"/>
          <w:color w:val="000000"/>
          <w:sz w:val="24"/>
        </w:rPr>
        <w:t xml:space="preserve">10. Web frameworks and system tooling</w:t>
      </w:r>
    </w:p>
    <w:p>
      <w:pPr>
        <w:pStyle w:val="BlockText"/>
        <w:spacing w:line="360" w:lineRule="auto" w:after="120"/>
        <w:ind w:firstLine="283"/>
        <w:jc w:val="both"/>
      </w:pPr>
      <w:r>
        <w:rPr>
          <w:rFonts w:ascii="Times New Roman" w:hAnsi="Times New Roman" w:eastAsia="Times New Roman" w:cs="Times New Roman"/>
          <w:color w:val="000000"/>
          <w:sz w:val="24"/>
        </w:rPr>
        <w:t xml:space="preserve">Documentation references for the engineering chapters; cited as official documentation footnotes rather than as numbered bibliography entries.</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Resend transactional email API. https://resend.com/docs</w:t>
      </w:r>
    </w:p>
    <w:bookmarkEnd w:id="124"/>
    <w:bookmarkEnd w:id="125"/>
    <w:bookmarkStart w:id="157" w:name="appendices"/>
    <w:p>
      <w:pPr>
        <w:pStyle w:val="Heading1"/>
        <w:spacing w:line="360" w:lineRule="auto" w:after="120"/>
        <w:ind w:firstLine="283"/>
        <w:jc w:val="both"/>
      </w:pPr>
      <w:r>
        <w:rPr>
          <w:rFonts w:ascii="Times New Roman" w:hAnsi="Times New Roman" w:eastAsia="Times New Roman" w:cs="Times New Roman"/>
          <w:color w:val="000000"/>
          <w:sz w:val="24"/>
        </w:rPr>
        <w:t xml:space="preserve">Appendices</w:t>
      </w:r>
    </w:p>
    <w:bookmarkStart w:id="130" w:name="appendix-a-source-listings"/>
    <w:p>
      <w:pPr>
        <w:pStyle w:val="Heading2"/>
        <w:spacing w:line="360" w:lineRule="auto" w:after="120"/>
        <w:ind w:firstLine="283"/>
        <w:jc w:val="both"/>
      </w:pPr>
      <w:r>
        <w:rPr>
          <w:rFonts w:ascii="Times New Roman" w:hAnsi="Times New Roman" w:eastAsia="Times New Roman" w:cs="Times New Roman"/>
          <w:color w:val="000000"/>
          <w:sz w:val="24"/>
        </w:rPr>
        <w:t xml:space="preserve">Appendix A — Source listings</w:t>
      </w:r>
    </w:p>
    <w:p>
      <w:pPr>
        <w:pStyle w:val="BlockText"/>
        <w:spacing w:line="360" w:lineRule="auto" w:after="12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6" w:name="X815009366af60fa4723a257df1c3cfaaf97a2fb"/>
    <w:p>
      <w:pPr>
        <w:pStyle w:val="Heading3"/>
        <w:spacing w:line="360" w:lineRule="auto" w:after="12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60" w:lineRule="auto" w:after="12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26"/>
    <w:bookmarkStart w:id="127" w:name="a.2-bm25-scoring"/>
    <w:p>
      <w:pPr>
        <w:pStyle w:val="Heading3"/>
        <w:spacing w:line="360" w:lineRule="auto" w:after="120"/>
        <w:ind w:firstLine="283"/>
        <w:jc w:val="both"/>
      </w:pPr>
      <w:r>
        <w:rPr>
          <w:rFonts w:ascii="Times New Roman" w:hAnsi="Times New Roman" w:eastAsia="Times New Roman" w:cs="Times New Roman"/>
          <w:color w:val="000000"/>
          <w:sz w:val="24"/>
        </w:rPr>
        <w:t xml:space="preserve">A.2 BM25 scoring</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60" w:lineRule="auto" w:after="12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27"/>
    <w:bookmarkStart w:id="128" w:name="a.3-runtime-mode-toggle"/>
    <w:p>
      <w:pPr>
        <w:pStyle w:val="Heading3"/>
        <w:spacing w:line="360" w:lineRule="auto" w:after="120"/>
        <w:ind w:firstLine="283"/>
        <w:jc w:val="both"/>
      </w:pPr>
      <w:r>
        <w:rPr>
          <w:rFonts w:ascii="Times New Roman" w:hAnsi="Times New Roman" w:eastAsia="Times New Roman" w:cs="Times New Roman"/>
          <w:color w:val="000000"/>
          <w:sz w:val="24"/>
        </w:rPr>
        <w:t xml:space="preserve">A.3 Runtime mode toggle</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360" w:lineRule="auto" w:after="12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28"/>
    <w:bookmarkStart w:id="129" w:name="a.4-shared-tool-pipeline"/>
    <w:p>
      <w:pPr>
        <w:pStyle w:val="Heading3"/>
        <w:spacing w:line="360" w:lineRule="auto" w:after="120"/>
        <w:ind w:firstLine="283"/>
        <w:jc w:val="both"/>
      </w:pPr>
      <w:r>
        <w:rPr>
          <w:rFonts w:ascii="Times New Roman" w:hAnsi="Times New Roman" w:eastAsia="Times New Roman" w:cs="Times New Roman"/>
          <w:color w:val="000000"/>
          <w:sz w:val="24"/>
        </w:rPr>
        <w:t xml:space="preserve">A.4 Shared tool pipeline</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360" w:lineRule="auto" w:after="12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29"/>
    <w:bookmarkEnd w:id="130"/>
    <w:bookmarkStart w:id="135" w:name="Xe2691035b1ea9be44987f1df6fe865ef1936dcd"/>
    <w:p>
      <w:pPr>
        <w:pStyle w:val="Heading2"/>
        <w:spacing w:line="360" w:lineRule="auto" w:after="12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1" w:name="b.1-resume-synthesis-procedure"/>
    <w:p>
      <w:pPr>
        <w:pStyle w:val="Heading3"/>
        <w:spacing w:line="360" w:lineRule="auto" w:after="12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60" w:lineRule="auto" w:after="12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1"/>
    <w:bookmarkStart w:id="132" w:name="b.2-job-description-synthesis-procedure"/>
    <w:p>
      <w:pPr>
        <w:pStyle w:val="Heading3"/>
        <w:spacing w:line="360" w:lineRule="auto" w:after="12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2"/>
    <w:bookmarkStart w:id="133" w:name="b.3-pair-construction"/>
    <w:p>
      <w:pPr>
        <w:pStyle w:val="Heading3"/>
        <w:spacing w:line="360" w:lineRule="auto" w:after="120"/>
        <w:ind w:firstLine="283"/>
        <w:jc w:val="both"/>
      </w:pPr>
      <w:r>
        <w:rPr>
          <w:rFonts w:ascii="Times New Roman" w:hAnsi="Times New Roman" w:eastAsia="Times New Roman" w:cs="Times New Roman"/>
          <w:color w:val="000000"/>
          <w:sz w:val="24"/>
        </w:rPr>
        <w:t xml:space="preserve">B.3 Pair construction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3"/>
    <w:bookmarkStart w:id="134" w:name="b.4-pair-manifest"/>
    <w:p>
      <w:pPr>
        <w:pStyle w:val="Heading3"/>
        <w:spacing w:line="360" w:lineRule="auto" w:after="120"/>
        <w:ind w:firstLine="283"/>
        <w:jc w:val="both"/>
      </w:pPr>
      <w:r>
        <w:rPr>
          <w:rFonts w:ascii="Times New Roman" w:hAnsi="Times New Roman" w:eastAsia="Times New Roman" w:cs="Times New Roman"/>
          <w:color w:val="000000"/>
          <w:sz w:val="24"/>
        </w:rPr>
        <w:t xml:space="preserve">B.4 Pair manifest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4"/>
    <w:bookmarkEnd w:id="135"/>
    <w:bookmarkStart w:id="152" w:name="Xa5e1eb6ef87c5a83e8c05d91d91fb5c96834f8e"/>
    <w:p>
      <w:pPr>
        <w:pStyle w:val="Heading2"/>
        <w:spacing w:line="360" w:lineRule="auto" w:after="12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9" w:name="c.1-landing-page"/>
    <w:p>
      <w:pPr>
        <w:pStyle w:val="Heading3"/>
        <w:spacing w:line="360" w:lineRule="auto" w:after="12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120" w:after="80"/>
        <w:jc w:val="center"/>
      </w:pPr>
      <w:r>
        <w:drawing>
          <wp:inline>
            <wp:extent cx="5688000" cy="3199499"/>
            <wp:effectExtent b="0" l="0" r="0" t="0"/>
            <wp:docPr descr="Figure C.1 — Career Workbench landing page (signed-out, production deployment)." title="" id="137" name="Picture"/>
            <a:graphic>
              <a:graphicData uri="http://schemas.openxmlformats.org/drawingml/2006/picture">
                <pic:pic>
                  <pic:nvPicPr>
                    <pic:cNvPr descr="figures/ui-01-landing.png" id="138" name="Picture"/>
                    <pic:cNvPicPr>
                      <a:picLocks noChangeArrowheads="1" noChangeAspect="1"/>
                    </pic:cNvPicPr>
                  </pic:nvPicPr>
                  <pic:blipFill>
                    <a:blip r:embed="rId136"/>
                    <a:stretch>
                      <a:fillRect/>
                    </a:stretch>
                  </pic:blipFill>
                  <pic:spPr bwMode="auto">
                    <a:xfrm>
                      <a:off x="0" y="0"/>
                      <a:ext cx="5688000" cy="31994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39"/>
    <w:bookmarkStart w:id="143" w:name="c.2-resume-analyzer-input-page"/>
    <w:p>
      <w:pPr>
        <w:pStyle w:val="Heading3"/>
        <w:spacing w:line="360" w:lineRule="auto" w:after="12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120" w:after="80"/>
        <w:jc w:val="center"/>
      </w:pPr>
      <w:r>
        <w:drawing>
          <wp:inline>
            <wp:extent cx="5688000" cy="3199499"/>
            <wp:effectExtent b="0" l="0" r="0" t="0"/>
            <wp:docPr descr="Figure C.2 — Resume Analyzer input page, guest mode." title="" id="141" name="Picture"/>
            <a:graphic>
              <a:graphicData uri="http://schemas.openxmlformats.org/drawingml/2006/picture">
                <pic:pic>
                  <pic:nvPicPr>
                    <pic:cNvPr descr="figures/ui-03-resume-input.png" id="142" name="Picture"/>
                    <pic:cNvPicPr>
                      <a:picLocks noChangeArrowheads="1" noChangeAspect="1"/>
                    </pic:cNvPicPr>
                  </pic:nvPicPr>
                  <pic:blipFill>
                    <a:blip r:embed="rId140"/>
                    <a:stretch>
                      <a:fillRect/>
                    </a:stretch>
                  </pic:blipFill>
                  <pic:spPr bwMode="auto">
                    <a:xfrm>
                      <a:off x="0" y="0"/>
                      <a:ext cx="5688000" cy="31994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3"/>
    <w:bookmarkStart w:id="147" w:name="Xe92b625608c320df0d0e71eef401fce0fea85fc"/>
    <w:p>
      <w:pPr>
        <w:pStyle w:val="Heading3"/>
        <w:spacing w:line="360" w:lineRule="auto" w:after="12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120" w:after="80"/>
        <w:jc w:val="center"/>
      </w:pPr>
      <w:r>
        <w:drawing>
          <wp:inline>
            <wp:extent cx="5688000" cy="6393074"/>
            <wp:effectExtent b="0" l="0" r="0" t="0"/>
            <wp:docPr descr="Figure C.3 — Resume Analyzer result page in blended mode." title="" id="145" name="Picture"/>
            <a:graphic>
              <a:graphicData uri="http://schemas.openxmlformats.org/drawingml/2006/picture">
                <pic:pic>
                  <pic:nvPicPr>
                    <pic:cNvPr descr="figures/ui-04-resume-result.png" id="146" name="Picture"/>
                    <pic:cNvPicPr>
                      <a:picLocks noChangeArrowheads="1" noChangeAspect="1"/>
                    </pic:cNvPicPr>
                  </pic:nvPicPr>
                  <pic:blipFill>
                    <a:blip r:embed="rId144"/>
                    <a:stretch>
                      <a:fillRect/>
                    </a:stretch>
                  </pic:blipFill>
                  <pic:spPr bwMode="auto">
                    <a:xfrm>
                      <a:off x="0" y="0"/>
                      <a:ext cx="5688000" cy="6393074"/>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7"/>
    <w:bookmarkStart w:id="151" w:name="c.4-job-match-result-page"/>
    <w:p>
      <w:pPr>
        <w:pStyle w:val="Heading3"/>
        <w:spacing w:line="360" w:lineRule="auto" w:after="12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120" w:after="80"/>
        <w:jc w:val="center"/>
      </w:pPr>
      <w:r>
        <w:drawing>
          <wp:inline>
            <wp:extent cx="5688000" cy="7788411"/>
            <wp:effectExtent b="0" l="0" r="0" t="0"/>
            <wp:docPr descr="Figure C.4 — Job Match result page on the same resume / job-description pair." title="" id="149" name="Picture"/>
            <a:graphic>
              <a:graphicData uri="http://schemas.openxmlformats.org/drawingml/2006/picture">
                <pic:pic>
                  <pic:nvPicPr>
                    <pic:cNvPr descr="figures/ui-05-job-match-result.png" id="150" name="Picture"/>
                    <pic:cNvPicPr>
                      <a:picLocks noChangeArrowheads="1" noChangeAspect="1"/>
                    </pic:cNvPicPr>
                  </pic:nvPicPr>
                  <pic:blipFill>
                    <a:blip r:embed="rId148"/>
                    <a:stretch>
                      <a:fillRect/>
                    </a:stretch>
                  </pic:blipFill>
                  <pic:spPr bwMode="auto">
                    <a:xfrm>
                      <a:off x="0" y="0"/>
                      <a:ext cx="5688000" cy="7788411"/>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1"/>
    <w:bookmarkEnd w:id="152"/>
    <w:bookmarkStart w:id="156" w:name="appendix-d-configuration-reference"/>
    <w:p>
      <w:pPr>
        <w:pStyle w:val="Heading2"/>
        <w:spacing w:line="360" w:lineRule="auto" w:after="120"/>
        <w:ind w:firstLine="283"/>
        <w:jc w:val="both"/>
      </w:pPr>
      <w:r>
        <w:rPr>
          <w:rFonts w:ascii="Times New Roman" w:hAnsi="Times New Roman" w:eastAsia="Times New Roman" w:cs="Times New Roman"/>
          <w:color w:val="000000"/>
          <w:sz w:val="24"/>
        </w:rPr>
        <w:t xml:space="preserve">Appendix D — Configuration reference</w:t>
      </w:r>
    </w:p>
    <w:bookmarkStart w:id="153" w:name="d.1-backend-environment-variables"/>
    <w:p>
      <w:pPr>
        <w:pStyle w:val="Heading3"/>
        <w:spacing w:line="360" w:lineRule="auto" w:after="12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Variable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Default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DATABASE_URL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PostgreSQL DSN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sqlite:///./career_platform.db</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SECRET_KEY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JWT signing secret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ACCESS_TOKEN_EXPIRE_MINUTES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Access-token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REFRESH_TOKEN_EXPIRE_DAYS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Refresh-token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LLM_PROVIDER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 dispatch 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vertex</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LLM_MODEL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Primary Gemini 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gemini-2.5-flash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LLM_PRACTICE_MODEL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Cheaper model used for interview practice feedback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(empty → falls back to</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LLM_MODEL</w:t>
            </w:r>
            <w:r>
              <w:rPr>
                <w:rFonts w:ascii="Times New Roman" w:hAnsi="Times New Roman" w:eastAsia="Times New Roman" w:cs="Times New Roman"/>
                <w:b w:val="0"/>
                <w:color w:val="000000"/>
                <w:sz w:val="21"/>
              </w:rPr>
              <w:t xml:space="preser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VERTEX_PROJECT_ID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 Cloud project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VERTEX_LOCATION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Vertex region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us-central1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BLENDED_SCORING_ENABLED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Apply 60/40 LLM/heuristic blend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SCORING_MODE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Scoring core mode (</w:t>
            </w:r>
            <w:r>
              <w:rPr>
                <w:rStyle w:val="VerbatimChar"/>
                <w:rFonts w:ascii="Times New Roman" w:hAnsi="Times New Roman" w:eastAsia="Times New Roman" w:cs="Times New Roman"/>
                <w:b w:val="0"/>
                <w:color w:val="000000"/>
                <w:sz w:val="21"/>
              </w:rPr>
              <w:t xml:space="preserve">blended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or</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heuristic</w:t>
            </w:r>
            <w:r>
              <w:rPr>
                <w:rFonts w:ascii="Times New Roman" w:hAnsi="Times New Roman" w:eastAsia="Times New Roman" w:cs="Times New Roman"/>
                <w:b w:val="0"/>
                <w:color w:val="000000"/>
                <w:sz w:val="21"/>
              </w:rPr>
              <w:t xml:space="preserve">) — added with the comparative study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blended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RESULT_CACHE_ENABLED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In-memory cache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RESULT_CACHE_TTL_SECONDS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Cache 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3600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CORS_ORIGINS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Allowed CORS 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localhost</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defaults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FRONTEND_URL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Canonical frontend 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(set in production)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GOOGLE_CLIENT_ID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GOOGLE_CLIENT_SECRET</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GOOGLE_REDIRECT_URI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RESEND_API_KEY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SENTRY_DSN</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Error tracking</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(empty disables)</w:t>
            </w:r>
          </w:p>
        </w:tc>
      </w:tr>
    </w:tbl>
    <w:bookmarkEnd w:id="153"/>
    <w:bookmarkStart w:id="154" w:name="d.2-administrative-endpoints"/>
    <w:p>
      <w:pPr>
        <w:pStyle w:val="Heading3"/>
        <w:spacing w:line="360" w:lineRule="auto" w:after="12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9"/>
        </w:numPr>
        <w:spacing w:line="360" w:lineRule="auto" w:after="12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9"/>
        </w:numPr>
        <w:spacing w:line="360" w:lineRule="auto" w:after="12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response shape is:</w:t>
      </w:r>
    </w:p>
    <w:p>
      <w:pPr>
        <w:pStyle w:val="SourceCode"/>
        <w:spacing w:line="360" w:lineRule="auto" w:after="120"/>
        <w:ind w:firstLine="283"/>
        <w:jc w:val="both"/>
      </w:pP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"mode"</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"heuristic_version"</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"v1"</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"blended_weight_heuristic"</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0.4</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"blended_weight_llm"</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br/>
      </w:r>
      <w:r>
        <w:rPr>
          <w:rStyle w:val="FunctionTok"/>
          <w:rFonts w:ascii="Times New Roman" w:hAnsi="Times New Roman" w:eastAsia="Times New Roman" w:cs="Times New Roman"/>
          <w:color w:val="000000"/>
          <w:sz w:val="24"/>
        </w:rPr>
        <w:t xml:space="preserv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4"/>
    <w:bookmarkStart w:id="155" w:name="d.3-running-the-evaluation-harness"/>
    <w:p>
      <w:pPr>
        <w:pStyle w:val="Heading3"/>
        <w:spacing w:line="360" w:lineRule="auto" w:after="120"/>
        <w:ind w:firstLine="283"/>
        <w:jc w:val="both"/>
      </w:pPr>
      <w:r>
        <w:rPr>
          <w:rFonts w:ascii="Times New Roman" w:hAnsi="Times New Roman" w:eastAsia="Times New Roman" w:cs="Times New Roman"/>
          <w:color w:val="000000"/>
          <w:sz w:val="24"/>
        </w:rPr>
        <w:t xml:space="preserve">D.3 Running the evaluation harness</w:t>
      </w:r>
    </w:p>
    <w:p>
      <w:pPr>
        <w:pStyle w:val="SourceCode"/>
        <w:spacing w:line="360" w:lineRule="auto" w:after="120"/>
        <w:ind w:firstLine="283"/>
        <w:jc w:val="both"/>
      </w:pPr>
      <w:r>
        <w:rPr>
          <w:rStyle w:val="VerbatimChar"/>
          <w:rFonts w:ascii="Times New Roman" w:hAnsi="Times New Roman" w:eastAsia="Times New Roman" w:cs="Times New Roman"/>
          <w:color w:val="000000"/>
          <w:sz w:val="24"/>
        </w:rPr>
        <w:t xml:space="preserve">$ cd backend</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SCORING_MODE=blended RESULT_CACHE_ENABLED=false \</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../scripts/eval_scoring.py</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../scripts/analyze_eval_results.py &gt; ../thesis/chapter-04-results.md</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5"/>
    <w:bookmarkEnd w:id="156"/>
    <w:bookmarkEnd w:id="157"/>
    <w:sectPr>
      <w:type w:val="nextPage"/>
      <w:footerReference w:type="default" r:id="rId149"/>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120" w:line="360"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4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2026-05-08T12:51:14Z</dcterms:created>
  <dcterms:modified xsi:type="dcterms:W3CDTF">2026-05-08T12:51:14Z</dcterms:modified>
</cp:coreProperties>
</file>

<file path=docProps/custom.xml><?xml version="1.0" encoding="utf-8"?>
<Properties xmlns="http://schemas.openxmlformats.org/officeDocument/2006/custom-properties" xmlns:vt="http://schemas.openxmlformats.org/officeDocument/2006/docPropsVTypes"/>
</file>