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中医多智能体诊断系统</w:t>
      </w:r>
    </w:p>
    <w:p>
      <w:r>
        <w:rPr>
          <w:b/>
        </w:rPr>
        <w:t>功能介绍文档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536"/>
          </w:tcPr>
          <w:p>
            <w:r>
              <w:t>版本</w:t>
            </w:r>
          </w:p>
        </w:tc>
        <w:tc>
          <w:tcPr>
            <w:tcW w:type="dxa" w:w="4536"/>
          </w:tcPr>
          <w:p>
            <w:r>
              <w:t>v0.1.0</w:t>
            </w:r>
          </w:p>
        </w:tc>
      </w:tr>
      <w:tr>
        <w:tc>
          <w:tcPr>
            <w:tcW w:type="dxa" w:w="4536"/>
          </w:tcPr>
          <w:p>
            <w:r>
              <w:t>编写日期</w:t>
            </w:r>
          </w:p>
        </w:tc>
        <w:tc>
          <w:tcPr>
            <w:tcW w:type="dxa" w:w="4536"/>
          </w:tcPr>
          <w:p>
            <w:r>
              <w:t>2026-08-27</w:t>
            </w:r>
          </w:p>
        </w:tc>
      </w:tr>
      <w:tr>
        <w:tc>
          <w:tcPr>
            <w:tcW w:type="dxa" w:w="4536"/>
          </w:tcPr>
          <w:p>
            <w:r>
              <w:t>适用阶段</w:t>
            </w:r>
          </w:p>
        </w:tc>
        <w:tc>
          <w:tcPr>
            <w:tcW w:type="dxa" w:w="4536"/>
          </w:tcPr>
          <w:p>
            <w:r>
              <w:t>Phase 1（最小化诊断闭环）</w:t>
            </w:r>
          </w:p>
        </w:tc>
      </w:tr>
    </w:tbl>
    <w:p>
      <w:r>
        <w:br w:type="page"/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Table of contents - open in Word/LibreOffice and update fields to populate.</w:t>
      </w:r>
      <w:r>
        <w:fldChar w:fldCharType="end"/>
      </w:r>
    </w:p>
    <w:p>
      <w:pPr>
        <w:pStyle w:val="Heading1"/>
      </w:pPr>
      <w:r>
        <w:t>1 系统定位</w:t>
      </w:r>
    </w:p>
    <w:p>
      <w:pPr>
        <w:pStyle w:val="SectionBody"/>
      </w:pPr>
      <w:r>
        <w:t>本系统是一个面向普通用户的中医辅助诊断工具。用户通过自然语言描述症状，系统自动完成意图识别、多轮追问、辨证分析，并输出结构化的中医调理建议。</w:t>
      </w:r>
    </w:p>
    <w:p>
      <w:pPr>
        <w:pStyle w:val="SectionBody"/>
      </w:pPr>
      <w:r>
        <w:t>系统不是医疗诊断工具，所有输出仅供健康参考，不构成医疗建议。</w:t>
      </w:r>
    </w:p>
    <w:p>
      <w:pPr>
        <w:pStyle w:val="Heading1"/>
      </w:pPr>
      <w:r>
        <w:t>2 核心功能概览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Phase</w:t>
            </w:r>
          </w:p>
        </w:tc>
      </w:tr>
      <w:tr>
        <w:tc>
          <w:tcPr>
            <w:tcW w:type="dxa" w:w="3024"/>
          </w:tcPr>
          <w:p>
            <w:r>
              <w:t>智能意图识别</w:t>
            </w:r>
          </w:p>
        </w:tc>
        <w:tc>
          <w:tcPr>
            <w:tcW w:type="dxa" w:w="3024"/>
          </w:tcPr>
          <w:p>
            <w:r>
              <w:t>自动识别用户意图（诊断/方剂/中药/养生/通用），两层路由（规则+LLM）</w:t>
            </w:r>
          </w:p>
        </w:tc>
        <w:tc>
          <w:tcPr>
            <w:tcW w:type="dxa" w:w="3024"/>
          </w:tcPr>
          <w:p>
            <w:r>
              <w:t>Phase 1</w:t>
            </w:r>
          </w:p>
        </w:tc>
      </w:tr>
      <w:tr>
        <w:tc>
          <w:tcPr>
            <w:tcW w:type="dxa" w:w="3024"/>
          </w:tcPr>
          <w:p>
            <w:r>
              <w:t>多轮信息采集</w:t>
            </w:r>
          </w:p>
        </w:tc>
        <w:tc>
          <w:tcPr>
            <w:tcW w:type="dxa" w:w="3024"/>
          </w:tcPr>
          <w:p>
            <w:r>
              <w:t>基于十问歌的结构化症状采集，最多4轮追问</w:t>
            </w:r>
          </w:p>
        </w:tc>
        <w:tc>
          <w:tcPr>
            <w:tcW w:type="dxa" w:w="3024"/>
          </w:tcPr>
          <w:p>
            <w:r>
              <w:t>Phase 1</w:t>
            </w:r>
          </w:p>
        </w:tc>
      </w:tr>
      <w:tr>
        <w:tc>
          <w:tcPr>
            <w:tcW w:type="dxa" w:w="3024"/>
          </w:tcPr>
          <w:p>
            <w:r>
              <w:t>复杂度评估</w:t>
            </w:r>
          </w:p>
        </w:tc>
        <w:tc>
          <w:tcPr>
            <w:tcW w:type="dxa" w:w="3024"/>
          </w:tcPr>
          <w:p>
            <w:r>
              <w:t>根据症状数量、脏腑、矛盾性等5个维度自动评分，分流到简单/中等诊断</w:t>
            </w:r>
          </w:p>
        </w:tc>
        <w:tc>
          <w:tcPr>
            <w:tcW w:type="dxa" w:w="3024"/>
          </w:tcPr>
          <w:p>
            <w:r>
              <w:t>Phase 1</w:t>
            </w:r>
          </w:p>
        </w:tc>
      </w:tr>
      <w:tr>
        <w:tc>
          <w:tcPr>
            <w:tcW w:type="dxa" w:w="3024"/>
          </w:tcPr>
          <w:p>
            <w:r>
              <w:t>辨证论治</w:t>
            </w:r>
          </w:p>
        </w:tc>
        <w:tc>
          <w:tcPr>
            <w:tcW w:type="dxa" w:w="3024"/>
          </w:tcPr>
          <w:p>
            <w:r>
              <w:t>八纲辨证+脏腑辨证，输出调理建议、食疗方、注意事项、免责声明</w:t>
            </w:r>
          </w:p>
        </w:tc>
        <w:tc>
          <w:tcPr>
            <w:tcW w:type="dxa" w:w="3024"/>
          </w:tcPr>
          <w:p>
            <w:r>
              <w:t>Phase 1</w:t>
            </w:r>
          </w:p>
        </w:tc>
      </w:tr>
      <w:tr>
        <w:tc>
          <w:tcPr>
            <w:tcW w:type="dxa" w:w="3024"/>
          </w:tcPr>
          <w:p>
            <w:r>
              <w:t>多专家协作</w:t>
            </w:r>
          </w:p>
        </w:tc>
        <w:tc>
          <w:tcPr>
            <w:tcW w:type="dxa" w:w="3024"/>
          </w:tcPr>
          <w:p>
            <w:r>
              <w:t>5个领域专家并行处理复杂查询（方剂、中药、养生、通用）</w:t>
            </w:r>
          </w:p>
        </w:tc>
        <w:tc>
          <w:tcPr>
            <w:tcW w:type="dxa" w:w="3024"/>
          </w:tcPr>
          <w:p>
            <w:r>
              <w:t>Phase 1</w:t>
            </w:r>
          </w:p>
        </w:tc>
      </w:tr>
      <w:tr>
        <w:tc>
          <w:tcPr>
            <w:tcW w:type="dxa" w:w="3024"/>
          </w:tcPr>
          <w:p>
            <w:r>
              <w:t>SSE流式输出</w:t>
            </w:r>
          </w:p>
        </w:tc>
        <w:tc>
          <w:tcPr>
            <w:tcW w:type="dxa" w:w="3024"/>
          </w:tcPr>
          <w:p>
            <w:r>
              <w:t>Server-Sent Events实时推送诊断进度和结果</w:t>
            </w:r>
          </w:p>
        </w:tc>
        <w:tc>
          <w:tcPr>
            <w:tcW w:type="dxa" w:w="3024"/>
          </w:tcPr>
          <w:p>
            <w:r>
              <w:t>Phase 1</w:t>
            </w:r>
          </w:p>
        </w:tc>
      </w:tr>
      <w:tr>
        <w:tc>
          <w:tcPr>
            <w:tcW w:type="dxa" w:w="3024"/>
          </w:tcPr>
          <w:p>
            <w:r>
              <w:t>知识图谱RAG</w:t>
            </w:r>
          </w:p>
        </w:tc>
        <w:tc>
          <w:tcPr>
            <w:tcW w:type="dxa" w:w="3024"/>
          </w:tcPr>
          <w:p>
            <w:r>
              <w:t>Neo4j知识图谱增强辨证（670种中药+266首方剂）</w:t>
            </w:r>
          </w:p>
        </w:tc>
        <w:tc>
          <w:tcPr>
            <w:tcW w:type="dxa" w:w="3024"/>
          </w:tcPr>
          <w:p>
            <w:r>
              <w:t>Phase 2</w:t>
            </w:r>
          </w:p>
        </w:tc>
      </w:tr>
      <w:tr>
        <w:tc>
          <w:tcPr>
            <w:tcW w:type="dxa" w:w="3024"/>
          </w:tcPr>
          <w:p>
            <w:r>
              <w:t>舌象分析</w:t>
            </w:r>
          </w:p>
        </w:tc>
        <w:tc>
          <w:tcPr>
            <w:tcW w:type="dxa" w:w="3024"/>
          </w:tcPr>
          <w:p>
            <w:r>
              <w:t>图像识别辅助舌诊</w:t>
            </w:r>
          </w:p>
        </w:tc>
        <w:tc>
          <w:tcPr>
            <w:tcW w:type="dxa" w:w="3024"/>
          </w:tcPr>
          <w:p>
            <w:r>
              <w:t>Phase 3</w:t>
            </w:r>
          </w:p>
        </w:tc>
      </w:tr>
    </w:tbl>
    <w:p>
      <w:pPr>
        <w:pStyle w:val="Heading1"/>
      </w:pPr>
      <w:r>
        <w:t>3 功能详解</w:t>
      </w:r>
    </w:p>
    <w:p>
      <w:pPr>
        <w:pStyle w:val="Heading2"/>
      </w:pPr>
      <w:r>
        <w:t>3.1 智能意图识别</w:t>
      </w:r>
    </w:p>
    <w:p>
      <w:pPr>
        <w:pStyle w:val="SectionBody"/>
      </w:pPr>
      <w:r>
        <w:t>用户输入消息后，系统首先进行意图识别，判断用户想要做什么：</w:t>
      </w:r>
    </w:p>
    <w:p>
      <w:pPr>
        <w:pStyle w:val="ListBullet"/>
      </w:pPr>
      <w:r>
        <w:t>L1 规则匹配层：内置约20个常见方剂名（桂枝汤、麻黄汤等）和约30个常见中药名（黄芪、人参等）的正则匹配规则，命中时置信度0.92-0.95，直接返回</w:t>
      </w:r>
    </w:p>
    <w:p>
      <w:pPr>
        <w:pStyle w:val="ListBullet"/>
      </w:pPr>
      <w:r>
        <w:t>L3 LLM分类层：对规则未命中的消息，调用DeepSeek进行结构化意图分类，输出意图类型、置信度、实体提取</w:t>
      </w:r>
    </w:p>
    <w:p>
      <w:pPr>
        <w:pStyle w:val="ListBullet"/>
      </w:pPr>
      <w:r>
        <w:t>两层串联：L1命中且置信度&gt;=0.85直接返回，否则交给L3，两层结果合并</w:t>
      </w:r>
    </w:p>
    <w:p>
      <w:pPr>
        <w:pStyle w:val="SectionBody"/>
      </w:pPr>
      <w:r>
        <w:t>典型示例：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用户输入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识别结果</w:t>
            </w:r>
          </w:p>
        </w:tc>
        <w:tc>
          <w:tcPr>
            <w:tcW w:type="dxa" w:w="3024"/>
          </w:tcPr>
          <w:p>
            <w:r>
              <w:rPr>
                <w:b/>
              </w:rPr>
              <w:t>路由</w:t>
            </w:r>
          </w:p>
        </w:tc>
      </w:tr>
      <w:tr>
        <w:tc>
          <w:tcPr>
            <w:tcW w:type="dxa" w:w="3024"/>
          </w:tcPr>
          <w:p>
            <w:r>
              <w:t>失眠乏力食欲差</w:t>
            </w:r>
          </w:p>
        </w:tc>
        <w:tc>
          <w:tcPr>
            <w:tcW w:type="dxa" w:w="3024"/>
          </w:tcPr>
          <w:p>
            <w:r>
              <w:t>diagnosis (0.92)</w:t>
            </w:r>
          </w:p>
        </w:tc>
        <w:tc>
          <w:tcPr>
            <w:tcW w:type="dxa" w:w="3024"/>
          </w:tcPr>
          <w:p>
            <w:r>
              <w:t>诊断子图</w:t>
            </w:r>
          </w:p>
        </w:tc>
      </w:tr>
      <w:tr>
        <w:tc>
          <w:tcPr>
            <w:tcW w:type="dxa" w:w="3024"/>
          </w:tcPr>
          <w:p>
            <w:r>
              <w:t>桂枝汤的功效</w:t>
            </w:r>
          </w:p>
        </w:tc>
        <w:tc>
          <w:tcPr>
            <w:tcW w:type="dxa" w:w="3024"/>
          </w:tcPr>
          <w:p>
            <w:r>
              <w:t>prescription (0.95)</w:t>
            </w:r>
          </w:p>
        </w:tc>
        <w:tc>
          <w:tcPr>
            <w:tcW w:type="dxa" w:w="3024"/>
          </w:tcPr>
          <w:p>
            <w:r>
              <w:t>方剂专家</w:t>
            </w:r>
          </w:p>
        </w:tc>
      </w:tr>
      <w:tr>
        <w:tc>
          <w:tcPr>
            <w:tcW w:type="dxa" w:w="3024"/>
          </w:tcPr>
          <w:p>
            <w:r>
              <w:t>黄芪的作用</w:t>
            </w:r>
          </w:p>
        </w:tc>
        <w:tc>
          <w:tcPr>
            <w:tcW w:type="dxa" w:w="3024"/>
          </w:tcPr>
          <w:p>
            <w:r>
              <w:t>herb (0.93)</w:t>
            </w:r>
          </w:p>
        </w:tc>
        <w:tc>
          <w:tcPr>
            <w:tcW w:type="dxa" w:w="3024"/>
          </w:tcPr>
          <w:p>
            <w:r>
              <w:t>中药专家</w:t>
            </w:r>
          </w:p>
        </w:tc>
      </w:tr>
      <w:tr>
        <w:tc>
          <w:tcPr>
            <w:tcW w:type="dxa" w:w="3024"/>
          </w:tcPr>
          <w:p>
            <w:r>
              <w:t>如何养肝</w:t>
            </w:r>
          </w:p>
        </w:tc>
        <w:tc>
          <w:tcPr>
            <w:tcW w:type="dxa" w:w="3024"/>
          </w:tcPr>
          <w:p>
            <w:r>
              <w:t>wellness (0.88)</w:t>
            </w:r>
          </w:p>
        </w:tc>
        <w:tc>
          <w:tcPr>
            <w:tcW w:type="dxa" w:w="3024"/>
          </w:tcPr>
          <w:p>
            <w:r>
              <w:t>养生专家</w:t>
            </w:r>
          </w:p>
        </w:tc>
      </w:tr>
      <w:tr>
        <w:tc>
          <w:tcPr>
            <w:tcW w:type="dxa" w:w="3024"/>
          </w:tcPr>
          <w:p>
            <w:r>
              <w:t>什么是阴阳</w:t>
            </w:r>
          </w:p>
        </w:tc>
        <w:tc>
          <w:tcPr>
            <w:tcW w:type="dxa" w:w="3024"/>
          </w:tcPr>
          <w:p>
            <w:r>
              <w:t>general (0.85)</w:t>
            </w:r>
          </w:p>
        </w:tc>
        <w:tc>
          <w:tcPr>
            <w:tcW w:type="dxa" w:w="3024"/>
          </w:tcPr>
          <w:p>
            <w:r>
              <w:t>通用专家</w:t>
            </w:r>
          </w:p>
        </w:tc>
      </w:tr>
    </w:tbl>
    <w:p>
      <w:pPr>
        <w:pStyle w:val="Heading2"/>
      </w:pPr>
      <w:r>
        <w:t>3.2 多轮信息采集</w:t>
      </w:r>
    </w:p>
    <w:p>
      <w:pPr>
        <w:pStyle w:val="SectionBody"/>
      </w:pPr>
      <w:r>
        <w:t>当意图被识别为诊断咨询时，系统进入多轮信息采集流程：</w:t>
      </w:r>
    </w:p>
    <w:p>
      <w:pPr>
        <w:pStyle w:val="ListNumber"/>
      </w:pPr>
      <w:r>
        <w:t>第一轮：从用户初始描述中提取寒热、汗、头身、二便、饮食、胸腹、睡眠、情志等信息</w:t>
      </w:r>
    </w:p>
    <w:p>
      <w:pPr>
        <w:pStyle w:val="ListNumber"/>
      </w:pPr>
      <w:r>
        <w:t>追问轮：系统自动识别缺失信息，生成针对性追问（如：您睡眠如何？有无多梦易醒？）</w:t>
      </w:r>
    </w:p>
    <w:p>
      <w:pPr>
        <w:pStyle w:val="ListNumber"/>
      </w:pPr>
      <w:r>
        <w:t>最多追问4轮，每轮使用LLM结构化输出（Pydantic Schema）确保数据格式一致</w:t>
      </w:r>
    </w:p>
    <w:p>
      <w:pPr>
        <w:pStyle w:val="ListNumber"/>
      </w:pPr>
      <w:r>
        <w:t>当信息充足（&gt;=4类）或用户明确表示没有更多症状时，进入复杂度评估</w:t>
      </w:r>
    </w:p>
    <w:p>
      <w:pPr>
        <w:pStyle w:val="SectionBody"/>
      </w:pPr>
      <w:r>
        <w:t>追问决策采用混合策略：先检查硬性规则（否定回答、轮次上限、信息充足），再由LLM辅助决策。</w:t>
      </w:r>
    </w:p>
    <w:p>
      <w:pPr>
        <w:pStyle w:val="Heading2"/>
      </w:pPr>
      <w:r>
        <w:t>3.3 复杂度评估</w:t>
      </w:r>
    </w:p>
    <w:p>
      <w:pPr>
        <w:pStyle w:val="SectionBody"/>
      </w:pPr>
      <w:r>
        <w:t>信息采集完成后，系统对病例复杂度进行评分（0-10分）：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评估维度</w:t>
            </w:r>
          </w:p>
        </w:tc>
        <w:tc>
          <w:tcPr>
            <w:tcW w:type="dxa" w:w="4536"/>
          </w:tcPr>
          <w:p>
            <w:r>
              <w:rPr>
                <w:b/>
              </w:rPr>
              <w:t>评分规则</w:t>
            </w:r>
          </w:p>
        </w:tc>
      </w:tr>
      <w:tr>
        <w:tc>
          <w:tcPr>
            <w:tcW w:type="dxa" w:w="4536"/>
          </w:tcPr>
          <w:p>
            <w:r>
              <w:t>症状数量</w:t>
            </w:r>
          </w:p>
        </w:tc>
        <w:tc>
          <w:tcPr>
            <w:tcW w:type="dxa" w:w="4536"/>
          </w:tcPr>
          <w:p>
            <w:r>
              <w:t>&lt;=3个=0分，&lt;=5个=1分，&gt;5个=2分</w:t>
            </w:r>
          </w:p>
        </w:tc>
      </w:tr>
      <w:tr>
        <w:tc>
          <w:tcPr>
            <w:tcW w:type="dxa" w:w="4536"/>
          </w:tcPr>
          <w:p>
            <w:r>
              <w:t>涉及脏腑</w:t>
            </w:r>
          </w:p>
        </w:tc>
        <w:tc>
          <w:tcPr>
            <w:tcW w:type="dxa" w:w="4536"/>
          </w:tcPr>
          <w:p>
            <w:r>
              <w:t>单一脏腑=0分，2个=1分，&gt;=3个=2分</w:t>
            </w:r>
          </w:p>
        </w:tc>
      </w:tr>
      <w:tr>
        <w:tc>
          <w:tcPr>
            <w:tcW w:type="dxa" w:w="4536"/>
          </w:tcPr>
          <w:p>
            <w:r>
              <w:t>持续时间</w:t>
            </w:r>
          </w:p>
        </w:tc>
        <w:tc>
          <w:tcPr>
            <w:tcW w:type="dxa" w:w="4536"/>
          </w:tcPr>
          <w:p>
            <w:r>
              <w:t>急性=0分，数月=1分，数年/慢性=2分</w:t>
            </w:r>
          </w:p>
        </w:tc>
      </w:tr>
      <w:tr>
        <w:tc>
          <w:tcPr>
            <w:tcW w:type="dxa" w:w="4536"/>
          </w:tcPr>
          <w:p>
            <w:r>
              <w:t>症状矛盾</w:t>
            </w:r>
          </w:p>
        </w:tc>
        <w:tc>
          <w:tcPr>
            <w:tcW w:type="dxa" w:w="4536"/>
          </w:tcPr>
          <w:p>
            <w:r>
              <w:t>无矛盾=0分，寒热并见等=2分</w:t>
            </w:r>
          </w:p>
        </w:tc>
      </w:tr>
      <w:tr>
        <w:tc>
          <w:tcPr>
            <w:tcW w:type="dxa" w:w="4536"/>
          </w:tcPr>
          <w:p>
            <w:r>
              <w:t>慢病史</w:t>
            </w:r>
          </w:p>
        </w:tc>
        <w:tc>
          <w:tcPr>
            <w:tcW w:type="dxa" w:w="4536"/>
          </w:tcPr>
          <w:p>
            <w:r>
              <w:t>无=0分，&lt;=2种=1分，&gt;2种=2分</w:t>
            </w:r>
          </w:p>
        </w:tc>
      </w:tr>
    </w:tbl>
    <w:p>
      <w:pPr>
        <w:pStyle w:val="SectionBody"/>
      </w:pPr>
      <w:r>
        <w:t>总分&lt;=3分走简单诊断路径，4-6分走中等诊断路径，&gt;6分走复杂诊断路径（当前降级为中等）。</w:t>
      </w:r>
    </w:p>
    <w:p>
      <w:pPr>
        <w:pStyle w:val="Heading2"/>
      </w:pPr>
      <w:r>
        <w:t>3.4 辨证论治</w:t>
      </w:r>
    </w:p>
    <w:p>
      <w:pPr>
        <w:pStyle w:val="SectionBody"/>
      </w:pPr>
      <w:r>
        <w:t>简单诊断和中等诊断的区别：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特征</w:t>
            </w:r>
          </w:p>
        </w:tc>
        <w:tc>
          <w:tcPr>
            <w:tcW w:type="dxa" w:w="3024"/>
          </w:tcPr>
          <w:p>
            <w:r>
              <w:rPr>
                <w:b/>
              </w:rPr>
              <w:t>简单诊断</w:t>
            </w:r>
          </w:p>
        </w:tc>
        <w:tc>
          <w:tcPr>
            <w:tcW w:type="dxa" w:w="3024"/>
          </w:tcPr>
          <w:p>
            <w:r>
              <w:rPr>
                <w:b/>
              </w:rPr>
              <w:t>中等诊断</w:t>
            </w:r>
          </w:p>
        </w:tc>
      </w:tr>
      <w:tr>
        <w:tc>
          <w:tcPr>
            <w:tcW w:type="dxa" w:w="3024"/>
          </w:tcPr>
          <w:p>
            <w:r>
              <w:t>触发条件</w:t>
            </w:r>
          </w:p>
        </w:tc>
        <w:tc>
          <w:tcPr>
            <w:tcW w:type="dxa" w:w="3024"/>
          </w:tcPr>
          <w:p>
            <w:r>
              <w:t>评分&lt;=3分</w:t>
            </w:r>
          </w:p>
        </w:tc>
        <w:tc>
          <w:tcPr>
            <w:tcW w:type="dxa" w:w="3024"/>
          </w:tcPr>
          <w:p>
            <w:r>
              <w:t>评分4-6分</w:t>
            </w:r>
          </w:p>
        </w:tc>
      </w:tr>
      <w:tr>
        <w:tc>
          <w:tcPr>
            <w:tcW w:type="dxa" w:w="3024"/>
          </w:tcPr>
          <w:p>
            <w:r>
              <w:t>参考数据</w:t>
            </w:r>
          </w:p>
        </w:tc>
        <w:tc>
          <w:tcPr>
            <w:tcW w:type="dxa" w:w="3024"/>
          </w:tcPr>
          <w:p>
            <w:r>
              <w:t>无（纯LLM推理）</w:t>
            </w:r>
          </w:p>
        </w:tc>
        <w:tc>
          <w:tcPr>
            <w:tcW w:type="dxa" w:w="3024"/>
          </w:tcPr>
          <w:p>
            <w:r>
              <w:t>Mock RAG数据（Phase 2接入知识图谱）</w:t>
            </w:r>
          </w:p>
        </w:tc>
      </w:tr>
      <w:tr>
        <w:tc>
          <w:tcPr>
            <w:tcW w:type="dxa" w:w="3024"/>
          </w:tcPr>
          <w:p>
            <w:r>
              <w:t>输出内容</w:t>
            </w:r>
          </w:p>
        </w:tc>
        <w:tc>
          <w:tcPr>
            <w:tcW w:type="dxa" w:w="3024"/>
          </w:tcPr>
          <w:p>
            <w:r>
              <w:t>四诊摘要+辨证+建议+免责声明</w:t>
            </w:r>
          </w:p>
        </w:tc>
        <w:tc>
          <w:tcPr>
            <w:tcW w:type="dxa" w:w="3024"/>
          </w:tcPr>
          <w:p>
            <w:r>
              <w:t>额外包含相似案例、证型匹配、相关方剂</w:t>
            </w:r>
          </w:p>
        </w:tc>
      </w:tr>
      <w:tr>
        <w:tc>
          <w:tcPr>
            <w:tcW w:type="dxa" w:w="3024"/>
          </w:tcPr>
          <w:p>
            <w:r>
              <w:t>LLM温度</w:t>
            </w:r>
          </w:p>
        </w:tc>
        <w:tc>
          <w:tcPr>
            <w:tcW w:type="dxa" w:w="3024"/>
          </w:tcPr>
          <w:p>
            <w:r>
              <w:t>0.3（确定性强）</w:t>
            </w:r>
          </w:p>
        </w:tc>
        <w:tc>
          <w:tcPr>
            <w:tcW w:type="dxa" w:w="3024"/>
          </w:tcPr>
          <w:p>
            <w:r>
              <w:t>0.3</w:t>
            </w:r>
          </w:p>
        </w:tc>
      </w:tr>
    </w:tbl>
    <w:p>
      <w:pPr>
        <w:pStyle w:val="SectionBody"/>
      </w:pPr>
      <w:r>
        <w:t>诊断输出的标准格式包含：</w:t>
      </w:r>
    </w:p>
    <w:p>
      <w:pPr>
        <w:pStyle w:val="ListNumber"/>
      </w:pPr>
      <w:r>
        <w:t>四诊摘要：汇总已采集的症状信息</w:t>
      </w:r>
    </w:p>
    <w:p>
      <w:pPr>
        <w:pStyle w:val="ListNumber"/>
      </w:pPr>
      <w:r>
        <w:t>八纲辨证：阴阳、表里、寒热、虚实分析</w:t>
      </w:r>
    </w:p>
    <w:p>
      <w:pPr>
        <w:pStyle w:val="ListNumber"/>
      </w:pPr>
      <w:r>
        <w:t>脏腑辨证：定位病位（心、肝、脾、肺、肾）</w:t>
      </w:r>
    </w:p>
    <w:p>
      <w:pPr>
        <w:pStyle w:val="ListNumber"/>
      </w:pPr>
      <w:r>
        <w:t>调理建议：饮食、作息、情志调理方案</w:t>
      </w:r>
    </w:p>
    <w:p>
      <w:pPr>
        <w:pStyle w:val="ListNumber"/>
      </w:pPr>
      <w:r>
        <w:t>食疗方/方剂推荐（如适用）</w:t>
      </w:r>
    </w:p>
    <w:p>
      <w:pPr>
        <w:pStyle w:val="ListNumber"/>
      </w:pPr>
      <w:r>
        <w:t>注意事项：禁忌、就医建议</w:t>
      </w:r>
    </w:p>
    <w:p>
      <w:pPr>
        <w:pStyle w:val="ListNumber"/>
      </w:pPr>
      <w:r>
        <w:t>免责声明：本结果仅供健康参考，不构成医疗建议</w:t>
      </w:r>
    </w:p>
    <w:p>
      <w:pPr>
        <w:pStyle w:val="Heading2"/>
      </w:pPr>
      <w:r>
        <w:t>3.5 多专家协作</w:t>
      </w:r>
    </w:p>
    <w:p>
      <w:pPr>
        <w:pStyle w:val="SectionBody"/>
      </w:pPr>
      <w:r>
        <w:t>非诊断类意图由Supervisor Agent统一调度。当单条消息涉及多个意图时，Supervisor自动分解为多个子任务并行执行：</w:t>
      </w:r>
    </w:p>
    <w:p>
      <w:pPr>
        <w:pStyle w:val="SectionBody"/>
      </w:pPr>
      <w:r>
        <w:t>示例：用户输入桂枝汤治什么病，我自己能吃吗</w:t>
      </w:r>
    </w:p>
    <w:p>
      <w:pPr>
        <w:pStyle w:val="ListBullet"/>
      </w:pPr>
      <w:r>
        <w:t>子任务1：PrescriptionSpecialist回答桂枝汤的适应证</w:t>
      </w:r>
    </w:p>
    <w:p>
      <w:pPr>
        <w:pStyle w:val="ListBullet"/>
      </w:pPr>
      <w:r>
        <w:t>子任务2：GeneralSpecialist回答是否适合用户体质</w:t>
      </w:r>
    </w:p>
    <w:p>
      <w:pPr>
        <w:pStyle w:val="ListBullet"/>
      </w:pPr>
      <w:r>
        <w:t>合并输出：将两个专家的回答合并后返回</w:t>
      </w:r>
    </w:p>
    <w:p>
      <w:pPr>
        <w:pStyle w:val="Heading2"/>
      </w:pPr>
      <w:r>
        <w:t>3.6 SSE流式输出</w:t>
      </w:r>
    </w:p>
    <w:p>
      <w:pPr>
        <w:pStyle w:val="SectionBody"/>
      </w:pPr>
      <w:r>
        <w:t>系统支持Server-Sent Events（SSE）实时推送，客户端可逐步接收：</w:t>
      </w:r>
    </w:p>
    <w:p>
      <w:pPr>
        <w:pStyle w:val="ListNumber"/>
      </w:pPr>
      <w:r>
        <w:t>status事件：当前阶段（意图识别/诊断中/通用对话）</w:t>
      </w:r>
    </w:p>
    <w:p>
      <w:pPr>
        <w:pStyle w:val="ListNumber"/>
      </w:pPr>
      <w:r>
        <w:t>intent事件：意图分类结果（类型、置信度、路由路径）</w:t>
      </w:r>
    </w:p>
    <w:p>
      <w:pPr>
        <w:pStyle w:val="ListNumber"/>
      </w:pPr>
      <w:r>
        <w:t>answer_chunk事件：答案分片（每片20字符，模拟打字机效果）</w:t>
      </w:r>
    </w:p>
    <w:p>
      <w:pPr>
        <w:pStyle w:val="ListNumber"/>
      </w:pPr>
      <w:r>
        <w:t>answer_end事件：完整答案 + 诊断步骤</w:t>
      </w:r>
    </w:p>
    <w:p>
      <w:pPr>
        <w:pStyle w:val="ListNumber"/>
      </w:pPr>
      <w:r>
        <w:t>done事件：流结束</w:t>
      </w:r>
    </w:p>
    <w:p>
      <w:pPr>
        <w:pStyle w:val="Heading1"/>
      </w:pPr>
      <w:r>
        <w:t>4 技术特性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453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LangGraph状态图</w:t>
            </w:r>
          </w:p>
        </w:tc>
        <w:tc>
          <w:tcPr>
            <w:tcW w:type="dxa" w:w="4536"/>
          </w:tcPr>
          <w:p>
            <w:r>
              <w:t>诊断流程用StateGraph建模，节点间通过状态传递数据，支持条件路由和循环</w:t>
            </w:r>
          </w:p>
        </w:tc>
      </w:tr>
      <w:tr>
        <w:tc>
          <w:tcPr>
            <w:tcW w:type="dxa" w:w="4536"/>
          </w:tcPr>
          <w:p>
            <w:r>
              <w:t>结构化输出</w:t>
            </w:r>
          </w:p>
        </w:tc>
        <w:tc>
          <w:tcPr>
            <w:tcW w:type="dxa" w:w="4536"/>
          </w:tcPr>
          <w:p>
            <w:r>
              <w:t>使用Pydantic Schema + LLM with_structured_output确保输出格式一致</w:t>
            </w:r>
          </w:p>
        </w:tc>
      </w:tr>
      <w:tr>
        <w:tc>
          <w:tcPr>
            <w:tcW w:type="dxa" w:w="4536"/>
          </w:tcPr>
          <w:p>
            <w:r>
              <w:t>混合决策</w:t>
            </w:r>
          </w:p>
        </w:tc>
        <w:tc>
          <w:tcPr>
            <w:tcW w:type="dxa" w:w="4536"/>
          </w:tcPr>
          <w:p>
            <w:r>
              <w:t>硬性规则优先（轮次/信息量/否定回答），LLM辅助处理模糊情况</w:t>
            </w:r>
          </w:p>
        </w:tc>
      </w:tr>
      <w:tr>
        <w:tc>
          <w:tcPr>
            <w:tcW w:type="dxa" w:w="4536"/>
          </w:tcPr>
          <w:p>
            <w:r>
              <w:t>温度分控</w:t>
            </w:r>
          </w:p>
        </w:tc>
        <w:tc>
          <w:tcPr>
            <w:tcW w:type="dxa" w:w="4536"/>
          </w:tcPr>
          <w:p>
            <w:r>
              <w:t>采集用0.7（更灵活），诊断用0.3（更精确）</w:t>
            </w:r>
          </w:p>
        </w:tc>
      </w:tr>
      <w:tr>
        <w:tc>
          <w:tcPr>
            <w:tcW w:type="dxa" w:w="4536"/>
          </w:tcPr>
          <w:p>
            <w:r>
              <w:t>优雅降级</w:t>
            </w:r>
          </w:p>
        </w:tc>
        <w:tc>
          <w:tcPr>
            <w:tcW w:type="dxa" w:w="4536"/>
          </w:tcPr>
          <w:p>
            <w:r>
              <w:t>复杂诊断降级为中等，handler失败时降级为单轮LLM调用</w:t>
            </w:r>
          </w:p>
        </w:tc>
      </w:tr>
      <w:tr>
        <w:tc>
          <w:tcPr>
            <w:tcW w:type="dxa" w:w="4536"/>
          </w:tcPr>
          <w:p>
            <w:r>
              <w:t>CORS全开放</w:t>
            </w:r>
          </w:p>
        </w:tc>
        <w:tc>
          <w:tcPr>
            <w:tcW w:type="dxa" w:w="4536"/>
          </w:tcPr>
          <w:p>
            <w:r>
              <w:t>开发阶段跨域全开放，方便前后端分离调试</w:t>
            </w:r>
          </w:p>
        </w:tc>
      </w:tr>
    </w:tbl>
    <w:p>
      <w:pPr>
        <w:pStyle w:val="Heading1"/>
      </w:pPr>
      <w:r>
        <w:t>5 接入指南</w:t>
      </w:r>
    </w:p>
    <w:p>
      <w:pPr>
        <w:pStyle w:val="ListNumber"/>
      </w:pPr>
      <w:r>
        <w:t>安装依赖：pip install -r requirements.txt</w:t>
      </w:r>
    </w:p>
    <w:p>
      <w:pPr>
        <w:pStyle w:val="ListNumber"/>
      </w:pPr>
      <w:r>
        <w:t>配置环境变量：设置DEEPSEEK_API_KEY（必填）</w:t>
      </w:r>
    </w:p>
    <w:p>
      <w:pPr>
        <w:pStyle w:val="ListNumber"/>
      </w:pPr>
      <w:r>
        <w:t>启动服务：python main.py（默认监听0.0.0.0:8000）</w:t>
      </w:r>
    </w:p>
    <w:p>
      <w:pPr>
        <w:pStyle w:val="ListNumber"/>
      </w:pPr>
      <w:r>
        <w:t>调用接口：POST /api/v1/chat/generate</w:t>
      </w:r>
    </w:p>
    <w:p>
      <w:pPr>
        <w:pStyle w:val="ListNumber"/>
      </w:pPr>
      <w:r>
        <w:t>查看文档：访问 http://localhost:8000/docs 查看Swagger UI</w:t>
      </w:r>
    </w:p>
    <w:p>
      <w:pPr>
        <w:pStyle w:val="SectionBody"/>
      </w:pPr>
      <w:r>
        <w:t>cURL示例：</w:t>
      </w:r>
    </w:p>
    <w:p>
      <w:pPr>
        <w:pStyle w:val="SectionBody"/>
      </w:pPr>
      <w:r>
        <w:t>curl -X POST http://localhost:8000/api/v1/chat/generate -H 'Content-Type: application/json' -d '{"message": "失眠乏力食欲差", "stream": false}'</w:t>
      </w:r>
    </w:p>
    <w:p>
      <w:pPr>
        <w:pStyle w:val="Heading1"/>
      </w:pPr>
      <w:r>
        <w:t>6 已知限制</w:t>
      </w:r>
    </w:p>
    <w:p>
      <w:pPr>
        <w:pStyle w:val="ListBullet"/>
      </w:pPr>
      <w:r>
        <w:t>Phase 1 无持久化：无会话历史存储，conversation_id仅用于单次流内标识</w:t>
      </w:r>
    </w:p>
    <w:p>
      <w:pPr>
        <w:pStyle w:val="ListBullet"/>
      </w:pPr>
      <w:r>
        <w:t>Phase 1 无RAG：moderate_diagnosis使用Mock数据，不连接知识图谱</w:t>
      </w:r>
    </w:p>
    <w:p>
      <w:pPr>
        <w:pStyle w:val="ListBullet"/>
      </w:pPr>
      <w:r>
        <w:t>Phase 1 无舌象：request_tongue动作已预留但未实现</w:t>
      </w:r>
    </w:p>
    <w:p>
      <w:pPr>
        <w:pStyle w:val="ListBullet"/>
      </w:pPr>
      <w:r>
        <w:t>CORS全开放：生产环境需收紧allowed_origins</w:t>
      </w:r>
    </w:p>
    <w:p>
      <w:pPr>
        <w:pStyle w:val="ListBullet"/>
      </w:pPr>
      <w:r>
        <w:t>无认证：API完全开放，无API Key或JWT验证</w:t>
      </w:r>
    </w:p>
    <w:p>
      <w:pPr>
        <w:pStyle w:val="ListBullet"/>
      </w:pPr>
      <w:r>
        <w:t>单实例：无负载均衡、无集群部署方案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中医多智能体诊断系统 — 功能介绍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SimHei" w:hAnsi="SimHei"/>
      <w:b/>
      <w:color w:val="1F4E79"/>
      <w:sz w:val="44"/>
    </w:rPr>
  </w:style>
  <w:style w:type="paragraph" w:customStyle="1" w:styleId="SectionBody">
    <w:name w:val="SectionBody"/>
    <w:basedOn w:val="Normal"/>
    <w:rPr>
      <w:rFonts w:ascii="SimSun" w:hAnsi="SimSun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