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Aptos" w:hAnsi="Aptos"/>
          <w:b/>
          <w:i w:val="0"/>
          <w:color w:val="000000"/>
          <w:sz w:val="40"/>
        </w:rPr>
        <w:t>QinetiQ Valuation and US Strategic Review</w:t>
      </w:r>
    </w:p>
    <w:p>
      <w:pPr>
        <w:spacing w:after="140"/>
      </w:pPr>
      <w:r>
        <w:rPr>
          <w:rFonts w:ascii="Aptos" w:hAnsi="Aptos"/>
          <w:b w:val="0"/>
          <w:i w:val="0"/>
          <w:color w:val="5F6368"/>
          <w:sz w:val="18"/>
        </w:rPr>
        <w:t>Investment banking valuation memo | 16 September 2026</w:t>
      </w:r>
    </w:p>
    <w:p>
      <w:pPr>
        <w:spacing w:before="0" w:after="100" w:line="250" w:lineRule="auto"/>
      </w:pPr>
      <w:r>
        <w:rPr>
          <w:rFonts w:ascii="Aptos" w:hAnsi="Aptos"/>
          <w:b/>
          <w:i w:val="0"/>
          <w:color w:val="232323"/>
          <w:sz w:val="19"/>
        </w:rPr>
        <w:t xml:space="preserve">Recommendation. </w:t>
      </w:r>
      <w:r>
        <w:rPr>
          <w:rFonts w:ascii="Aptos" w:hAnsi="Aptos"/>
          <w:b w:val="0"/>
          <w:i w:val="0"/>
          <w:color w:val="232323"/>
          <w:sz w:val="19"/>
        </w:rPr>
        <w:t>QinetiQ should continue improving the US operation while maintaining a competitive sale process. The model does not support a sale near 1.00x revenue. A price of approximately 1.13x is only mathematical break-even; QinetiQ should require at least approximately 1.25x and prefer a price closer to 1.50x after considering tax, separation costs, stranded overhead and transaction certainty.</w:t>
      </w:r>
    </w:p>
    <w:p>
      <w:pPr>
        <w:pStyle w:val="Heading1"/>
        <w:keepNext/>
        <w:spacing w:before="140" w:after="60"/>
      </w:pPr>
      <w:r>
        <w:rPr>
          <w:rFonts w:ascii="Aptos" w:hAnsi="Aptos"/>
          <w:b/>
          <w:i w:val="0"/>
          <w:color w:val="000000"/>
          <w:sz w:val="26"/>
        </w:rPr>
        <w:t>Valuation conclusion</w:t>
      </w:r>
    </w:p>
    <w:p>
      <w:pPr>
        <w:spacing w:before="0" w:after="80" w:line="250" w:lineRule="auto"/>
      </w:pPr>
      <w:r>
        <w:rPr>
          <w:rFonts w:ascii="Aptos" w:hAnsi="Aptos"/>
          <w:b w:val="0"/>
          <w:i w:val="0"/>
          <w:color w:val="232323"/>
          <w:sz w:val="19"/>
        </w:rPr>
        <w:t>The core valuation range is £5.29 to £5.52 per share. An illustrative central value of £5.40 gives 50% weight to the operating profit trading comparable and 25% each to the base and restructuring DCFs. This implies approximately 16% upside to the research date share price of £4.66. The range matters more than the point estimate because approximately 74% of base-case enterprise value comes from terminal value.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52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i w:val="0"/>
                <w:color w:val="FFFFFF"/>
                <w:sz w:val="16"/>
              </w:rPr>
              <w:t>Method</w:t>
            </w:r>
          </w:p>
        </w:tc>
        <w:tc>
          <w:tcPr>
            <w:tcW w:type="dxa" w:w="165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Value per share</w:t>
            </w:r>
          </w:p>
        </w:tc>
        <w:tc>
          <w:tcPr>
            <w:tcW w:type="dxa" w:w="4968"/>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Role in conclusion</w:t>
            </w:r>
          </w:p>
        </w:tc>
      </w:tr>
      <w:tr>
        <w:tc>
          <w:tcPr>
            <w:tcW w:type="dxa" w:w="35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Trading comps: revenue</w:t>
            </w:r>
          </w:p>
        </w:tc>
        <w:tc>
          <w:tcPr>
            <w:tcW w:type="dxa" w:w="165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£3.91</w:t>
            </w:r>
          </w:p>
        </w:tc>
        <w:tc>
          <w:tcPr>
            <w:tcW w:type="dxa" w:w="49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Downside cross-check</w:t>
            </w:r>
          </w:p>
        </w:tc>
      </w:tr>
      <w:tr>
        <w:tc>
          <w:tcPr>
            <w:tcW w:type="dxa" w:w="3528"/>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Trading comps: operating profit</w:t>
            </w:r>
          </w:p>
        </w:tc>
        <w:tc>
          <w:tcPr>
            <w:tcW w:type="dxa" w:w="1656"/>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£5.29</w:t>
            </w:r>
          </w:p>
        </w:tc>
        <w:tc>
          <w:tcPr>
            <w:tcW w:type="dxa" w:w="4968"/>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Core market evidence</w:t>
            </w:r>
          </w:p>
        </w:tc>
      </w:tr>
      <w:tr>
        <w:tc>
          <w:tcPr>
            <w:tcW w:type="dxa" w:w="35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Base-case DCF</w:t>
            </w:r>
          </w:p>
        </w:tc>
        <w:tc>
          <w:tcPr>
            <w:tcW w:type="dxa" w:w="165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£5.51</w:t>
            </w:r>
          </w:p>
        </w:tc>
        <w:tc>
          <w:tcPr>
            <w:tcW w:type="dxa" w:w="49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Core intrinsic value</w:t>
            </w:r>
          </w:p>
        </w:tc>
      </w:tr>
      <w:tr>
        <w:tc>
          <w:tcPr>
            <w:tcW w:type="dxa" w:w="3528"/>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Restructuring-case DCF</w:t>
            </w:r>
          </w:p>
        </w:tc>
        <w:tc>
          <w:tcPr>
            <w:tcW w:type="dxa" w:w="1656"/>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£5.52</w:t>
            </w:r>
          </w:p>
        </w:tc>
        <w:tc>
          <w:tcPr>
            <w:tcW w:type="dxa" w:w="4968"/>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Strategic retain case</w:t>
            </w:r>
          </w:p>
        </w:tc>
      </w:tr>
      <w:tr>
        <w:tc>
          <w:tcPr>
            <w:tcW w:type="dxa" w:w="352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US disposal at 1.00x</w:t>
            </w:r>
          </w:p>
        </w:tc>
        <w:tc>
          <w:tcPr>
            <w:tcW w:type="dxa" w:w="165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£5.44</w:t>
            </w:r>
          </w:p>
        </w:tc>
        <w:tc>
          <w:tcPr>
            <w:tcW w:type="dxa" w:w="49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Conservative sale case</w:t>
            </w:r>
          </w:p>
        </w:tc>
      </w:tr>
      <w:tr>
        <w:tc>
          <w:tcPr>
            <w:tcW w:type="dxa" w:w="3528"/>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US disposal at 1.81x</w:t>
            </w:r>
          </w:p>
        </w:tc>
        <w:tc>
          <w:tcPr>
            <w:tcW w:type="dxa" w:w="1656"/>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£5.85</w:t>
            </w:r>
          </w:p>
        </w:tc>
        <w:tc>
          <w:tcPr>
            <w:tcW w:type="dxa" w:w="4968"/>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Conditional transaction upside</w:t>
            </w:r>
          </w:p>
        </w:tc>
      </w:tr>
    </w:tbl>
    <w:p>
      <w:pPr>
        <w:spacing w:after="0"/>
      </w:pPr>
    </w:p>
    <w:p>
      <w:pPr>
        <w:pStyle w:val="Heading1"/>
        <w:keepNext/>
        <w:spacing w:before="140" w:after="60"/>
      </w:pPr>
      <w:r>
        <w:rPr>
          <w:rFonts w:ascii="Aptos" w:hAnsi="Aptos"/>
          <w:b/>
          <w:i w:val="0"/>
          <w:color w:val="000000"/>
          <w:sz w:val="26"/>
        </w:rPr>
        <w:t>Operating forecast and cash flow</w:t>
      </w:r>
    </w:p>
    <w:p>
      <w:pPr>
        <w:spacing w:before="0" w:after="80" w:line="250" w:lineRule="auto"/>
      </w:pPr>
      <w:r>
        <w:rPr>
          <w:rFonts w:ascii="Aptos" w:hAnsi="Aptos"/>
          <w:b w:val="0"/>
          <w:i w:val="0"/>
          <w:color w:val="232323"/>
          <w:sz w:val="19"/>
        </w:rPr>
        <w:t>The base case keeps both segments in the group. EMEA revenue growth tapers from 5.0% to 3.5%, supported by backlog and test and evaluation demand. Global Solutions remains flat in FY27 and recovers gradually because the US turnaround has not yet been demonstrated. Group revenue rises from £1.92bn in FY26 to £2.33bn in FY31, while the operating margin moves from 11.3% to 11.6%.</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3096"/>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i w:val="0"/>
                <w:color w:val="FFFFFF"/>
                <w:sz w:val="16"/>
              </w:rPr>
              <w:t>£m except margins</w:t>
            </w:r>
          </w:p>
        </w:tc>
        <w:tc>
          <w:tcPr>
            <w:tcW w:type="dxa" w:w="14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FY27E</w:t>
            </w:r>
          </w:p>
        </w:tc>
        <w:tc>
          <w:tcPr>
            <w:tcW w:type="dxa" w:w="14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FY28E</w:t>
            </w:r>
          </w:p>
        </w:tc>
        <w:tc>
          <w:tcPr>
            <w:tcW w:type="dxa" w:w="14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FY29E</w:t>
            </w:r>
          </w:p>
        </w:tc>
        <w:tc>
          <w:tcPr>
            <w:tcW w:type="dxa" w:w="14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FY30E</w:t>
            </w:r>
          </w:p>
        </w:tc>
        <w:tc>
          <w:tcPr>
            <w:tcW w:type="dxa" w:w="1411"/>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FY31E</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Revenue</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1,999</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2,087</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2,175</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2,258</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2,335</w:t>
            </w:r>
          </w:p>
        </w:tc>
      </w:tr>
      <w:tr>
        <w:tc>
          <w:tcPr>
            <w:tcW w:type="dxa" w:w="3096"/>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Operating margin</w:t>
            </w:r>
          </w:p>
        </w:tc>
        <w:tc>
          <w:tcPr>
            <w:tcW w:type="dxa" w:w="1411"/>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11.2%</w:t>
            </w:r>
          </w:p>
        </w:tc>
        <w:tc>
          <w:tcPr>
            <w:tcW w:type="dxa" w:w="1411"/>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11.4%</w:t>
            </w:r>
          </w:p>
        </w:tc>
        <w:tc>
          <w:tcPr>
            <w:tcW w:type="dxa" w:w="1411"/>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11.6%</w:t>
            </w:r>
          </w:p>
        </w:tc>
        <w:tc>
          <w:tcPr>
            <w:tcW w:type="dxa" w:w="1411"/>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11.7%</w:t>
            </w:r>
          </w:p>
        </w:tc>
        <w:tc>
          <w:tcPr>
            <w:tcW w:type="dxa" w:w="1411"/>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11.6%</w:t>
            </w:r>
          </w:p>
        </w:tc>
      </w:tr>
      <w:tr>
        <w:tc>
          <w:tcPr>
            <w:tcW w:type="dxa" w:w="309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UFCF</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174</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185</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196</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204</w:t>
            </w:r>
          </w:p>
        </w:tc>
        <w:tc>
          <w:tcPr>
            <w:tcW w:type="dxa" w:w="141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210</w:t>
            </w:r>
          </w:p>
        </w:tc>
      </w:tr>
    </w:tbl>
    <w:p>
      <w:pPr>
        <w:spacing w:after="0"/>
      </w:pPr>
    </w:p>
    <w:p>
      <w:pPr>
        <w:spacing w:before="0" w:after="20" w:line="250" w:lineRule="auto"/>
      </w:pPr>
      <w:r>
        <w:rPr>
          <w:rFonts w:ascii="Aptos" w:hAnsi="Aptos"/>
          <w:b w:val="0"/>
          <w:i w:val="0"/>
          <w:color w:val="232323"/>
          <w:sz w:val="19"/>
        </w:rPr>
        <w:t>UFCF equals EBIT after a 26.5% cash tax rate, plus D&amp;A at 5.0% of revenue, less CapEx at 4.5% of revenue and a working-capital investment equal to 1.0% of revenue growth. The FY27 to FY29 UFCF total of approximately £555m provides a directional check against management's target of more than £550m of reported free cash flow, although the two measures are not identical.</w:t>
      </w:r>
    </w:p>
    <w:p>
      <w:r>
        <w:br w:type="page"/>
      </w:r>
    </w:p>
    <w:p>
      <w:pPr>
        <w:pStyle w:val="Heading1"/>
        <w:keepNext/>
        <w:spacing w:before="140" w:after="60"/>
      </w:pPr>
      <w:r>
        <w:rPr>
          <w:rFonts w:ascii="Aptos" w:hAnsi="Aptos"/>
          <w:b/>
          <w:i w:val="0"/>
          <w:color w:val="000000"/>
          <w:sz w:val="26"/>
        </w:rPr>
        <w:t>DCF mechanics and sensitivity</w:t>
      </w:r>
    </w:p>
    <w:p>
      <w:pPr>
        <w:spacing w:before="0" w:after="80" w:line="250" w:lineRule="auto"/>
      </w:pPr>
      <w:r>
        <w:rPr>
          <w:rFonts w:ascii="Aptos" w:hAnsi="Aptos"/>
          <w:b w:val="0"/>
          <w:i w:val="0"/>
          <w:color w:val="232323"/>
          <w:sz w:val="19"/>
        </w:rPr>
        <w:t>The DCF discounts FY27 to FY31 UFCF at an 8.6% WACC using mid-year convention and values cash flows beyond FY31 with a 2.0% perpetual growth rate. The present value of explicit UFCF is £787.8m and the present value of terminal value is £2,247.5m, producing enterprise value of £3,035.3m. After deducting £159.1m of net debt and dividing by 522.1m shares, the implied value is £5.51 per share.</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223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i w:val="0"/>
                <w:color w:val="FFFFFF"/>
                <w:sz w:val="16"/>
              </w:rPr>
              <w:t>WACC / growth</w:t>
            </w:r>
          </w:p>
        </w:tc>
        <w:tc>
          <w:tcPr>
            <w:tcW w:type="dxa" w:w="1555"/>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1.0%</w:t>
            </w:r>
          </w:p>
        </w:tc>
        <w:tc>
          <w:tcPr>
            <w:tcW w:type="dxa" w:w="1555"/>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1.5%</w:t>
            </w:r>
          </w:p>
        </w:tc>
        <w:tc>
          <w:tcPr>
            <w:tcW w:type="dxa" w:w="1555"/>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2.0%</w:t>
            </w:r>
          </w:p>
        </w:tc>
        <w:tc>
          <w:tcPr>
            <w:tcW w:type="dxa" w:w="1555"/>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2.5%</w:t>
            </w:r>
          </w:p>
        </w:tc>
        <w:tc>
          <w:tcPr>
            <w:tcW w:type="dxa" w:w="1555"/>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3.0%</w:t>
            </w:r>
          </w:p>
        </w:tc>
      </w:tr>
      <w:tr>
        <w:tc>
          <w:tcPr>
            <w:tcW w:type="dxa" w:w="223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7.6%</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£5.68</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£6.07</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£6.53</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£7.08</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£7.75</w:t>
            </w:r>
          </w:p>
        </w:tc>
      </w:tr>
      <w:tr>
        <w:tc>
          <w:tcPr>
            <w:tcW w:type="dxa" w:w="2232"/>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8.1%</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£5.27</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£5.59</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£5.98</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£6.43</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£6.97</w:t>
            </w:r>
          </w:p>
        </w:tc>
      </w:tr>
      <w:tr>
        <w:tc>
          <w:tcPr>
            <w:tcW w:type="dxa" w:w="223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8.6%</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£4.91</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£5.19</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£5.51</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£5.89</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£6.33</w:t>
            </w:r>
          </w:p>
        </w:tc>
      </w:tr>
      <w:tr>
        <w:tc>
          <w:tcPr>
            <w:tcW w:type="dxa" w:w="2232"/>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9.1%</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£4.59</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£4.83</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£5.11</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£5.42</w:t>
            </w:r>
          </w:p>
        </w:tc>
        <w:tc>
          <w:tcPr>
            <w:tcW w:type="dxa" w:w="1555"/>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£5.80</w:t>
            </w:r>
          </w:p>
        </w:tc>
      </w:tr>
      <w:tr>
        <w:tc>
          <w:tcPr>
            <w:tcW w:type="dxa" w:w="223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9.6%</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£4.31</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£4.52</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£4.76</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£5.03</w:t>
            </w:r>
          </w:p>
        </w:tc>
        <w:tc>
          <w:tcPr>
            <w:tcW w:type="dxa" w:w="1555"/>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£5.34</w:t>
            </w:r>
          </w:p>
        </w:tc>
      </w:tr>
    </w:tbl>
    <w:p>
      <w:pPr>
        <w:spacing w:after="0"/>
      </w:pPr>
    </w:p>
    <w:p>
      <w:pPr>
        <w:pStyle w:val="Heading1"/>
        <w:keepNext/>
        <w:spacing w:before="140" w:after="60"/>
      </w:pPr>
      <w:r>
        <w:rPr>
          <w:rFonts w:ascii="Aptos" w:hAnsi="Aptos"/>
          <w:b/>
          <w:i w:val="0"/>
          <w:color w:val="000000"/>
          <w:sz w:val="26"/>
        </w:rPr>
        <w:t>Strategic alternatives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24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i w:val="0"/>
                <w:color w:val="FFFFFF"/>
                <w:sz w:val="16"/>
              </w:rPr>
              <w:t>Alternative</w:t>
            </w:r>
          </w:p>
        </w:tc>
        <w:tc>
          <w:tcPr>
            <w:tcW w:type="dxa" w:w="1800"/>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Value per share</w:t>
            </w:r>
          </w:p>
        </w:tc>
        <w:tc>
          <w:tcPr>
            <w:tcW w:type="dxa" w:w="5112"/>
            <w:vAlign w:val="center"/>
            <w:shd w:fill="17365D"/>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i w:val="0"/>
                <w:color w:val="FFFFFF"/>
                <w:sz w:val="16"/>
              </w:rPr>
              <w:t>Interpretation</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Retain with limited improvement</w:t>
            </w:r>
          </w:p>
        </w:tc>
        <w:tc>
          <w:tcPr>
            <w:tcW w:type="dxa" w:w="18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£5.51</w:t>
            </w:r>
          </w:p>
        </w:tc>
        <w:tc>
          <w:tcPr>
            <w:tcW w:type="dxa" w:w="51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Base case and decision benchmark</w:t>
            </w:r>
          </w:p>
        </w:tc>
      </w:tr>
      <w:tr>
        <w:tc>
          <w:tcPr>
            <w:tcW w:type="dxa" w:w="3240"/>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Retain and restructure</w:t>
            </w:r>
          </w:p>
        </w:tc>
        <w:tc>
          <w:tcPr>
            <w:tcW w:type="dxa" w:w="1800"/>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£5.52</w:t>
            </w:r>
          </w:p>
        </w:tc>
        <w:tc>
          <w:tcPr>
            <w:tcW w:type="dxa" w:w="5112"/>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Only £0.01 above base after costs</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Sell US at 1.00x revenue</w:t>
            </w:r>
          </w:p>
        </w:tc>
        <w:tc>
          <w:tcPr>
            <w:tcW w:type="dxa" w:w="18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£5.44</w:t>
            </w:r>
          </w:p>
        </w:tc>
        <w:tc>
          <w:tcPr>
            <w:tcW w:type="dxa" w:w="51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Destroys £0.07 versus base</w:t>
            </w:r>
          </w:p>
        </w:tc>
      </w:tr>
      <w:tr>
        <w:tc>
          <w:tcPr>
            <w:tcW w:type="dxa" w:w="3240"/>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Sell US at 1.50x revenue</w:t>
            </w:r>
          </w:p>
        </w:tc>
        <w:tc>
          <w:tcPr>
            <w:tcW w:type="dxa" w:w="1800"/>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£5.69</w:t>
            </w:r>
          </w:p>
        </w:tc>
        <w:tc>
          <w:tcPr>
            <w:tcW w:type="dxa" w:w="5112"/>
            <w:vAlign w:val="center"/>
            <w:shd w:fill="F5F7FA"/>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Creates £0.18 and a useful risk buffer</w:t>
            </w:r>
          </w:p>
        </w:tc>
      </w:tr>
      <w:tr>
        <w:tc>
          <w:tcPr>
            <w:tcW w:type="dxa" w:w="32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left"/>
            </w:pPr>
            <w:r>
              <w:rPr>
                <w:rFonts w:ascii="Aptos" w:hAnsi="Aptos"/>
                <w:b w:val="0"/>
                <w:i w:val="0"/>
                <w:color w:val="232323"/>
                <w:sz w:val="16"/>
              </w:rPr>
              <w:t>Sell US at 1.81x revenue</w:t>
            </w:r>
          </w:p>
        </w:tc>
        <w:tc>
          <w:tcPr>
            <w:tcW w:type="dxa" w:w="18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£5.85</w:t>
            </w:r>
          </w:p>
        </w:tc>
        <w:tc>
          <w:tcPr>
            <w:tcW w:type="dxa" w:w="51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70" w:type="dxa"/>
              <w:start w:w="90" w:type="dxa"/>
              <w:bottom w:w="70" w:type="dxa"/>
              <w:end w:w="90" w:type="dxa"/>
            </w:tcMar>
          </w:tcPr>
          <w:p>
            <w:pPr>
              <w:spacing w:after="0"/>
              <w:jc w:val="center"/>
            </w:pPr>
            <w:r>
              <w:rPr>
                <w:rFonts w:ascii="Aptos" w:hAnsi="Aptos"/>
                <w:b w:val="0"/>
                <w:i w:val="0"/>
                <w:color w:val="232323"/>
                <w:sz w:val="16"/>
              </w:rPr>
              <w:t>Precedent-median upside reference</w:t>
            </w:r>
          </w:p>
        </w:tc>
      </w:tr>
    </w:tbl>
    <w:p>
      <w:pPr>
        <w:spacing w:after="0"/>
      </w:pPr>
    </w:p>
    <w:p>
      <w:pPr>
        <w:spacing w:before="0" w:after="60" w:line="250" w:lineRule="auto"/>
      </w:pPr>
      <w:r>
        <w:rPr>
          <w:rFonts w:ascii="Aptos" w:hAnsi="Aptos"/>
          <w:b w:val="0"/>
          <w:i w:val="0"/>
          <w:color w:val="232323"/>
          <w:sz w:val="19"/>
        </w:rPr>
        <w:t>Restructuring is nearly value neutral because £25m of gross implementation costs and near-term revenue disruption offset the later margin benefit. Its strategic value lies in improving contract quality and preserving negotiating leverage. A US sale should be evaluated as a sum-of-parts transaction: value the retained EMEA and Other Products cash flows, add net sale proceeds after a 10% leakage allowance, then deduct group net debt.</w:t>
      </w:r>
    </w:p>
    <w:p>
      <w:pPr>
        <w:pStyle w:val="Heading1"/>
        <w:keepNext/>
        <w:spacing w:before="140" w:after="60"/>
      </w:pPr>
      <w:r>
        <w:rPr>
          <w:rFonts w:ascii="Aptos" w:hAnsi="Aptos"/>
          <w:b/>
          <w:i w:val="0"/>
          <w:color w:val="000000"/>
          <w:sz w:val="26"/>
        </w:rPr>
        <w:t>Sale decision rule</w:t>
      </w:r>
    </w:p>
    <w:p>
      <w:pPr>
        <w:spacing w:before="0" w:after="40" w:line="250" w:lineRule="auto"/>
      </w:pPr>
      <w:r>
        <w:rPr>
          <w:rFonts w:ascii="Aptos" w:hAnsi="Aptos"/>
          <w:b w:val="0"/>
          <w:i w:val="0"/>
          <w:color w:val="232323"/>
          <w:sz w:val="19"/>
        </w:rPr>
        <w:t>Reject bids near 1.00x revenue. Treat approximately 1.13x as break-even rather than a target because it leaves no buffer for execution risk. Use approximately 1.25x as the minimum discussion level and prefer a price closer to 1.50x. Retain the operation if buyers will not compensate shareholders for the cash flows sold and the transaction deductions incurred.</w:t>
      </w:r>
    </w:p>
    <w:p>
      <w:pPr>
        <w:pStyle w:val="Heading1"/>
        <w:keepNext/>
        <w:spacing w:before="140" w:after="60"/>
      </w:pPr>
      <w:r>
        <w:rPr>
          <w:rFonts w:ascii="Aptos" w:hAnsi="Aptos"/>
          <w:b/>
          <w:i w:val="0"/>
          <w:color w:val="000000"/>
          <w:sz w:val="26"/>
        </w:rPr>
        <w:t>Principal risks</w:t>
      </w:r>
    </w:p>
    <w:p>
      <w:pPr>
        <w:spacing w:before="0" w:after="40" w:line="250" w:lineRule="auto"/>
      </w:pPr>
      <w:r>
        <w:rPr>
          <w:rFonts w:ascii="Aptos" w:hAnsi="Aptos"/>
          <w:b w:val="0"/>
          <w:i w:val="0"/>
          <w:color w:val="232323"/>
          <w:sz w:val="19"/>
        </w:rPr>
        <w:t>Terminal value contributes approximately 74% of base enterprise value, making WACC and perpetual growth the main valuation sensitivities. Global Solutions also has volatile margins and weaker revenue visibility than EMEA. Transaction deductions could exceed the assumed 10%, while peer definitions and precedent premiums limit comparability. Market prices and WACC inputs require refresh before use.</w:t>
      </w:r>
    </w:p>
    <w:p>
      <w:pPr>
        <w:pStyle w:val="Heading1"/>
        <w:keepNext/>
        <w:spacing w:before="140" w:after="60"/>
      </w:pPr>
      <w:r>
        <w:rPr>
          <w:rFonts w:ascii="Aptos" w:hAnsi="Aptos"/>
          <w:b/>
          <w:i w:val="0"/>
          <w:color w:val="000000"/>
          <w:sz w:val="26"/>
        </w:rPr>
        <w:t>Interview summary</w:t>
      </w:r>
    </w:p>
    <w:p>
      <w:pPr>
        <w:spacing w:before="0" w:after="40" w:line="250" w:lineRule="auto"/>
      </w:pPr>
      <w:r>
        <w:rPr>
          <w:rFonts w:ascii="Aptos" w:hAnsi="Aptos"/>
          <w:b w:val="0"/>
          <w:i w:val="0"/>
          <w:color w:val="232323"/>
          <w:sz w:val="19"/>
        </w:rPr>
        <w:t>I triangulated QinetiQ's valuation using DCF, trading comparables and transaction evidence. The EBIT trading multiple implied £5.29 per share, while the base and restructuring DCFs implied £5.51 and £5.52, supporting a £5.29 to £5.52 core range and a £5.40 central value. For the US operation, 1.00x revenue produced £5.44 per share and the break-even multiple was about 1.13x. I would improve the business while running a sale process, but would only recommend a transaction at least around 1.25x revenue and preferably closer to 1.50x.</w:t>
      </w:r>
    </w:p>
    <w:sectPr w:rsidR="00FC693F" w:rsidRPr="0006063C" w:rsidSect="00034616">
      <w:footerReference w:type="default" r:id="rId9"/>
      <w:pgSz w:w="12240" w:h="15840"/>
      <w:pgMar w:top="835"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i w:val="0"/>
        <w:color w:val="5F6368"/>
        <w:sz w:val="15"/>
      </w:rPr>
      <w:t>Sources: project workbook and source log | 16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QinetiQ Valuation and US Strategic Review</dc:title>
  <dc:subject>Investment banking valuation memo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