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第4章 项目整合管理</w:t>
      </w:r>
    </w:p>
    <w:p>
      <w:pPr>
        <w:pStyle w:val="3"/>
      </w:pPr>
      <w:r>
        <w:tab/>
      </w:r>
      <w:r>
        <w:t xml:space="preserve">4.1 </w:t>
      </w:r>
      <w:r>
        <w:rPr>
          <w:rFonts w:hint="eastAsia"/>
        </w:rPr>
        <w:t>制定项目章程</w:t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启动过程组</w:t>
      </w:r>
      <w:r>
        <w:rPr>
          <w:rFonts w:hint="eastAsia"/>
        </w:rPr>
        <w:t>】</w:t>
      </w:r>
    </w:p>
    <w:p>
      <w:pPr>
        <w:pStyle w:val="3"/>
      </w:pPr>
      <w:r>
        <w:tab/>
      </w:r>
      <w:r>
        <w:t xml:space="preserve">4.2 </w:t>
      </w:r>
      <w:r>
        <w:rPr>
          <w:rFonts w:hint="eastAsia"/>
        </w:rPr>
        <w:t>制定项目管理计划</w:t>
      </w:r>
      <w:r>
        <w:tab/>
      </w:r>
      <w:r>
        <w:rPr>
          <w:rFonts w:hint="eastAsia"/>
        </w:rPr>
        <w:t>【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规划过程组</w:t>
      </w:r>
      <w:r>
        <w:rPr>
          <w:rFonts w:hint="eastAsia"/>
        </w:rPr>
        <w:t>】</w:t>
      </w:r>
    </w:p>
    <w:p>
      <w:r>
        <w:tab/>
      </w:r>
    </w:p>
    <w:tbl>
      <w:tblPr>
        <w:tblStyle w:val="5"/>
        <w:tblW w:w="0" w:type="auto"/>
        <w:tblInd w:w="15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367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FC000" w:themeFill="accent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shd w:val="clear" w:color="auto" w:fill="FFC000" w:themeFill="accent4"/>
          </w:tcPr>
          <w:p>
            <w:pPr>
              <w:jc w:val="center"/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766" w:type="dxa"/>
            <w:shd w:val="clear" w:color="auto" w:fill="FFC000" w:themeFill="accent4"/>
          </w:tcPr>
          <w:p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项目章程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其他过程输出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事业环境因素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765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专家判断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数据收集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头脑风暴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核对单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焦点小组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访谈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人际关系与团队技能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冲突管理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引导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会议管理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会议</w:t>
            </w:r>
          </w:p>
        </w:tc>
        <w:tc>
          <w:tcPr>
            <w:tcW w:w="2766" w:type="dxa"/>
          </w:tcPr>
          <w:p>
            <w:pPr>
              <w:pStyle w:val="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项目管理计划</w:t>
            </w:r>
          </w:p>
        </w:tc>
      </w:tr>
    </w:tbl>
    <w:p/>
    <w:p/>
    <w:p/>
    <w:p>
      <w:pPr>
        <w:rPr>
          <w:sz w:val="36"/>
          <w:szCs w:val="36"/>
        </w:rPr>
      </w:pPr>
      <w:r>
        <w:tab/>
      </w:r>
      <w:r>
        <w:tab/>
      </w:r>
      <w:r>
        <w:rPr>
          <w:rFonts w:hint="eastAsia"/>
          <w:sz w:val="36"/>
          <w:szCs w:val="36"/>
        </w:rPr>
        <w:t>会议</w:t>
      </w:r>
    </w:p>
    <w:p>
      <w:r>
        <w:tab/>
      </w:r>
      <w:r>
        <w:tab/>
      </w:r>
      <w:r>
        <w:tab/>
      </w:r>
      <w:r>
        <w:rPr>
          <w:rFonts w:hint="eastAsia"/>
        </w:rPr>
        <w:t>项目开工会议(</w:t>
      </w:r>
      <w:r>
        <w:t>Kick-off meeting)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项目启动会&amp;项目开工会</w:t>
      </w:r>
    </w:p>
    <w:p>
      <w:r>
        <w:tab/>
      </w:r>
      <w:r>
        <w:tab/>
      </w:r>
      <w:r>
        <w:tab/>
      </w:r>
    </w:p>
    <w:tbl>
      <w:tblPr>
        <w:tblStyle w:val="5"/>
        <w:tblW w:w="0" w:type="auto"/>
        <w:tblInd w:w="1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D7D31" w:themeFill="accent2"/>
          </w:tcPr>
          <w:p>
            <w:pPr>
              <w:jc w:val="center"/>
            </w:pPr>
            <w:r>
              <w:rPr>
                <w:rFonts w:hint="eastAsia"/>
              </w:rPr>
              <w:t>项目启动会</w:t>
            </w:r>
          </w:p>
        </w:tc>
        <w:tc>
          <w:tcPr>
            <w:tcW w:w="4148" w:type="dxa"/>
            <w:shd w:val="clear" w:color="auto" w:fill="ED7D31" w:themeFill="accent2"/>
          </w:tcPr>
          <w:p>
            <w:pPr>
              <w:jc w:val="center"/>
            </w:pPr>
            <w:r>
              <w:rPr>
                <w:rFonts w:hint="eastAsia"/>
              </w:rPr>
              <w:t>项目开工会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In</w:t>
            </w:r>
            <w:r>
              <w:t>itiating Meeting</w:t>
            </w:r>
          </w:p>
          <w:p>
            <w:r>
              <w:rPr>
                <w:rFonts w:hint="eastAsia"/>
              </w:rPr>
              <w:t>启动阶段结束时召开</w:t>
            </w:r>
          </w:p>
          <w:p>
            <w:r>
              <w:rPr>
                <w:rFonts w:hint="eastAsia"/>
              </w:rPr>
              <w:t>内容:</w:t>
            </w:r>
            <w:r>
              <w:t xml:space="preserve"> </w:t>
            </w:r>
          </w:p>
          <w:p>
            <w:pPr>
              <w:pStyle w:val="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  <w:highlight w:val="yellow"/>
              </w:rPr>
              <w:t>项目章程</w:t>
            </w:r>
          </w:p>
          <w:p>
            <w:pPr>
              <w:pStyle w:val="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任命</w:t>
            </w:r>
            <w:r>
              <w:rPr>
                <w:rFonts w:hint="eastAsia"/>
                <w:highlight w:val="yellow"/>
              </w:rPr>
              <w:t>项目经理</w:t>
            </w:r>
          </w:p>
          <w:p>
            <w:pPr>
              <w:pStyle w:val="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赋予P</w:t>
            </w:r>
            <w:r>
              <w:t>M</w:t>
            </w:r>
            <w:r>
              <w:rPr>
                <w:rFonts w:hint="eastAsia"/>
                <w:highlight w:val="yellow"/>
              </w:rPr>
              <w:t>动用组织资源的权力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K</w:t>
            </w:r>
            <w:r>
              <w:t>ick-off Meeting</w:t>
            </w:r>
          </w:p>
          <w:p>
            <w:r>
              <w:rPr>
                <w:rFonts w:hint="eastAsia"/>
              </w:rPr>
              <w:t>计划完成后、实施之前召开</w:t>
            </w:r>
          </w:p>
          <w:p>
            <w:r>
              <w:rPr>
                <w:rFonts w:hint="eastAsia"/>
              </w:rPr>
              <w:t>内容: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</w:tr>
    </w:tbl>
    <w:p>
      <w:r>
        <w:t xml:space="preserve"> </w:t>
      </w:r>
    </w:p>
    <w:p>
      <w:r>
        <w:tab/>
      </w:r>
      <w:r>
        <w:tab/>
      </w:r>
      <w:r>
        <w:rPr>
          <w:rFonts w:hint="eastAsia"/>
          <w:sz w:val="36"/>
          <w:szCs w:val="36"/>
        </w:rPr>
        <w:t>项目管理计划 【</w:t>
      </w:r>
      <w:r>
        <w:rPr>
          <w:rFonts w:hint="eastAsia"/>
          <w:color w:val="4472C4" w:themeColor="accent5"/>
          <w:sz w:val="36"/>
          <w:szCs w:val="36"/>
          <w14:textFill>
            <w14:solidFill>
              <w14:schemeClr w14:val="accent5"/>
            </w14:solidFill>
          </w14:textFill>
        </w:rPr>
        <w:t>*****</w:t>
      </w:r>
      <w:r>
        <w:rPr>
          <w:rFonts w:hint="eastAsia"/>
          <w:sz w:val="36"/>
          <w:szCs w:val="36"/>
        </w:rPr>
        <w:t>】</w:t>
      </w:r>
    </w:p>
    <w:p>
      <w:r>
        <w:tab/>
      </w:r>
      <w:r>
        <w:tab/>
      </w:r>
      <w:r>
        <w:tab/>
      </w:r>
      <w:r>
        <w:rPr>
          <w:rFonts w:hint="eastAsia"/>
        </w:rPr>
        <w:t>项目基准(</w:t>
      </w:r>
      <w:r>
        <w:t>3</w:t>
      </w:r>
      <w:r>
        <w:rPr>
          <w:rFonts w:hint="eastAsia"/>
        </w:rPr>
        <w:t>个</w:t>
      </w:r>
      <w:r>
        <w:t>)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范围基准、进度基准、成本基准</w:t>
      </w:r>
    </w:p>
    <w:p>
      <w:r>
        <w:tab/>
      </w:r>
      <w:r>
        <w:tab/>
      </w:r>
      <w:r>
        <w:tab/>
      </w:r>
      <w:r>
        <w:rPr>
          <w:rFonts w:hint="eastAsia"/>
        </w:rPr>
        <w:t>子计划（1</w:t>
      </w:r>
      <w:r>
        <w:t>0</w:t>
      </w:r>
      <w:r>
        <w:rPr>
          <w:rFonts w:hint="eastAsia"/>
        </w:rPr>
        <w:t>个）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范围管理计划；</w:t>
      </w:r>
      <w:r>
        <w:tab/>
      </w:r>
      <w:r>
        <w:rPr>
          <w:rFonts w:hint="eastAsia"/>
        </w:rPr>
        <w:t>需求管理计划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进度管理计划;</w:t>
      </w:r>
      <w:r>
        <w:tab/>
      </w:r>
      <w:r>
        <w:rPr>
          <w:rFonts w:hint="eastAsia"/>
        </w:rPr>
        <w:t>成本管理计划;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质量管理计划;</w:t>
      </w:r>
      <w:r>
        <w:tab/>
      </w:r>
      <w:r>
        <w:rPr>
          <w:rFonts w:hint="eastAsia"/>
        </w:rPr>
        <w:t>资源管理计划;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沟通管理计划;</w:t>
      </w:r>
      <w:r>
        <w:tab/>
      </w:r>
      <w:r>
        <w:rPr>
          <w:rFonts w:hint="eastAsia"/>
        </w:rPr>
        <w:t>风险管理计划;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采购管理计划;</w:t>
      </w:r>
      <w:r>
        <w:tab/>
      </w:r>
      <w:r>
        <w:rPr>
          <w:rFonts w:hint="eastAsia"/>
        </w:rPr>
        <w:t>相关方管理计划;</w:t>
      </w:r>
    </w:p>
    <w:p>
      <w:r>
        <w:tab/>
      </w:r>
      <w:r>
        <w:tab/>
      </w:r>
      <w:r>
        <w:tab/>
      </w:r>
      <w:r>
        <w:rPr>
          <w:rFonts w:hint="eastAsia"/>
        </w:rPr>
        <w:t>其他组件: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变更管理计划;</w:t>
      </w:r>
      <w:r>
        <w:tab/>
      </w:r>
      <w:r>
        <w:rPr>
          <w:rFonts w:hint="eastAsia"/>
        </w:rPr>
        <w:t>配置管理计划;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个</w:t>
      </w:r>
      <w:r>
        <w:t>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项目生命周期，开发方法， 管理审查办法等</w:t>
      </w:r>
    </w:p>
    <w:p>
      <w:pPr>
        <w:pStyle w:val="3"/>
      </w:pPr>
      <w:r>
        <w:tab/>
      </w:r>
      <w:r>
        <w:t xml:space="preserve">4.3 </w:t>
      </w:r>
      <w:r>
        <w:rPr>
          <w:rFonts w:hint="eastAsia"/>
        </w:rPr>
        <w:t>指导与管理项目工作</w:t>
      </w:r>
    </w:p>
    <w:p>
      <w:pPr>
        <w:pStyle w:val="3"/>
      </w:pPr>
      <w:r>
        <w:tab/>
      </w:r>
      <w:r>
        <w:t xml:space="preserve">4.4 </w:t>
      </w:r>
      <w:r>
        <w:rPr>
          <w:rFonts w:hint="eastAsia"/>
        </w:rPr>
        <w:t>管理项目知识</w:t>
      </w:r>
    </w:p>
    <w:tbl>
      <w:tblPr>
        <w:tblStyle w:val="5"/>
        <w:tblpPr w:leftFromText="180" w:rightFromText="180" w:vertAnchor="text" w:horzAnchor="margin" w:tblpY="10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FC000" w:themeFill="accent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shd w:val="clear" w:color="auto" w:fill="FFC000" w:themeFill="accent4"/>
          </w:tcPr>
          <w:p>
            <w:pPr>
              <w:jc w:val="center"/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766" w:type="dxa"/>
            <w:shd w:val="clear" w:color="auto" w:fill="FFC000" w:themeFill="accent4"/>
          </w:tcPr>
          <w:p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项目管理计划;</w:t>
            </w:r>
          </w:p>
          <w:p>
            <w:pPr>
              <w:pStyle w:val="9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1</w:t>
            </w:r>
            <w:r>
              <w:rPr>
                <w:rFonts w:hint="eastAsia"/>
              </w:rPr>
              <w:t>）所有组件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项目文件</w:t>
            </w:r>
          </w:p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经验教训登记册</w:t>
            </w:r>
          </w:p>
          <w:p>
            <w:pPr>
              <w:pStyle w:val="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项目团队派工单</w:t>
            </w:r>
          </w:p>
          <w:p>
            <w:pPr>
              <w:pStyle w:val="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资源分解结构</w:t>
            </w:r>
          </w:p>
          <w:p>
            <w:pPr>
              <w:pStyle w:val="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供方选择</w:t>
            </w:r>
          </w:p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相关方登记册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可交付成果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事业环境因素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765" w:type="dxa"/>
          </w:tcPr>
          <w:p>
            <w:pPr>
              <w:pStyle w:val="9"/>
              <w:numPr>
                <w:ilvl w:val="0"/>
                <w:numId w:val="9"/>
              </w:numPr>
              <w:ind w:firstLineChars="0"/>
              <w:rPr>
                <w:rFonts w:ascii="PMingLiU-ExtB" w:hAnsi="PMingLiU-ExtB" w:eastAsia="PMingLiU-ExtB"/>
              </w:rPr>
            </w:pPr>
            <w:r>
              <w:rPr>
                <w:rFonts w:hint="eastAsia" w:ascii="宋体" w:hAnsi="宋体" w:eastAsia="宋体" w:cs="宋体"/>
              </w:rPr>
              <w:t>专家判断</w:t>
            </w:r>
          </w:p>
          <w:p>
            <w:pPr>
              <w:pStyle w:val="9"/>
              <w:numPr>
                <w:ilvl w:val="0"/>
                <w:numId w:val="9"/>
              </w:numPr>
              <w:ind w:firstLineChars="0"/>
              <w:rPr>
                <w:rFonts w:ascii="PMingLiU-ExtB" w:hAnsi="PMingLiU-ExtB" w:eastAsia="PMingLiU-ExtB"/>
                <w:color w:val="4472C4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4472C4" w:themeColor="accent5"/>
                <w14:textFill>
                  <w14:solidFill>
                    <w14:schemeClr w14:val="accent5"/>
                  </w14:solidFill>
                </w14:textFill>
              </w:rPr>
              <w:t>知识管理</w:t>
            </w:r>
          </w:p>
          <w:p>
            <w:pPr>
              <w:pStyle w:val="9"/>
              <w:numPr>
                <w:ilvl w:val="0"/>
                <w:numId w:val="9"/>
              </w:numPr>
              <w:ind w:firstLineChars="0"/>
              <w:rPr>
                <w:rFonts w:ascii="PMingLiU-ExtB" w:hAnsi="PMingLiU-ExtB" w:eastAsia="PMingLiU-ExtB"/>
                <w:color w:val="4472C4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4472C4" w:themeColor="accent5"/>
                <w14:textFill>
                  <w14:solidFill>
                    <w14:schemeClr w14:val="accent5"/>
                  </w14:solidFill>
                </w14:textFill>
              </w:rPr>
              <w:t>信息管理</w:t>
            </w:r>
          </w:p>
          <w:p>
            <w:pPr>
              <w:pStyle w:val="9"/>
              <w:numPr>
                <w:ilvl w:val="0"/>
                <w:numId w:val="9"/>
              </w:numPr>
              <w:ind w:firstLineChars="0"/>
              <w:rPr>
                <w:rFonts w:ascii="PMingLiU-ExtB" w:hAnsi="PMingLiU-ExtB" w:eastAsia="PMingLiU-ExtB"/>
              </w:rPr>
            </w:pPr>
            <w:r>
              <w:rPr>
                <w:rFonts w:hint="eastAsia" w:ascii="宋体" w:hAnsi="宋体" w:eastAsia="宋体" w:cs="宋体"/>
              </w:rPr>
              <w:t>人际关系与团队技能</w:t>
            </w:r>
          </w:p>
          <w:p>
            <w:pPr>
              <w:pStyle w:val="9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hint="eastAsia" w:ascii="PMingLiU-ExtB" w:hAnsi="PMingLiU-ExtB"/>
              </w:rPr>
              <w:t>积极倾听</w:t>
            </w:r>
          </w:p>
          <w:p>
            <w:pPr>
              <w:pStyle w:val="9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hint="eastAsia" w:ascii="PMingLiU-ExtB" w:hAnsi="PMingLiU-ExtB"/>
              </w:rPr>
              <w:t>引导</w:t>
            </w:r>
          </w:p>
          <w:p>
            <w:pPr>
              <w:pStyle w:val="9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hint="eastAsia" w:ascii="PMingLiU-ExtB" w:hAnsi="PMingLiU-ExtB"/>
              </w:rPr>
              <w:t>领导力</w:t>
            </w:r>
          </w:p>
          <w:p>
            <w:pPr>
              <w:pStyle w:val="9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hint="eastAsia" w:ascii="PMingLiU-ExtB" w:hAnsi="PMingLiU-ExtB"/>
              </w:rPr>
              <w:t>人际交往</w:t>
            </w:r>
          </w:p>
          <w:p>
            <w:pPr>
              <w:pStyle w:val="9"/>
              <w:numPr>
                <w:ilvl w:val="0"/>
                <w:numId w:val="10"/>
              </w:numPr>
              <w:ind w:firstLineChars="0"/>
              <w:rPr>
                <w:rFonts w:hint="eastAsia" w:ascii="PMingLiU-ExtB" w:hAnsi="PMingLiU-ExtB"/>
              </w:rPr>
            </w:pPr>
            <w:r>
              <w:rPr>
                <w:rFonts w:hint="eastAsia" w:ascii="PMingLiU-ExtB" w:hAnsi="PMingLiU-ExtB"/>
              </w:rPr>
              <w:t>政治意识</w:t>
            </w:r>
          </w:p>
        </w:tc>
        <w:tc>
          <w:tcPr>
            <w:tcW w:w="2766" w:type="dxa"/>
          </w:tcPr>
          <w:p>
            <w:pPr>
              <w:pStyle w:val="9"/>
              <w:numPr>
                <w:ilvl w:val="0"/>
                <w:numId w:val="9"/>
              </w:numPr>
              <w:ind w:firstLineChars="0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经验教训登记册</w:t>
            </w:r>
          </w:p>
          <w:p>
            <w:pPr>
              <w:pStyle w:val="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项目管理计划更新</w:t>
            </w:r>
          </w:p>
          <w:p>
            <w:pPr>
              <w:pStyle w:val="9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）任何组件</w:t>
            </w:r>
          </w:p>
          <w:p>
            <w:pPr>
              <w:pStyle w:val="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组织过程资产更新</w:t>
            </w:r>
          </w:p>
        </w:tc>
      </w:tr>
    </w:tbl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ab/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pStyle w:val="3"/>
        <w:ind w:firstLine="420"/>
      </w:pPr>
      <w:r>
        <w:t xml:space="preserve">4.5 </w:t>
      </w:r>
      <w:r>
        <w:rPr>
          <w:rFonts w:hint="eastAsia"/>
        </w:rPr>
        <w:t>监控项目工作</w:t>
      </w:r>
    </w:p>
    <w:p>
      <w:pPr>
        <w:pStyle w:val="3"/>
      </w:pPr>
      <w:r>
        <w:tab/>
      </w:r>
      <w:r>
        <w:t xml:space="preserve">4.6 </w:t>
      </w:r>
      <w:r>
        <w:rPr>
          <w:rFonts w:hint="eastAsia"/>
        </w:rPr>
        <w:t>实施整体变更控制</w:t>
      </w:r>
    </w:p>
    <w:p>
      <w:pPr>
        <w:pStyle w:val="3"/>
      </w:pPr>
      <w:r>
        <w:tab/>
      </w:r>
      <w:r>
        <w:t xml:space="preserve">4.7 </w:t>
      </w:r>
      <w:r>
        <w:rPr>
          <w:rFonts w:hint="eastAsia"/>
        </w:rPr>
        <w:t>结束项目或阶段</w:t>
      </w:r>
    </w:p>
    <w:p>
      <w:pPr>
        <w:pStyle w:val="2"/>
        <w:rPr>
          <w:rFonts w:hint="eastAsia"/>
        </w:rPr>
      </w:pPr>
      <w:r>
        <w:rPr>
          <w:rFonts w:hint="eastAsia"/>
        </w:rPr>
        <w:t>第5章 项目范围管理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课前讨论:</w:t>
      </w:r>
    </w:p>
    <w:p>
      <w:pPr>
        <w:numPr>
          <w:ilvl w:val="0"/>
          <w:numId w:val="11"/>
        </w:numPr>
        <w:ind w:leftChars="40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定义和商讨项目范围时, </w:t>
      </w:r>
    </w:p>
    <w:p>
      <w:pPr>
        <w:numPr>
          <w:ilvl w:val="0"/>
          <w:numId w:val="11"/>
        </w:numPr>
        <w:ind w:leftChars="40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项目范围的完成情况是根据项目管理计划来衡量的;</w:t>
      </w:r>
    </w:p>
    <w:p>
      <w:pPr>
        <w:numPr>
          <w:ilvl w:val="0"/>
          <w:numId w:val="11"/>
        </w:numPr>
        <w:ind w:leftChars="40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工作分解结构是对项目工作的分解;</w:t>
      </w:r>
    </w:p>
    <w:p>
      <w:pPr>
        <w:numPr>
          <w:ilvl w:val="0"/>
          <w:numId w:val="0"/>
        </w:numPr>
        <w:ind w:left="1050" w:leftChars="500"/>
        <w:rPr>
          <w:rFonts w:hint="eastAsia" w:cstheme="minorBidi"/>
          <w:b w:val="0"/>
          <w:bCs w:val="0"/>
          <w:color w:val="2E75B6" w:themeColor="accent1" w:themeShade="BF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2E75B6" w:themeColor="accent1" w:themeShade="BF"/>
          <w:kern w:val="2"/>
          <w:sz w:val="21"/>
          <w:szCs w:val="21"/>
          <w:lang w:val="en-US" w:eastAsia="zh-CN" w:bidi="ar-SA"/>
        </w:rPr>
        <w:t>工作分解结构式对可交付成果的分解;</w:t>
      </w:r>
    </w:p>
    <w:p>
      <w:pPr>
        <w:numPr>
          <w:ilvl w:val="0"/>
          <w:numId w:val="11"/>
        </w:numPr>
        <w:ind w:left="840" w:leftChars="400" w:firstLine="0" w:firstLineChars="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项目收尾的时候客户需要验收可交付成果;</w:t>
      </w:r>
    </w:p>
    <w:p>
      <w:pPr>
        <w:numPr>
          <w:ilvl w:val="0"/>
          <w:numId w:val="0"/>
        </w:numPr>
        <w:ind w:left="0" w:leftChars="500"/>
        <w:rPr>
          <w:rFonts w:hint="default" w:cstheme="minorBidi"/>
          <w:b w:val="0"/>
          <w:bCs w:val="0"/>
          <w:color w:val="2E75B6" w:themeColor="accent1" w:themeShade="BF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2E75B6" w:themeColor="accent1" w:themeShade="BF"/>
          <w:kern w:val="2"/>
          <w:sz w:val="21"/>
          <w:szCs w:val="21"/>
          <w:lang w:val="en-US" w:eastAsia="zh-CN" w:bidi="ar-SA"/>
        </w:rPr>
        <w:t>验收属于监控过程组的操作;</w:t>
      </w:r>
      <w:r>
        <w:rPr>
          <w:rFonts w:hint="eastAsia" w:cstheme="minorBidi"/>
          <w:b w:val="0"/>
          <w:bCs w:val="0"/>
          <w:color w:val="2E75B6" w:themeColor="accent1" w:themeShade="BF"/>
          <w:kern w:val="2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11"/>
        </w:numPr>
        <w:ind w:left="840" w:leftChars="400" w:firstLine="0" w:firstLineChars="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客户提出的需求需要立即执行;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重点知识: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裁剪时需要考虑的因素</w:t>
      </w:r>
    </w:p>
    <w:p>
      <w:pPr>
        <w:numPr>
          <w:numId w:val="0"/>
        </w:num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知识和需求管理</w:t>
      </w:r>
    </w:p>
    <w:p>
      <w:pPr>
        <w:numPr>
          <w:numId w:val="0"/>
        </w:num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需求的稳定性</w:t>
      </w:r>
    </w:p>
    <w:p>
      <w:pPr>
        <w:numPr>
          <w:numId w:val="0"/>
        </w:num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治理</w:t>
      </w:r>
    </w:p>
    <w:p>
      <w:pPr>
        <w:numPr>
          <w:numId w:val="0"/>
        </w:num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开发方法</w:t>
      </w:r>
    </w:p>
    <w:p>
      <w:pPr>
        <w:numPr>
          <w:numId w:val="0"/>
        </w:num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确认和控制</w:t>
      </w:r>
    </w:p>
    <w:p>
      <w:pPr>
        <w:numPr>
          <w:numId w:val="0"/>
        </w:numPr>
        <w:ind w:firstLine="42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在敏捷或适用型环境中需要考虑的因素</w:t>
      </w:r>
    </w:p>
    <w:p>
      <w:pPr>
        <w:numPr>
          <w:numId w:val="0"/>
        </w:numPr>
        <w:ind w:left="420" w:leftChars="0" w:firstLine="42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规划范围管理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C000" w:themeFill="accent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  <w:shd w:val="clear" w:color="auto" w:fill="FFC000" w:themeFill="accent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841" w:type="dxa"/>
            <w:shd w:val="clear" w:color="auto" w:fill="FFC000" w:themeFill="accent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项目章程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项目管理计划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事业环境因素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组织过程资产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专家判断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数据分析</w:t>
            </w:r>
          </w:p>
          <w:p>
            <w:pPr>
              <w:numPr>
                <w:ilvl w:val="0"/>
                <w:numId w:val="15"/>
              </w:numPr>
              <w:ind w:left="31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备选方案分析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范围管理计划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需求管理计划</w:t>
            </w:r>
            <w:bookmarkStart w:id="0" w:name="_GoBack"/>
            <w:bookmarkEnd w:id="0"/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定义活动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定义范围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创建WBS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确认范围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 控制范围</w:t>
      </w:r>
    </w:p>
    <w:p>
      <w:pPr>
        <w:pStyle w:val="2"/>
      </w:pPr>
      <w:r>
        <w:rPr>
          <w:rFonts w:hint="eastAsia"/>
        </w:rPr>
        <w:t>第6章 项目进度管理</w:t>
      </w:r>
    </w:p>
    <w:p>
      <w:pPr>
        <w:pStyle w:val="2"/>
      </w:pPr>
      <w:r>
        <w:rPr>
          <w:rFonts w:hint="eastAsia"/>
        </w:rPr>
        <w:t>第7章 项目成本管理</w:t>
      </w:r>
    </w:p>
    <w:p>
      <w:pPr>
        <w:pStyle w:val="2"/>
      </w:pPr>
      <w:r>
        <w:rPr>
          <w:rFonts w:hint="eastAsia"/>
        </w:rPr>
        <w:t>第8章 项目质量管理</w:t>
      </w:r>
    </w:p>
    <w:p>
      <w:pPr>
        <w:pStyle w:val="2"/>
      </w:pPr>
      <w:r>
        <w:rPr>
          <w:rFonts w:hint="eastAsia"/>
        </w:rPr>
        <w:t>第9章 项目资源管理</w:t>
      </w:r>
    </w:p>
    <w:p>
      <w:pPr>
        <w:pStyle w:val="2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章 项目沟通管理</w:t>
      </w:r>
    </w:p>
    <w:p>
      <w:pPr>
        <w:pStyle w:val="2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章 项目风险管理</w:t>
      </w:r>
    </w:p>
    <w:p>
      <w:pPr>
        <w:pStyle w:val="2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章 项目采购管理</w:t>
      </w:r>
    </w:p>
    <w:p>
      <w:pPr>
        <w:pStyle w:val="2"/>
      </w:pPr>
      <w:r>
        <w:rPr>
          <w:rFonts w:hint="eastAsia"/>
        </w:rPr>
        <w:t>第1</w:t>
      </w:r>
      <w:r>
        <w:t>3</w:t>
      </w:r>
      <w:r>
        <w:rPr>
          <w:rFonts w:hint="eastAsia"/>
        </w:rPr>
        <w:t>章 项目相关方管理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08C77"/>
    <w:multiLevelType w:val="singleLevel"/>
    <w:tmpl w:val="98F08C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2F1A3A"/>
    <w:multiLevelType w:val="singleLevel"/>
    <w:tmpl w:val="C02F1A3A"/>
    <w:lvl w:ilvl="0" w:tentative="0">
      <w:start w:val="1"/>
      <w:numFmt w:val="decimal"/>
      <w:suff w:val="space"/>
      <w:lvlText w:val="%1）"/>
      <w:lvlJc w:val="left"/>
      <w:pPr>
        <w:ind w:left="315" w:leftChars="0" w:firstLine="0" w:firstLineChars="0"/>
      </w:pPr>
    </w:lvl>
  </w:abstractNum>
  <w:abstractNum w:abstractNumId="2">
    <w:nsid w:val="FDDDA876"/>
    <w:multiLevelType w:val="singleLevel"/>
    <w:tmpl w:val="FDDDA87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5260DD9"/>
    <w:multiLevelType w:val="multilevel"/>
    <w:tmpl w:val="15260DD9"/>
    <w:lvl w:ilvl="0" w:tentative="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4">
    <w:nsid w:val="1C372B57"/>
    <w:multiLevelType w:val="multilevel"/>
    <w:tmpl w:val="1C372B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5A5909"/>
    <w:multiLevelType w:val="multilevel"/>
    <w:tmpl w:val="275A5909"/>
    <w:lvl w:ilvl="0" w:tentative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2E3E07B6"/>
    <w:multiLevelType w:val="singleLevel"/>
    <w:tmpl w:val="2E3E0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CF007B8"/>
    <w:multiLevelType w:val="multilevel"/>
    <w:tmpl w:val="3CF007B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5A0461E"/>
    <w:multiLevelType w:val="multilevel"/>
    <w:tmpl w:val="45A046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AB1908"/>
    <w:multiLevelType w:val="multilevel"/>
    <w:tmpl w:val="48AB19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5159BC"/>
    <w:multiLevelType w:val="multilevel"/>
    <w:tmpl w:val="4A5159BC"/>
    <w:lvl w:ilvl="0" w:tentative="0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5" w:hanging="420"/>
      </w:pPr>
    </w:lvl>
    <w:lvl w:ilvl="2" w:tentative="0">
      <w:start w:val="1"/>
      <w:numFmt w:val="lowerRoman"/>
      <w:lvlText w:val="%3."/>
      <w:lvlJc w:val="right"/>
      <w:pPr>
        <w:ind w:left="1935" w:hanging="420"/>
      </w:pPr>
    </w:lvl>
    <w:lvl w:ilvl="3" w:tentative="0">
      <w:start w:val="1"/>
      <w:numFmt w:val="decimal"/>
      <w:lvlText w:val="%4."/>
      <w:lvlJc w:val="left"/>
      <w:pPr>
        <w:ind w:left="2355" w:hanging="420"/>
      </w:pPr>
    </w:lvl>
    <w:lvl w:ilvl="4" w:tentative="0">
      <w:start w:val="1"/>
      <w:numFmt w:val="lowerLetter"/>
      <w:lvlText w:val="%5)"/>
      <w:lvlJc w:val="left"/>
      <w:pPr>
        <w:ind w:left="2775" w:hanging="420"/>
      </w:pPr>
    </w:lvl>
    <w:lvl w:ilvl="5" w:tentative="0">
      <w:start w:val="1"/>
      <w:numFmt w:val="lowerRoman"/>
      <w:lvlText w:val="%6."/>
      <w:lvlJc w:val="right"/>
      <w:pPr>
        <w:ind w:left="3195" w:hanging="420"/>
      </w:pPr>
    </w:lvl>
    <w:lvl w:ilvl="6" w:tentative="0">
      <w:start w:val="1"/>
      <w:numFmt w:val="decimal"/>
      <w:lvlText w:val="%7."/>
      <w:lvlJc w:val="left"/>
      <w:pPr>
        <w:ind w:left="3615" w:hanging="420"/>
      </w:pPr>
    </w:lvl>
    <w:lvl w:ilvl="7" w:tentative="0">
      <w:start w:val="1"/>
      <w:numFmt w:val="lowerLetter"/>
      <w:lvlText w:val="%8)"/>
      <w:lvlJc w:val="left"/>
      <w:pPr>
        <w:ind w:left="4035" w:hanging="420"/>
      </w:pPr>
    </w:lvl>
    <w:lvl w:ilvl="8" w:tentative="0">
      <w:start w:val="1"/>
      <w:numFmt w:val="lowerRoman"/>
      <w:lvlText w:val="%9."/>
      <w:lvlJc w:val="right"/>
      <w:pPr>
        <w:ind w:left="4455" w:hanging="420"/>
      </w:pPr>
    </w:lvl>
  </w:abstractNum>
  <w:abstractNum w:abstractNumId="11">
    <w:nsid w:val="4D8DFA5E"/>
    <w:multiLevelType w:val="singleLevel"/>
    <w:tmpl w:val="4D8DFA5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AB0E57"/>
    <w:multiLevelType w:val="multilevel"/>
    <w:tmpl w:val="57AB0E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DD964B"/>
    <w:multiLevelType w:val="singleLevel"/>
    <w:tmpl w:val="67DD964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6486DD1"/>
    <w:multiLevelType w:val="multilevel"/>
    <w:tmpl w:val="76486DD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D900C2"/>
    <w:multiLevelType w:val="multilevel"/>
    <w:tmpl w:val="77D900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10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13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A9"/>
    <w:rsid w:val="000710C7"/>
    <w:rsid w:val="00180F0D"/>
    <w:rsid w:val="001C6062"/>
    <w:rsid w:val="002A7939"/>
    <w:rsid w:val="002B358D"/>
    <w:rsid w:val="002C5B39"/>
    <w:rsid w:val="003420FC"/>
    <w:rsid w:val="003B1374"/>
    <w:rsid w:val="00506106"/>
    <w:rsid w:val="005152BD"/>
    <w:rsid w:val="00515F35"/>
    <w:rsid w:val="005563D6"/>
    <w:rsid w:val="0065428A"/>
    <w:rsid w:val="007762AB"/>
    <w:rsid w:val="008026AB"/>
    <w:rsid w:val="0081081F"/>
    <w:rsid w:val="008358EF"/>
    <w:rsid w:val="00844C8A"/>
    <w:rsid w:val="008607A9"/>
    <w:rsid w:val="008958A0"/>
    <w:rsid w:val="008C285E"/>
    <w:rsid w:val="008E7C68"/>
    <w:rsid w:val="00940694"/>
    <w:rsid w:val="009A7438"/>
    <w:rsid w:val="009E656C"/>
    <w:rsid w:val="00A20312"/>
    <w:rsid w:val="00AA61B3"/>
    <w:rsid w:val="00D7663B"/>
    <w:rsid w:val="00DD1D2A"/>
    <w:rsid w:val="00DD5D6C"/>
    <w:rsid w:val="00DE1853"/>
    <w:rsid w:val="00E420E0"/>
    <w:rsid w:val="00E65D21"/>
    <w:rsid w:val="00F13658"/>
    <w:rsid w:val="00F62E4D"/>
    <w:rsid w:val="00FA06A9"/>
    <w:rsid w:val="00FA56E8"/>
    <w:rsid w:val="00FE7C13"/>
    <w:rsid w:val="00FF537D"/>
    <w:rsid w:val="02762238"/>
    <w:rsid w:val="02BC7194"/>
    <w:rsid w:val="06787DEC"/>
    <w:rsid w:val="08192DD1"/>
    <w:rsid w:val="14033995"/>
    <w:rsid w:val="146D7FB2"/>
    <w:rsid w:val="14733F9D"/>
    <w:rsid w:val="157B6E32"/>
    <w:rsid w:val="19637719"/>
    <w:rsid w:val="1D1E561B"/>
    <w:rsid w:val="1D9D09EB"/>
    <w:rsid w:val="1DF876AE"/>
    <w:rsid w:val="1EAC3EC8"/>
    <w:rsid w:val="22136179"/>
    <w:rsid w:val="22780090"/>
    <w:rsid w:val="23174E9B"/>
    <w:rsid w:val="24906B4F"/>
    <w:rsid w:val="286D723F"/>
    <w:rsid w:val="3432054C"/>
    <w:rsid w:val="34F73C33"/>
    <w:rsid w:val="34FE114F"/>
    <w:rsid w:val="3C342ADD"/>
    <w:rsid w:val="3C3F00A6"/>
    <w:rsid w:val="3DD75F45"/>
    <w:rsid w:val="3E69096F"/>
    <w:rsid w:val="3FF50F30"/>
    <w:rsid w:val="43557D07"/>
    <w:rsid w:val="53965040"/>
    <w:rsid w:val="550E556A"/>
    <w:rsid w:val="55BB2BE3"/>
    <w:rsid w:val="567C7E83"/>
    <w:rsid w:val="578307A8"/>
    <w:rsid w:val="590062C5"/>
    <w:rsid w:val="5AC73525"/>
    <w:rsid w:val="5BA1303C"/>
    <w:rsid w:val="5D5D4FD6"/>
    <w:rsid w:val="6367199C"/>
    <w:rsid w:val="649B30F8"/>
    <w:rsid w:val="70D31FDB"/>
    <w:rsid w:val="741B5358"/>
    <w:rsid w:val="761513B3"/>
    <w:rsid w:val="77973CC0"/>
    <w:rsid w:val="77E37420"/>
    <w:rsid w:val="78AC0631"/>
    <w:rsid w:val="7AB939F3"/>
    <w:rsid w:val="7F105221"/>
    <w:rsid w:val="7FA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字符"/>
    <w:basedOn w:val="6"/>
    <w:link w:val="3"/>
    <w:qFormat/>
    <w:uiPriority w:val="9"/>
    <w:rPr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JHMK</Company>
  <Pages>1</Pages>
  <Words>135</Words>
  <Characters>776</Characters>
  <Lines>6</Lines>
  <Paragraphs>1</Paragraphs>
  <TotalTime>78</TotalTime>
  <ScaleCrop>false</ScaleCrop>
  <LinksUpToDate>false</LinksUpToDate>
  <CharactersWithSpaces>910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2020-05-29T04:19:00Z</dcterms:created>
  <dc:creator>郭小军GXJ</dc:creator>
  <cp:lastModifiedBy>gxj</cp:lastModifiedBy>
  <dcterms:modified xsi:type="dcterms:W3CDTF">2020-05-31T13:16:00Z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