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42"/>
        <w:gridCol w:w="5613"/>
        <w:gridCol w:w="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bookmarkStart w:id="0" w:name="_GoBack"/>
            <w:r>
              <w:rPr>
                <w:color w:val="auto"/>
                <w:sz w:val="18"/>
                <w:szCs w:val="18"/>
              </w:rPr>
              <w:t>问题图风险指标</w:t>
            </w:r>
            <w:bookmarkEnd w:id="0"/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auto"/>
                <w:sz w:val="18"/>
                <w:szCs w:val="18"/>
              </w:rPr>
              <w:t>风险级别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auto"/>
                <w:sz w:val="18"/>
                <w:szCs w:val="18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功能风险</w:t>
            </w:r>
          </w:p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高：问题图功能变动很大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较高：问题图功能变动较大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一般：问题图功能变动较小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较低：问题图功能基本确定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低：问题图功能完全确定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restart"/>
          </w:tcPr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性能风险</w:t>
            </w:r>
          </w:p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高：问题图功能实时性要求强，对软、硬件严格限制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较高：问题图功能实时性要求较强，对软、硬件有一定限制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一般：问题图功能没有实时性要求，对软、硬件限制很少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较低：问题图功能没有实时性要求，对软、硬件没有限制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低：问题图功能没有实时性要求，充分利用现有资源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restart"/>
          </w:tcPr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可靠性风险</w:t>
            </w:r>
          </w:p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高：问题图中的数据需及时存储，并且容错性、灾难恢复机制良好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较高：问题图中的数据需及时存储，并且容错性、灾难恢复机制较好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一般：问题图数据存储，需要容错性、灾难恢复机制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较低：问题图数据存储，不需要容错性、需要灾难恢复机制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低：问题图数据存储，不需要容错性、灾难恢复机制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restart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安全风险</w:t>
            </w: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高：问题图中的数据涉及个人隐私，涉及经济利益、设备敏感，数据敏感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较高：问题图中的数据涉及个人隐私，不涉及经济利益、设备敏感和数据敏感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一般：问题图中的数据涉及个人隐私，不涉及经济利益、设备敏感、数据不敏感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较低：问题图中的数据涉及个人隐私，不涉及经济利益、设备和数据不敏感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低：问题图中的数据不涉及个人隐私和经济利益、设备和数据不敏感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restart"/>
          </w:tcPr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资源风险</w:t>
            </w:r>
          </w:p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高：实现问题图时所需资源高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较高：实现问题图时所需资源较高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一般：实现问题图时所需资源一般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较低：实现问题图时所需资源较低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低：实现问题图时所需资源低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restart"/>
          </w:tcPr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成本以及进度风险</w:t>
            </w:r>
          </w:p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高：开发项目较少，没有成本估算经验，不能把握问题图实现进度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较高：虽开发过一些项目，但成本估算经验、把握问题图实现进度欠缺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一般：有成本估算经验或模型，能一定程度上把握问题图实现进度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较低：有较好的成本估算经验和模型，能把握问题图实现进度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2" w:type="dxa"/>
            <w:vMerge w:val="continue"/>
            <w:tcBorders/>
          </w:tcPr>
          <w:p>
            <w:pPr>
              <w:rPr>
                <w:color w:val="auto"/>
                <w:vertAlign w:val="baseline"/>
              </w:rPr>
            </w:pPr>
          </w:p>
        </w:tc>
        <w:tc>
          <w:tcPr>
            <w:tcW w:w="561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低：有很好的成本估算经验和模型，能很好驾驭问题图实现进度</w:t>
            </w:r>
          </w:p>
        </w:tc>
        <w:tc>
          <w:tcPr>
            <w:tcW w:w="9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color w:val="auto"/>
                <w:vertAlign w:val="baseline"/>
              </w:rPr>
            </w:pPr>
            <w:r>
              <w:rPr>
                <w:color w:val="000000"/>
                <w:sz w:val="18"/>
                <w:szCs w:val="18"/>
              </w:rPr>
              <w:t>0.1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2YmFiYjY2ZmEzMDYyODYzYjJjOTkyNDg1MmQwMDEifQ=="/>
  </w:docVars>
  <w:rsids>
    <w:rsidRoot w:val="162A3BD1"/>
    <w:rsid w:val="162A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2022-10-20T13:47:00Z</dcterms:created>
  <dc:creator>MBC女王的迷妹</dc:creator>
  <cp:lastModifiedBy>MBC女王的迷妹</cp:lastModifiedBy>
  <dcterms:modified xsi:type="dcterms:W3CDTF">2022-10-20T13:50:54Z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D779473D0FA84CBDB38C9233E1CA2BF3</vt:lpwstr>
  </property>
</Properties>
</file>