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0F172A"/>
          <w:sz w:val="44"/>
        </w:rPr>
        <w:t>GridVision OpenDSS Studio — LECO BZ0109</w:t>
        <w:br/>
        <w:t>Technical Manual &amp; Electrical Calculation Specification</w:t>
      </w:r>
    </w:p>
    <w:p>
      <w:pPr>
        <w:jc w:val="center"/>
      </w:pPr>
      <w:r>
        <w:rPr>
          <w:rFonts w:ascii="Calibri" w:hAnsi="Calibri"/>
          <w:i/>
          <w:color w:val="475569"/>
          <w:sz w:val="24"/>
        </w:rPr>
        <w:t>Comprehensive Technical Equations, Input File Data Mapping, Engineering Assumptions, and QSTS Power Flow Methodology</w:t>
      </w:r>
    </w:p>
    <w:p>
      <w:pPr>
        <w:spacing w:after="240"/>
      </w:pPr>
    </w:p>
    <w:p>
      <w:pPr>
        <w:keepNext/>
        <w:spacing w:before="360" w:after="120"/>
      </w:pPr>
      <w:r>
        <w:rPr>
          <w:rFonts w:ascii="Calibri" w:hAnsi="Calibri"/>
          <w:b/>
          <w:color w:val="0284C7"/>
          <w:sz w:val="32"/>
        </w:rPr>
        <w:t>1. Executive Summary &amp; Overview</w:t>
      </w:r>
    </w:p>
    <w:p>
      <w:pPr>
        <w:spacing w:after="160"/>
      </w:pPr>
      <w:r>
        <w:t>This document provides the complete engineering specification for the GridVision OpenDSS Studio web application. The software performs Quasi-Static Time Series (QSTS) 3-phase 4-wire power flow simulations on the LECO Transformer BZ0109 low-voltage (400V/230V) distribution network. It integrates monthly billing consumption datasets, 15-minute smart meter Load Profiling (LP) interval records, rooftop solar PV inverter reports, and GIS geographic network topology.</w:t>
      </w:r>
    </w:p>
    <w:p>
      <w:pPr>
        <w:keepNext/>
        <w:spacing w:before="360" w:after="120"/>
      </w:pPr>
      <w:r>
        <w:rPr>
          <w:rFonts w:ascii="Calibri" w:hAnsi="Calibri"/>
          <w:b/>
          <w:color w:val="0284C7"/>
          <w:sz w:val="32"/>
        </w:rPr>
        <w:t>2. Raw Data Ingestion &amp; Input File Lineage</w:t>
      </w:r>
    </w:p>
    <w:p>
      <w:pPr>
        <w:spacing w:after="160"/>
      </w:pPr>
      <w:r>
        <w:t>The software extracts customer demand, solar capacity, network topology, and smart meter measurements from specific input files, sheets, and columns as detailed below: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val="clear" w:color="auto" w:fill="0F172A"/>
          </w:tcPr>
          <w:p>
            <w:r>
              <w:rPr>
                <w:b/>
                <w:color w:val="FFFFFF"/>
                <w:sz w:val="19"/>
              </w:rPr>
              <w:t>Data Category</w:t>
            </w:r>
          </w:p>
        </w:tc>
        <w:tc>
          <w:tcPr>
            <w:tcW w:type="dxa" w:w="2340"/>
            <w:shd w:val="clear" w:color="auto" w:fill="0F172A"/>
          </w:tcPr>
          <w:p>
            <w:r>
              <w:rPr>
                <w:b/>
                <w:color w:val="FFFFFF"/>
                <w:sz w:val="19"/>
              </w:rPr>
              <w:t>File Name &amp; Path</w:t>
            </w:r>
          </w:p>
        </w:tc>
        <w:tc>
          <w:tcPr>
            <w:tcW w:type="dxa" w:w="2340"/>
            <w:shd w:val="clear" w:color="auto" w:fill="0F172A"/>
          </w:tcPr>
          <w:p>
            <w:r>
              <w:rPr>
                <w:b/>
                <w:color w:val="FFFFFF"/>
                <w:sz w:val="19"/>
              </w:rPr>
              <w:t>Sheet Name &amp; Column Headers</w:t>
            </w:r>
          </w:p>
        </w:tc>
        <w:tc>
          <w:tcPr>
            <w:tcW w:type="dxa" w:w="2340"/>
            <w:shd w:val="clear" w:color="auto" w:fill="0F172A"/>
          </w:tcPr>
          <w:p>
            <w:r>
              <w:rPr>
                <w:b/>
                <w:color w:val="FFFFFF"/>
                <w:sz w:val="19"/>
              </w:rPr>
              <w:t>Extracted Parameters &amp; Rules</w:t>
            </w:r>
          </w:p>
        </w:tc>
      </w:tr>
      <w:tr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GIS &amp; Topology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network_map.json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Root JSON object:</w:t>
              <w:br/>
              <w:t>- poles[]</w:t>
              <w:br/>
              <w:t>- lines[]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Poles: id, lat, lon, is_tf (AR48T), feeder (F1–F8).</w:t>
              <w:br/>
              <w:t>Lines: from, to, length_m, conductor (ABC_70, Fly_AAC).</w:t>
            </w:r>
          </w:p>
        </w:tc>
      </w:tr>
      <w:tr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Billing &amp; Demands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DATA_BZ0109.xlsx /</w:t>
              <w:br/>
              <w:t>account_pole_map.json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Sheet: DATA / Consumption</w:t>
              <w:br/>
              <w:t>Columns: ACCOUNT, POLE ID, CATEGORY / TARIFF, kWh columns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Account matching rule: strip leading zeros (e.g., '00024/1234' -&gt; '24/1234'). Extracts monthly energy E_month and tariff class (R1, GP11, STL, I12).</w:t>
            </w:r>
          </w:p>
        </w:tc>
      </w:tr>
      <w:tr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Smart Meter LP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pole_voltage_compare.json /</w:t>
              <w:br/>
              <w:t>voltages_timeline.json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Sheet: LP Data</w:t>
              <w:br/>
              <w:t>Columns: CUSTOMER_REF, DATE, TIME, AVG._IMPORT_KW, AVG._EXPORT_KW, PHASE_A_VOLTAGE, PHASE_B_VOLTAGE, PHASE_C_VOLTAGE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15-minute interval transformer net power P_meas(t) and pole measured phase voltages (Va, Vb, Vc). Used for calibration and measured vs. simulated comparison.</w:t>
            </w:r>
          </w:p>
        </w:tc>
      </w:tr>
      <w:tr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Rooftop Solar PV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BZ0109_solar_customers.csv /</w:t>
              <w:br/>
              <w:t>Solar Data V2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Sheet: Solar Data V2</w:t>
              <w:br/>
              <w:t>Columns: ACCOUNT / CUSTOMER, POLE ID, INVERTER_KW / CAPACITY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Extracts solar PV inverter capacity P_inv (kW) mapped to customer account and pole ID (11 accounts, 179.3 kW total capacity).</w:t>
            </w:r>
          </w:p>
        </w:tc>
      </w:tr>
    </w:tbl>
    <w:p>
      <w:pPr>
        <w:spacing w:after="240"/>
      </w:pPr>
    </w:p>
    <w:p>
      <w:pPr>
        <w:keepNext/>
        <w:spacing w:before="360" w:after="120"/>
      </w:pPr>
      <w:r>
        <w:rPr>
          <w:rFonts w:ascii="Calibri" w:hAnsi="Calibri"/>
          <w:b/>
          <w:color w:val="0284C7"/>
          <w:sz w:val="32"/>
        </w:rPr>
        <w:t>3. Scientific &amp; Engineering Assumptions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val="clear" w:color="auto" w:fill="0F172A"/>
          </w:tcPr>
          <w:p>
            <w:r>
              <w:rPr>
                <w:b/>
                <w:color w:val="FFFFFF"/>
                <w:sz w:val="19"/>
              </w:rPr>
              <w:t>Engineering Parameter</w:t>
            </w:r>
          </w:p>
        </w:tc>
        <w:tc>
          <w:tcPr>
            <w:tcW w:type="dxa" w:w="4680"/>
            <w:shd w:val="clear" w:color="auto" w:fill="0F172A"/>
          </w:tcPr>
          <w:p>
            <w:r>
              <w:rPr>
                <w:b/>
                <w:color w:val="FFFFFF"/>
                <w:sz w:val="19"/>
              </w:rPr>
              <w:t>Scientific Assumption &amp; Justification</w:t>
            </w:r>
          </w:p>
        </w:tc>
      </w:tr>
      <w:tr>
        <w:tc>
          <w:tcPr>
            <w:tcW w:type="dxa" w:w="4680"/>
            <w:shd w:val="clear" w:color="auto" w:fill="F8FAFC"/>
          </w:tcPr>
          <w:p>
            <w:r>
              <w:rPr>
                <w:sz w:val="18"/>
              </w:rPr>
              <w:t>Nominal System Voltage</w:t>
            </w:r>
          </w:p>
        </w:tc>
        <w:tc>
          <w:tcPr>
            <w:tcW w:type="dxa" w:w="4680"/>
            <w:shd w:val="clear" w:color="auto" w:fill="F8FAFC"/>
          </w:tcPr>
          <w:p>
            <w:r>
              <w:rPr>
                <w:sz w:val="18"/>
              </w:rPr>
              <w:t>Nominal Phase-to-Neutral voltage V_nom = 230.0 V (Phase-to-Phase V_LL = 400.0 V) at 50 Hz system frequency.</w:t>
            </w:r>
          </w:p>
        </w:tc>
      </w:tr>
      <w:tr>
        <w:tc>
          <w:tcPr>
            <w:tcW w:type="dxa" w:w="4680"/>
            <w:shd w:val="clear" w:color="auto" w:fill="F8FAFC"/>
          </w:tcPr>
          <w:p>
            <w:r>
              <w:rPr>
                <w:sz w:val="18"/>
              </w:rPr>
              <w:t>Statutory Voltage Limits</w:t>
            </w:r>
          </w:p>
        </w:tc>
        <w:tc>
          <w:tcPr>
            <w:tcW w:type="dxa" w:w="4680"/>
            <w:shd w:val="clear" w:color="auto" w:fill="F8FAFC"/>
          </w:tcPr>
          <w:p>
            <w:r>
              <w:rPr>
                <w:sz w:val="18"/>
              </w:rPr>
              <w:t>Statutory allowable voltage limits strictly enforced at 216.2 V (-6.0%) minimum under-voltage threshold and 243.8 V (+6.0%) maximum over-voltage threshold.</w:t>
            </w:r>
          </w:p>
        </w:tc>
      </w:tr>
      <w:tr>
        <w:tc>
          <w:tcPr>
            <w:tcW w:type="dxa" w:w="4680"/>
            <w:shd w:val="clear" w:color="auto" w:fill="F8FAFC"/>
          </w:tcPr>
          <w:p>
            <w:r>
              <w:rPr>
                <w:sz w:val="18"/>
              </w:rPr>
              <w:t>Transformer Rating</w:t>
            </w:r>
          </w:p>
        </w:tc>
        <w:tc>
          <w:tcPr>
            <w:tcW w:type="dxa" w:w="4680"/>
            <w:shd w:val="clear" w:color="auto" w:fill="F8FAFC"/>
          </w:tcPr>
          <w:p>
            <w:r>
              <w:rPr>
                <w:sz w:val="18"/>
              </w:rPr>
              <w:t>Distribution Transformer Tx_BZ0109 rated at 250 kVA, 11kV/0.4kV, Delta-Wye grounded configuration (%R = 1.0%, %X = 4.5%).</w:t>
            </w:r>
          </w:p>
        </w:tc>
      </w:tr>
      <w:tr>
        <w:tc>
          <w:tcPr>
            <w:tcW w:type="dxa" w:w="4680"/>
            <w:shd w:val="clear" w:color="auto" w:fill="F8FAFC"/>
          </w:tcPr>
          <w:p>
            <w:r>
              <w:rPr>
                <w:sz w:val="18"/>
              </w:rPr>
              <w:t>Customer Power Factor</w:t>
            </w:r>
          </w:p>
        </w:tc>
        <w:tc>
          <w:tcPr>
            <w:tcW w:type="dxa" w:w="4680"/>
            <w:shd w:val="clear" w:color="auto" w:fill="F8FAFC"/>
          </w:tcPr>
          <w:p>
            <w:r>
              <w:rPr>
                <w:sz w:val="18"/>
              </w:rPr>
              <w:t>Standard customer loads assigned a lagging power factor cos φ = 0.95 (tan φ = 0.329). Solar PV inverters operate at unity power factor (PF = 1.0).</w:t>
            </w:r>
          </w:p>
        </w:tc>
      </w:tr>
      <w:tr>
        <w:tc>
          <w:tcPr>
            <w:tcW w:type="dxa" w:w="4680"/>
            <w:shd w:val="clear" w:color="auto" w:fill="F8FAFC"/>
          </w:tcPr>
          <w:p>
            <w:r>
              <w:rPr>
                <w:sz w:val="18"/>
              </w:rPr>
              <w:t>Radial Tree Topology</w:t>
            </w:r>
          </w:p>
        </w:tc>
        <w:tc>
          <w:tcPr>
            <w:tcW w:type="dxa" w:w="4680"/>
            <w:shd w:val="clear" w:color="auto" w:fill="F8FAFC"/>
          </w:tcPr>
          <w:p>
            <w:r>
              <w:rPr>
                <w:sz w:val="18"/>
              </w:rPr>
              <w:t>The distribution network is modeled as a strict radial tree graph originating from transformer pole AR48T across 8 main distributor branches (F1 through F8).</w:t>
            </w:r>
          </w:p>
        </w:tc>
      </w:tr>
      <w:tr>
        <w:tc>
          <w:tcPr>
            <w:tcW w:type="dxa" w:w="4680"/>
            <w:shd w:val="clear" w:color="auto" w:fill="F8FAFC"/>
          </w:tcPr>
          <w:p>
            <w:r>
              <w:rPr>
                <w:sz w:val="18"/>
              </w:rPr>
              <w:t>Quasi-Static Time Series</w:t>
            </w:r>
          </w:p>
        </w:tc>
        <w:tc>
          <w:tcPr>
            <w:tcW w:type="dxa" w:w="4680"/>
            <w:shd w:val="clear" w:color="auto" w:fill="F8FAFC"/>
          </w:tcPr>
          <w:p>
            <w:r>
              <w:rPr>
                <w:sz w:val="18"/>
              </w:rPr>
              <w:t>QSTS evaluates 96 steady-state snapshot power flow solves per day (15-minute time steps) assuming fast transient dynamics settle within each interval.</w:t>
            </w:r>
          </w:p>
        </w:tc>
      </w:tr>
      <w:tr>
        <w:tc>
          <w:tcPr>
            <w:tcW w:type="dxa" w:w="4680"/>
            <w:shd w:val="clear" w:color="auto" w:fill="F8FAFC"/>
          </w:tcPr>
          <w:p>
            <w:r>
              <w:rPr>
                <w:sz w:val="18"/>
              </w:rPr>
              <w:t>Behind-the-Meter Netting</w:t>
            </w:r>
          </w:p>
        </w:tc>
        <w:tc>
          <w:tcPr>
            <w:tcW w:type="dxa" w:w="4680"/>
            <w:shd w:val="clear" w:color="auto" w:fill="F8FAFC"/>
          </w:tcPr>
          <w:p>
            <w:r>
              <w:rPr>
                <w:sz w:val="18"/>
              </w:rPr>
              <w:t>Smart meters record NET power flow (Import - Export). Internal home customer load behind the solar meter consumes a portion of solar output before reaching the meter.</w:t>
            </w:r>
          </w:p>
        </w:tc>
      </w:tr>
      <w:tr>
        <w:tc>
          <w:tcPr>
            <w:tcW w:type="dxa" w:w="4680"/>
            <w:shd w:val="clear" w:color="auto" w:fill="F8FAFC"/>
          </w:tcPr>
          <w:p>
            <w:r>
              <w:rPr>
                <w:sz w:val="18"/>
              </w:rPr>
              <w:t>Conductor Impedances</w:t>
            </w:r>
          </w:p>
        </w:tc>
        <w:tc>
          <w:tcPr>
            <w:tcW w:type="dxa" w:w="4680"/>
            <w:shd w:val="clear" w:color="auto" w:fill="F8FAFC"/>
          </w:tcPr>
          <w:p>
            <w:r>
              <w:rPr>
                <w:sz w:val="18"/>
              </w:rPr>
              <w:t>Aerial Bundled Conductors (ABC_70: R1 = 0.443 Ω/km, X1 = 0.09 Ω/km) and All Aluminum Conductors (Fly_AAC: R1 = 0.270 Ω/km, X1 = 0.30 Ω/km).</w:t>
            </w:r>
          </w:p>
        </w:tc>
      </w:tr>
    </w:tbl>
    <w:p>
      <w:pPr>
        <w:spacing w:after="240"/>
      </w:pPr>
    </w:p>
    <w:p>
      <w:pPr>
        <w:keepNext/>
        <w:spacing w:before="360" w:after="120"/>
      </w:pPr>
      <w:r>
        <w:rPr>
          <w:rFonts w:ascii="Calibri" w:hAnsi="Calibri"/>
          <w:b/>
          <w:color w:val="0284C7"/>
          <w:sz w:val="32"/>
        </w:rPr>
        <w:t>4. Technical &amp; Mathematical Equations</w:t>
      </w:r>
    </w:p>
    <w:p>
      <w:pPr>
        <w:keepNext/>
        <w:spacing w:before="240" w:after="80"/>
      </w:pPr>
      <w:r>
        <w:rPr>
          <w:rFonts w:ascii="Calibri" w:hAnsi="Calibri"/>
          <w:b/>
          <w:color w:val="0F172A"/>
          <w:sz w:val="26"/>
        </w:rPr>
        <w:t>4.1. Customer Demand Allocation</w:t>
      </w:r>
    </w:p>
    <w:p>
      <w:pPr>
        <w:spacing w:before="120" w:after="40"/>
        <w:ind w:left="360" w:right="360"/>
      </w:pPr>
      <w:r>
        <w:rPr>
          <w:rFonts w:ascii="Consolas" w:hAnsi="Consolas"/>
          <w:b/>
          <w:color w:val="0369A1"/>
          <w:sz w:val="22"/>
        </w:rPr>
        <w:t>P_avg,c = E_month,c / (N_days × 24)</w:t>
      </w:r>
    </w:p>
    <w:p>
      <w:pPr>
        <w:spacing w:after="160"/>
        <w:ind w:left="360" w:right="360"/>
      </w:pPr>
      <w:r>
        <w:rPr>
          <w:rFonts w:ascii="Calibri" w:hAnsi="Calibri"/>
          <w:i/>
          <w:color w:val="334155"/>
          <w:sz w:val="20"/>
        </w:rPr>
        <w:t>Where E_month,c is the monthly billed kWh for account c from DATA_BZ0109.xlsx, N_days is the billing cycle days (e.g., 30 days). Converts energy into mean active power (kW).</w:t>
      </w:r>
    </w:p>
    <w:p>
      <w:pPr>
        <w:keepNext/>
        <w:spacing w:before="240" w:after="80"/>
      </w:pPr>
      <w:r>
        <w:rPr>
          <w:rFonts w:ascii="Calibri" w:hAnsi="Calibri"/>
          <w:b/>
          <w:color w:val="0F172A"/>
          <w:sz w:val="26"/>
        </w:rPr>
        <w:t>4.2. Tariff-Shaped Customer Active &amp; Reactive Load</w:t>
      </w:r>
    </w:p>
    <w:p>
      <w:pPr>
        <w:spacing w:before="120" w:after="40"/>
        <w:ind w:left="360" w:right="360"/>
      </w:pPr>
      <w:r>
        <w:rPr>
          <w:rFonts w:ascii="Consolas" w:hAnsi="Consolas"/>
          <w:b/>
          <w:color w:val="0369A1"/>
          <w:sz w:val="22"/>
        </w:rPr>
        <w:t>P_c(t) = P_avg,c × s_tariff(c)(t) × α(t)</w:t>
        <w:br/>
        <w:t>Q_c(t) = P_c(t) × tan(acos(PF))</w:t>
      </w:r>
    </w:p>
    <w:p>
      <w:pPr>
        <w:spacing w:after="160"/>
        <w:ind w:left="360" w:right="360"/>
      </w:pPr>
      <w:r>
        <w:rPr>
          <w:rFonts w:ascii="Calibri" w:hAnsi="Calibri"/>
          <w:i/>
          <w:color w:val="334155"/>
          <w:sz w:val="20"/>
        </w:rPr>
        <w:t>Where s_tariff(c)(t) is the normalized 15-minute daily tariff profile vector for tariff class c (R1, GP11, STL, I12), α(t) is the hourly calibration multiplier, and PF = 0.95.</w:t>
      </w:r>
    </w:p>
    <w:p>
      <w:pPr>
        <w:keepNext/>
        <w:spacing w:before="240" w:after="80"/>
      </w:pPr>
      <w:r>
        <w:rPr>
          <w:rFonts w:ascii="Calibri" w:hAnsi="Calibri"/>
          <w:b/>
          <w:color w:val="0F172A"/>
          <w:sz w:val="26"/>
        </w:rPr>
        <w:t>4.3. 15-Minute Solar Irradiance Curve &amp; PV Output</w:t>
      </w:r>
    </w:p>
    <w:p>
      <w:pPr>
        <w:spacing w:before="120" w:after="40"/>
        <w:ind w:left="360" w:right="360"/>
      </w:pPr>
      <w:r>
        <w:rPr>
          <w:rFonts w:ascii="Consolas" w:hAnsi="Consolas"/>
          <w:b/>
          <w:color w:val="0369A1"/>
          <w:sz w:val="22"/>
        </w:rPr>
        <w:t>c_irr(t) = max(0.0, 1.0 - ((h(t) - 12.25) / 5.5)^2)  for 6.0 &lt;= h(t) &lt;= 18.0</w:t>
        <w:br/>
        <w:t>P_solar,k(t) = P_inv,k × c_irr(t) × β</w:t>
      </w:r>
    </w:p>
    <w:p>
      <w:pPr>
        <w:spacing w:after="160"/>
        <w:ind w:left="360" w:right="360"/>
      </w:pPr>
      <w:r>
        <w:rPr>
          <w:rFonts w:ascii="Calibri" w:hAnsi="Calibri"/>
          <w:i/>
          <w:color w:val="334155"/>
          <w:sz w:val="20"/>
        </w:rPr>
        <w:t>Where h(t) = t/4.0 is hour of day (0.0 to 23.75), P_inv,k is installed inverter kW rating at pole k, c_irr(t) is normalized irradiance (0.0 at night, 1.0 at 12:15 solar noon), and β is irradiance scale.</w:t>
      </w:r>
    </w:p>
    <w:p>
      <w:pPr>
        <w:keepNext/>
        <w:spacing w:before="240" w:after="80"/>
      </w:pPr>
      <w:r>
        <w:rPr>
          <w:rFonts w:ascii="Calibri" w:hAnsi="Calibri"/>
          <w:b/>
          <w:color w:val="0F172A"/>
          <w:sz w:val="26"/>
        </w:rPr>
        <w:t>4.4. Locked Export-Target Solar Calibration</w:t>
      </w:r>
    </w:p>
    <w:p>
      <w:pPr>
        <w:spacing w:before="120" w:after="40"/>
        <w:ind w:left="360" w:right="360"/>
      </w:pPr>
      <w:r>
        <w:rPr>
          <w:rFonts w:ascii="Consolas" w:hAnsi="Consolas"/>
          <w:b/>
          <w:color w:val="0369A1"/>
          <w:sz w:val="22"/>
        </w:rPr>
        <w:t>P_pv*(t) = max(P_load(t) - P_meas(t), 0.0)</w:t>
      </w:r>
    </w:p>
    <w:p>
      <w:pPr>
        <w:spacing w:after="160"/>
        <w:ind w:left="360" w:right="360"/>
      </w:pPr>
      <w:r>
        <w:rPr>
          <w:rFonts w:ascii="Calibri" w:hAnsi="Calibri"/>
          <w:i/>
          <w:color w:val="334155"/>
          <w:sz w:val="20"/>
        </w:rPr>
        <w:t>Where P_meas(t) is the measured transformer net power from LP data. Used in locked calibration mode so simulated net power tracks physical meter export when solar output exceeds load.</w:t>
      </w:r>
    </w:p>
    <w:p>
      <w:pPr>
        <w:keepNext/>
        <w:spacing w:before="240" w:after="80"/>
      </w:pPr>
      <w:r>
        <w:rPr>
          <w:rFonts w:ascii="Calibri" w:hAnsi="Calibri"/>
          <w:b/>
          <w:color w:val="0F172A"/>
          <w:sz w:val="26"/>
        </w:rPr>
        <w:t>4.5. Global Active Power Conservation</w:t>
      </w:r>
    </w:p>
    <w:p>
      <w:pPr>
        <w:spacing w:before="120" w:after="40"/>
        <w:ind w:left="360" w:right="360"/>
      </w:pPr>
      <w:r>
        <w:rPr>
          <w:rFonts w:ascii="Consolas" w:hAnsi="Consolas"/>
          <w:b/>
          <w:color w:val="0369A1"/>
          <w:sz w:val="22"/>
        </w:rPr>
        <w:t>P_TF,net(t) = P_load(t) - P_pv(t) + P_loss(t)</w:t>
      </w:r>
    </w:p>
    <w:p>
      <w:pPr>
        <w:spacing w:after="160"/>
        <w:ind w:left="360" w:right="360"/>
      </w:pPr>
      <w:r>
        <w:rPr>
          <w:rFonts w:ascii="Calibri" w:hAnsi="Calibri"/>
          <w:i/>
          <w:color w:val="334155"/>
          <w:sz w:val="20"/>
        </w:rPr>
        <w:t>Where P_TF,net &gt; 0 represents net power import from the 11kV grid through the 250kVA transformer, and P_TF,net &lt; 0 represents net solar power export back to the 11kV grid.</w:t>
      </w:r>
    </w:p>
    <w:p>
      <w:pPr>
        <w:keepNext/>
        <w:spacing w:before="240" w:after="80"/>
      </w:pPr>
      <w:r>
        <w:rPr>
          <w:rFonts w:ascii="Calibri" w:hAnsi="Calibri"/>
          <w:b/>
          <w:color w:val="0F172A"/>
          <w:sz w:val="26"/>
        </w:rPr>
        <w:t>4.6. OpenDSS 3-Phase 4-Wire Branch Voltage Drop</w:t>
      </w:r>
    </w:p>
    <w:p>
      <w:pPr>
        <w:spacing w:before="120" w:after="40"/>
        <w:ind w:left="360" w:right="360"/>
      </w:pPr>
      <w:r>
        <w:rPr>
          <w:rFonts w:ascii="Consolas" w:hAnsi="Consolas"/>
          <w:b/>
          <w:color w:val="0369A1"/>
          <w:sz w:val="22"/>
        </w:rPr>
        <w:t>[V_a, V_b, V_c, V_n]_(k+1) = [V_a, V_b, V_c, V_n]_k - Z_4x4 × [I_a, I_b, I_c, I_n]_k</w:t>
      </w:r>
    </w:p>
    <w:p>
      <w:pPr>
        <w:spacing w:after="160"/>
        <w:ind w:left="360" w:right="360"/>
      </w:pPr>
      <w:r>
        <w:rPr>
          <w:rFonts w:ascii="Calibri" w:hAnsi="Calibri"/>
          <w:i/>
          <w:color w:val="334155"/>
          <w:sz w:val="20"/>
        </w:rPr>
        <w:t>Where Z_4x4 is the 4-wire line impedance matrix derived from conductor resistance R and self/mutual reactance X for ABC/Fly overhead line codes.</w:t>
      </w:r>
    </w:p>
    <w:p>
      <w:pPr>
        <w:keepNext/>
        <w:spacing w:before="240" w:after="80"/>
      </w:pPr>
      <w:r>
        <w:rPr>
          <w:rFonts w:ascii="Calibri" w:hAnsi="Calibri"/>
          <w:b/>
          <w:color w:val="0F172A"/>
          <w:sz w:val="26"/>
        </w:rPr>
        <w:t>4.7. Phase Voltage Averages &amp; Unbalance Percentage</w:t>
      </w:r>
    </w:p>
    <w:p>
      <w:pPr>
        <w:spacing w:before="120" w:after="40"/>
        <w:ind w:left="360" w:right="360"/>
      </w:pPr>
      <w:r>
        <w:rPr>
          <w:rFonts w:ascii="Consolas" w:hAnsi="Consolas"/>
          <w:b/>
          <w:color w:val="0369A1"/>
          <w:sz w:val="22"/>
        </w:rPr>
        <w:t>V_avg = (V_a + V_b + V_c) / 3.0</w:t>
        <w:br/>
        <w:t>Unbalance % = ((max(V_a,V_b,V_c) - min(V_a,V_b,V_c)) / V_avg) × 100%</w:t>
      </w:r>
    </w:p>
    <w:p>
      <w:pPr>
        <w:spacing w:after="160"/>
        <w:ind w:left="360" w:right="360"/>
      </w:pPr>
      <w:r>
        <w:rPr>
          <w:rFonts w:ascii="Calibri" w:hAnsi="Calibri"/>
          <w:i/>
          <w:color w:val="334155"/>
          <w:sz w:val="20"/>
        </w:rPr>
        <w:t>Calculates mean phase-to-neutral voltage V_avg and phase voltage unbalance percentage at any pole node across 3-phase conductors (lines 3485-3488 in index.html).</w:t>
      </w:r>
    </w:p>
    <w:p>
      <w:pPr>
        <w:keepNext/>
        <w:spacing w:before="240" w:after="80"/>
      </w:pPr>
      <w:r>
        <w:rPr>
          <w:rFonts w:ascii="Calibri" w:hAnsi="Calibri"/>
          <w:b/>
          <w:color w:val="0F172A"/>
          <w:sz w:val="26"/>
        </w:rPr>
        <w:t>4.8. Transformer Loading Percentage</w:t>
      </w:r>
    </w:p>
    <w:p>
      <w:pPr>
        <w:spacing w:before="120" w:after="40"/>
        <w:ind w:left="360" w:right="360"/>
      </w:pPr>
      <w:r>
        <w:rPr>
          <w:rFonts w:ascii="Consolas" w:hAnsi="Consolas"/>
          <w:b/>
          <w:color w:val="0369A1"/>
          <w:sz w:val="22"/>
        </w:rPr>
        <w:t>Loading % = (|P_TF,net(t)| / S_rated) × 100%</w:t>
      </w:r>
    </w:p>
    <w:p>
      <w:pPr>
        <w:spacing w:after="160"/>
        <w:ind w:left="360" w:right="360"/>
      </w:pPr>
      <w:r>
        <w:rPr>
          <w:rFonts w:ascii="Calibri" w:hAnsi="Calibri"/>
          <w:i/>
          <w:color w:val="334155"/>
          <w:sz w:val="20"/>
        </w:rPr>
        <w:t>Where S_rated = 250 kVA. Measures transformer capacity utilization under import peak (evening) and export peak (solar noon).</w:t>
      </w:r>
    </w:p>
    <w:p>
      <w:pPr>
        <w:keepNext/>
        <w:spacing w:before="240" w:after="80"/>
      </w:pPr>
      <w:r>
        <w:rPr>
          <w:rFonts w:ascii="Calibri" w:hAnsi="Calibri"/>
          <w:b/>
          <w:color w:val="0F172A"/>
          <w:sz w:val="26"/>
        </w:rPr>
        <w:t>4.9. Statistical Model Accuracy Metrics (RMSE &amp; Pearson Correlation)</w:t>
      </w:r>
    </w:p>
    <w:p>
      <w:pPr>
        <w:spacing w:before="120" w:after="40"/>
        <w:ind w:left="360" w:right="360"/>
      </w:pPr>
      <w:r>
        <w:rPr>
          <w:rFonts w:ascii="Consolas" w:hAnsi="Consolas"/>
          <w:b/>
          <w:color w:val="0369A1"/>
          <w:sz w:val="22"/>
        </w:rPr>
        <w:t>RMSE_kW = sqrt((1/N) × Σ (P_sim(t) - P_meas(t))^2)</w:t>
        <w:br/>
        <w:t>RMSE_V = sqrt((1/M) × Σ (V_sim(k) - V_meas(k))^2)</w:t>
        <w:br/>
        <w:t>ρ = Σ (P_meas - P_bar_meas)(P_sim - P_bar_sim) / [ sqrt(Σ (P_meas - P_bar_meas)^2) × sqrt(Σ (P_sim - P_bar_sim)^2) ]</w:t>
      </w:r>
    </w:p>
    <w:p>
      <w:pPr>
        <w:spacing w:after="160"/>
        <w:ind w:left="360" w:right="360"/>
      </w:pPr>
      <w:r>
        <w:rPr>
          <w:rFonts w:ascii="Calibri" w:hAnsi="Calibri"/>
          <w:i/>
          <w:color w:val="334155"/>
          <w:sz w:val="20"/>
        </w:rPr>
        <w:t>Quantifies simulation accuracy against physical LP smart meter measurements for active power (kW), voltage (V), and daily shape correlation (ρ).</w:t>
      </w:r>
    </w:p>
    <w:p>
      <w:pPr>
        <w:keepNext/>
        <w:spacing w:before="360" w:after="120"/>
      </w:pPr>
      <w:r>
        <w:rPr>
          <w:rFonts w:ascii="Calibri" w:hAnsi="Calibri"/>
          <w:b/>
          <w:color w:val="0284C7"/>
          <w:sz w:val="32"/>
        </w:rPr>
        <w:t>5. Execution &amp; Simulation Workflow</w:t>
      </w:r>
    </w:p>
    <w:p>
      <w:pPr>
        <w:spacing w:after="240"/>
      </w:pPr>
      <w:r>
        <w:t>1. Data Reading: FastAPI backend reads GIS coordinates, billing customer accounts, LP 15-minute readings, and solar inverter reports.</w:t>
        <w:br/>
        <w:t>2. Topology Generation: BFS algorithm constructs the radial feeder graph from transformer pole AR48T and calculates cumulative electrical distance d(k) along line paths.</w:t>
        <w:br/>
        <w:t>3. OpenDSS Script Generator: dss_generator.py writes master.dss, lines.dss, loads.dss, and pvsystem.dss files.</w:t>
        <w:br/>
        <w:t>4. QSTS Solve Loop: opendss_runner.py steps sequentially through 96 15-minute intervals, solving nodal voltages, current flows, transformer loading, and line losses.</w:t>
        <w:br/>
        <w:t>5. Result Visualization: The web browser displays 24-hour time-series charts, Leaflet voltage heat maps, measured vs. simulated phase cards, and distance vs. voltage feeder profiles.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1E293B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