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城市巡检空地协同阶段性组会汇报</w:t>
      </w:r>
    </w:p>
    <w:p>
      <w:pPr>
        <w:jc w:val="center"/>
      </w:pPr>
      <w:r>
        <w:rPr>
          <w:sz w:val="24"/>
        </w:rPr>
        <w:t>实验范围 2026年9月24日至10月2日</w:t>
      </w:r>
    </w:p>
    <w:p>
      <w:pPr>
        <w:jc w:val="center"/>
      </w:pPr>
      <w:r>
        <w:rPr>
          <w:sz w:val="20"/>
        </w:rPr>
        <w:t>CARLA-Air Town10HD Zone A 结构化指令驱动 UAV–UGV 协同</w:t>
      </w:r>
    </w:p>
    <w:p>
      <w:pPr>
        <w:spacing w:line="276" w:lineRule="auto" w:after="100"/>
      </w:pPr>
      <w:r>
        <w:t>本报告汇总当前阶段已经完成并可复核的实验，不把早期失败运行、被替换的配置或未经配对比较的结果当作正式结论。结论重点是：系统已经从单端感知闭环推进到双端候选对齐、持续语义通信和路径影响对照；但车辆细粒度识别、颜色泛化、通信扰动鲁棒性和跨场景泛化仍未完成。</w:t>
      </w:r>
    </w:p>
    <w:p>
      <w:pPr>
        <w:pStyle w:val="Heading1"/>
        <w:spacing w:before="200" w:after="100"/>
      </w:pPr>
      <w:r>
        <w:t>一 研究问题与实验链条</w:t>
      </w:r>
    </w:p>
    <w:p>
      <w:pPr>
        <w:spacing w:line="276" w:lineRule="auto" w:after="100"/>
      </w:pPr>
      <w:r>
        <w:t>当前任务固定为“寻找一辆红色厢式货车，并前往其所在位置”。UAV沿固定搜索航线获取远距离视野，UGV从启动即巡检并用RGB-D感知进行本地安全控制；候选经过类别、颜色、深度和时间一致性门控后，通信模块只传输目标级状态，而不是连续原始图像。UGV根据新鲜消息规划道路路线，消息超过1秒未更新时撤销旧路线并回到巡检路线。</w:t>
      </w:r>
    </w:p>
    <w:p>
      <w:pPr>
        <w:spacing w:line="276" w:lineRule="auto" w:after="100"/>
      </w:pPr>
      <w:r>
        <w:t>实验链条按“平台与场景冻结 → S1感知闭环 → RGB-D安全避障 → UGV本地搜索 → UAV/UGV候选对齐 → 持续通信与A/B/C路径对照”推进。S0 Oracle仅作为闭环上界和故障定位工具，不作为最终感知结果。</w:t>
      </w:r>
    </w:p>
    <w:p>
      <w:pPr>
        <w:pStyle w:val="Heading1"/>
        <w:spacing w:before="200" w:after="100"/>
      </w:pPr>
      <w:r>
        <w:t>二 阶段验收概览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1440"/>
            <w:vAlign w:val="center"/>
            <w:shd w:fill="365F91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672"/>
            <w:vAlign w:val="center"/>
            <w:shd w:fill="365F91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1296"/>
            <w:vAlign w:val="center"/>
            <w:shd w:fill="365F91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有效样本</w:t>
            </w:r>
          </w:p>
        </w:tc>
        <w:tc>
          <w:tcPr>
            <w:tcW w:type="dxa" w:w="3456"/>
            <w:vAlign w:val="center"/>
            <w:shd w:fill="365F91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正式结论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S1 感知闭环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UAV候选是否能驱动UGV规划、复核与安全停车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3种子 × 2目标位置 = 6组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6/6通过；错误目标消息0；最终停车距离约5.1–6.6 m</w:t>
            </w:r>
          </w:p>
        </w:tc>
      </w:tr>
      <w:tr>
        <w:tc>
          <w:tcPr>
            <w:tcW w:type="dxa" w:w="1440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RGB-D 避障</w:t>
            </w:r>
          </w:p>
        </w:tc>
        <w:tc>
          <w:tcPr>
            <w:tcW w:type="dxa" w:w="3672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UGV能否只用自身深度完成减速、停车、恢复和失效保护</w:t>
            </w:r>
          </w:p>
        </w:tc>
        <w:tc>
          <w:tcPr>
            <w:tcW w:type="dxa" w:w="1296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6类场景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最终有效运行全部通过；碰撞0；在线障碍真值读取0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UGV 本地搜索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UGV从启动巡检并在本地RGB-D中形成目标候选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1组60 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通过；83.14 m巡检；候选171点；不驱动路线</w:t>
            </w:r>
          </w:p>
        </w:tc>
      </w:tr>
      <w:tr>
        <w:tc>
          <w:tcPr>
            <w:tcW w:type="dxa" w:w="1440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候选对齐</w:t>
            </w:r>
          </w:p>
        </w:tc>
        <w:tc>
          <w:tcPr>
            <w:tcW w:type="dxa" w:w="3672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UAV/UGV候选的帧、时间、坐标是否统一</w:t>
            </w:r>
          </w:p>
        </w:tc>
        <w:tc>
          <w:tcPr>
            <w:tcW w:type="dxa" w:w="1296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1组60 s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通过；共同观测96.6%；跨端误差中位3.09 m、P90 3.11 m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E7 A/B/C 对照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UAV信息是否改变路线并产生任务增益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3种子 × A/B/C + 3个B正对照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ABC 9/9通过；C最终距离均值7.28 m，A/B约71.41 m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70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tage_accep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0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05050"/>
          <w:sz w:val="17"/>
        </w:rPr>
        <w:t>图1 9月24日至今各阶段有效验收通过率。失败运行不删除，但不计入正式统计分母。</w:t>
      </w:r>
    </w:p>
    <w:p>
      <w:pPr>
        <w:pStyle w:val="Heading1"/>
        <w:spacing w:before="200" w:after="100"/>
      </w:pPr>
      <w:r>
        <w:t>三 S1 感知闭环与候选生成</w:t>
      </w:r>
    </w:p>
    <w:p>
      <w:pPr>
        <w:spacing w:line="276" w:lineRule="auto" w:after="100"/>
      </w:pPr>
      <w:r>
        <w:t>S1使用YOLO车辆类提议、HSV红色属性、深度反投影和独立时序确认。当前“厢式车”不是专门训练的细粒度分类器，而是通用车辆检测与van-like启发式分数的组合；因此S1证明的是受控条件下目标级候选可以驱动闭环，不等同于已经解决真实场景中的车型和颜色识别。</w:t>
      </w:r>
    </w:p>
    <w:p>
      <w:pPr>
        <w:spacing w:line="276" w:lineRule="auto" w:after="100"/>
      </w:pPr>
      <w:r>
        <w:t>6组批量运行全部通过，消息定位误差约0.618–1.092 m，UGV均完成近端复核和3–7 m安全停车。候选基线的目标召回率为98.04%，但所有红色候选的精度代理只有20.67%，说明主要瓶颈不是“看不到目标”，而是“红色背景和同色干扰仍会产生过多候选”。</w:t>
      </w:r>
    </w:p>
    <w:p>
      <w:pPr>
        <w:pStyle w:val="Heading1"/>
        <w:spacing w:before="200" w:after="100"/>
      </w:pPr>
      <w:r>
        <w:t>四 UGV RGB-D 避障验收</w:t>
      </w:r>
    </w:p>
    <w:p>
      <w:pPr>
        <w:spacing w:line="276" w:lineRule="auto" w:after="100"/>
      </w:pPr>
      <w:r>
        <w:t>避障控制在线只使用UGV RGB-D深度反投影得到的前向走廊障碍距离，并将状态划分为CLEAR、CAUTION、STOP和SENSOR_STALE。CARLA参与者位置只在仿真结束后计算碰撞和间距，不进入实时控制。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rgbd_safety_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05050"/>
          <w:sz w:val="17"/>
        </w:rPr>
        <w:t>图2 最终有效RGB-D安全场景中的状态持续时间。每个控制tick为50 ms。</w:t>
      </w:r>
    </w:p>
    <w:p>
      <w:pPr>
        <w:spacing w:line="276" w:lineRule="auto" w:after="100"/>
      </w:pPr>
      <w:r>
        <w:t>静态障碍、横穿车辆、横穿行人、遮挡后横穿和深度失效等最终有效场景均无碰撞。深度失效场景产生81个SENSOR_STALE tick，车辆进入停车保护，深度恢复后重新起步。需要保留的限制是：部分后处理间距采用包围圆近似，不能把负的近似间距直接解释为真实碰撞；严格最小间距仍应改用朝向包围盒或多边形距离。</w:t>
      </w:r>
    </w:p>
    <w:p>
      <w:pPr>
        <w:pStyle w:val="Heading1"/>
        <w:spacing w:before="200" w:after="100"/>
      </w:pPr>
      <w:r>
        <w:t>五 UGV 本地搜索与 E6 双端候选对齐</w:t>
      </w:r>
    </w:p>
    <w:p>
      <w:pPr>
        <w:spacing w:line="276" w:lineRule="auto" w:after="100"/>
      </w:pPr>
      <w:r>
        <w:t>9月30日的UGV本地搜索中，UGV从启动即沿巡检路线行驶，目标候选仅用于后评估，不驱动路线。正式运行完成83.14 m巡检、600/600 RGB-D配对，产生171个红色车辆候选点，其中120个点距目标真值不超过5 m。这是单目标静态场景下的候选匹配代理指标，不是复杂交通中的总体检测精度。</w:t>
      </w:r>
    </w:p>
    <w:p>
      <w:pPr>
        <w:spacing w:line="276" w:lineRule="auto" w:after="100"/>
      </w:pPr>
      <w:r>
        <w:t>10月1日的E6验收统一了两端的帧号、CARLA世界坐标XYZ和时间戳格式。UAV对目标的中位定位误差约0.046 m，UGV约2.92 m，跨端候选误差中位3.09 m、P90 3.11 m；共同目标观测帧比例96.6%。结果支持后续消息选择，但也表明UGV近端候选更易受视角、遮挡和深度尺度影响。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504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candidate_alignment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0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05050"/>
          <w:sz w:val="17"/>
        </w:rPr>
        <w:t>图3 E6 候选定位和跨端坐标对齐误差。误差线从中位数延伸至P90，红色虚线为5 m验收上限。</w:t>
      </w:r>
    </w:p>
    <w:p>
      <w:pPr>
        <w:pStyle w:val="Heading1"/>
        <w:spacing w:before="200" w:after="100"/>
      </w:pPr>
      <w:r>
        <w:t>六 E7 持续通信与 A/B/C 路径影响</w:t>
      </w:r>
    </w:p>
    <w:p>
      <w:pPr>
        <w:spacing w:line="276" w:lineRule="auto" w:after="100"/>
      </w:pPr>
      <w:r>
        <w:t>E7采用配对随机种子1001、2001、3001。A组只按预设巡检路线；B组只使用UGV本地候选；C组使用UAV与UGV候选并按任务匹配、深度可靠性、时效性和时间连续性选择状态。单条消息TTL为1 s；没有新鲜消息时，系统撤销消息路线并回到巡检，不继续追踪过期目标。安全避障在三组中始终开启。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74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e7_abc_eff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4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05050"/>
          <w:sz w:val="17"/>
        </w:rPr>
        <w:t>图4 E7 A/B/C配对对照。左图为末时刻目标距离，误差线为3个种子的标准误；右图为偏离预设巡检路线的平均距离。</w:t>
      </w:r>
    </w:p>
    <w:p>
      <w:pPr>
        <w:spacing w:line="276" w:lineRule="auto" w:after="100"/>
      </w:pPr>
      <w:r>
        <w:t>正式ABC批次9/9组通过。A和B在“目标位于巡检路线之外”条件下的末时刻目标距离分别约71.41 m和71.41 m，说明UGV本地端没有把远处红色候选误认为可行动目标。C组平均末时刻距离约7.28 m，平均比A组减少约64.13 m；三种子均规划了UAV来源的目标路线，UGV碰撞数为0。B本地正对照中目标被UGV视野真正看到后，末时刻距离约7.9 m，证明B并非不能行动，而是只在本地证据足够时行动。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27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e7_seed1001_trajecto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05050"/>
          <w:sz w:val="17"/>
        </w:rPr>
        <w:t>图5 E7同一种子（1001）的目标距离轨迹。A/B保持巡检距离平台，C在收到UAV候选后明显接近目标。</w:t>
      </w:r>
    </w:p>
    <w:p>
      <w:pPr>
        <w:pStyle w:val="Heading1"/>
        <w:spacing w:before="200" w:after="100"/>
      </w:pPr>
      <w:r>
        <w:t>七 结论与当前边界</w:t>
      </w:r>
    </w:p>
    <w:p>
      <w:pPr>
        <w:spacing w:line="276" w:lineRule="auto" w:after="100"/>
      </w:pPr>
      <w:r>
        <w:t>当前最可靠的结论是：在固定Town10HD区域、静止目标、固定航线和受控干扰下，空地双端可以从RGB-D观测生成统一目标状态，经1秒TTL语义通信驱动UGV规划，并在消息失效后安全回到巡检路线。E7对照明确显示，UAV信息在UGV本地不可见时能够产生额外的路线影响和目标接近效果。</w:t>
      </w:r>
    </w:p>
    <w:p>
      <w:pPr>
        <w:spacing w:line="276" w:lineRule="auto" w:after="100"/>
      </w:pPr>
      <w:r>
        <w:t>当前不能声称的内容包括：开放词汇视觉语言理解已经完成；厢式车细粒度识别已经达到高准确率；颜色分类已具备真实道路泛化能力；动态避障已完全由视觉模型解决；无线丢包、带宽竞争、随机时延和能耗权衡已经验证；C组已经在所有环境下优于B组。</w:t>
      </w:r>
    </w:p>
    <w:p>
      <w:pPr>
        <w:pStyle w:val="Heading1"/>
        <w:spacing w:before="200" w:after="100"/>
      </w:pPr>
      <w:r>
        <w:t>八 下一步实验建议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008"/>
            <w:vAlign w:val="center"/>
            <w:shd w:fill="365F91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536"/>
            <w:vAlign w:val="center"/>
            <w:shd w:fill="365F91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实验任务</w:t>
            </w:r>
          </w:p>
        </w:tc>
        <w:tc>
          <w:tcPr>
            <w:tcW w:type="dxa" w:w="4320"/>
            <w:vAlign w:val="center"/>
            <w:shd w:fill="365F91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建议指标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把van-like启发式替换为专用车辆属性/重识别模型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车辆类别混淆矩阵、颜色Precision/Recall/F1、目标级误发率</w:t>
            </w:r>
          </w:p>
        </w:tc>
      </w:tr>
      <w:tr>
        <w:tc>
          <w:tcPr>
            <w:tcW w:type="dxa" w:w="1008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536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扩展E7通信对照到延迟、丢包和连续中断</w:t>
            </w:r>
          </w:p>
        </w:tc>
        <w:tc>
          <w:tcPr>
            <w:tcW w:type="dxa" w:w="4320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消息新鲜度、成功率、到达时间、路线回退时间、通信字节数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扩大目标位置、遮挡、天气和地图组合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均值、标准差、95%置信区间、失败类型分层统计</w:t>
            </w:r>
          </w:p>
        </w:tc>
      </w:tr>
      <w:tr>
        <w:tc>
          <w:tcPr>
            <w:tcW w:type="dxa" w:w="1008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4536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将安全控制从深度规则基线推进到检测+跟踪</w:t>
            </w:r>
          </w:p>
        </w:tc>
        <w:tc>
          <w:tcPr>
            <w:tcW w:type="dxa" w:w="4320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碰撞率、TTC、最小净空、误停率、恢复时间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建立统一论文图表和数据字典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每张图明确样本数、单位、误差定义、是否使用Oracle真值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附录 A 术语与数据边界</w:t>
      </w:r>
    </w:p>
    <w:p>
      <w:pPr>
        <w:spacing w:line="276" w:lineRule="auto" w:after="100"/>
      </w:pPr>
      <w:r>
        <w:t>Oracle表示仿真器提供的理想真值信息，用于S0闭环上界和实验后评价，不是感知模型。当前在线目标消息标记为oracle=false；但避障验收中的碰撞事件、actor轨迹和最小间距只用于后处理。E7中的“路线偏离”是UGV轨迹到实际执行的预设巡检路线的平面距离，不是路线规划误差。</w:t>
      </w:r>
    </w:p>
    <w:p>
      <w:pPr>
        <w:pStyle w:val="Heading1"/>
        <w:spacing w:before="200" w:after="100"/>
      </w:pPr>
      <w:r>
        <w:t>附录 B 可复核输出位置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c>
          <w:tcPr>
            <w:tcW w:type="dxa" w:w="2088"/>
            <w:vAlign w:val="center"/>
            <w:shd w:fill="365F91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7992"/>
            <w:vAlign w:val="center"/>
            <w:shd w:fill="365F91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路径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本报告图表</w:t>
            </w:r>
          </w:p>
        </w:tc>
        <w:tc>
          <w:tcPr>
            <w:tcW w:type="dxa" w:w="79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E:\Research\CityInspection_GOC\docs\figures\group_meeting_20260924_20261002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E1 RGB-D避障</w:t>
            </w:r>
          </w:p>
        </w:tc>
        <w:tc>
          <w:tcPr>
            <w:tcW w:type="dxa" w:w="7992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E:\CarlaAirData\CityInspection_GOC\e4_ugv_sensor_safety\20260929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E5 UGV本地搜索</w:t>
            </w:r>
          </w:p>
        </w:tc>
        <w:tc>
          <w:tcPr>
            <w:tcW w:type="dxa" w:w="79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E:\CarlaAirData\CityInspection_GOC\e5_ugv_patrol_search\20260930\formal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E6 候选对齐</w:t>
            </w:r>
          </w:p>
        </w:tc>
        <w:tc>
          <w:tcPr>
            <w:tcW w:type="dxa" w:w="7992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E:\CarlaAirData\CityInspection_GOC\e6_candidate_alignment\20261001\formal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E7 A/B/C正式批次</w:t>
            </w:r>
          </w:p>
        </w:tc>
        <w:tc>
          <w:tcPr>
            <w:tcW w:type="dxa" w:w="7992"/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E:\CarlaAirData\CityInspection_GOC\e7_revised_v2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统一重绘脚本</w:t>
            </w:r>
          </w:p>
        </w:tc>
        <w:tc>
          <w:tcPr>
            <w:tcW w:type="dxa" w:w="7992"/>
            <w:vAlign w:val="center"/>
            <w:shd w:fill="F4F7FA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E:\Research\CityInspection_GOC\scripts\generate_group_meeting_figures.py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4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城市巡检空地协同阶段性组会汇报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