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72"/>
          <w:szCs w:val="72"/>
        </w:rPr>
      </w:pPr>
      <w:r>
        <w:rPr>
          <w:rFonts w:cs="宋体"/>
          <w:b/>
          <w:sz w:val="72"/>
          <w:szCs w:val="72"/>
        </w:rPr>
        <w:t>实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验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报</w:t>
      </w:r>
      <w:r>
        <w:rPr>
          <w:rFonts w:eastAsia="Times New Roman"/>
          <w:b/>
          <w:sz w:val="72"/>
          <w:szCs w:val="72"/>
        </w:rPr>
        <w:t xml:space="preserve"> </w:t>
      </w:r>
      <w:r>
        <w:rPr>
          <w:rFonts w:cs="宋体"/>
          <w:b/>
          <w:sz w:val="72"/>
          <w:szCs w:val="72"/>
        </w:rPr>
        <w:t>告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</w:rPr>
      </w:pP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</w:rPr>
      </w:r>
      <w:r>
        <w:rPr>
          <w:rFonts w:eastAsia="楷体_GB2312;楷体"/>
          <w:sz w:val="28"/>
          <w:szCs w:val="28"/>
        </w:rPr>
      </w:r>
      <w:r>
        <w:rPr>
          <w:rFonts w:eastAsia="Times New Roman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</w:rPr>
      </w:r>
      <w:r>
        <w:rPr>
          <w:rFonts w:eastAsia="楷体_GB2312;楷体"/>
          <w:sz w:val="28"/>
          <w:szCs w:val="28"/>
          <w:u w:val="single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sz w:val="24"/>
        </w:rPr>
      </w:r>
      <w:r>
        <w:rPr>
          <w:sz w:val="24"/>
        </w:rPr>
        <w:t>班  级  24数科二班       学号  202414870220       姓名  国兴烨</w:t>
      </w:r>
    </w:p>
    <w:p>
      <w:pPr>
        <w:pStyle w:val="Normal"/>
        <w:spacing w:lineRule="exact" w:line="420"/>
        <w:rPr>
          <w:rFonts w:eastAsia="楷体_GB2312;楷体"/>
          <w:sz w:val="28"/>
          <w:szCs w:val="28"/>
          <w:lang w:val="en-US" w:eastAsia="zh-CN"/>
        </w:rPr>
      </w:pP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lang w:val="en-US" w:eastAsia="zh-CN"/>
        </w:rPr>
      </w:r>
      <w:r>
        <w:rPr>
          <w:rFonts w:eastAsia="楷体_GB2312;楷体"/>
          <w:sz w:val="28"/>
          <w:szCs w:val="28"/>
          <w:u w:val="single"/>
          <w:lang w:val="en-US" w:eastAsia="zh-CN"/>
        </w:rPr>
      </w:r>
      <w:r>
        <w:rPr>
          <w:rFonts w:eastAsia="楷体_GB2312;楷体"/>
          <w:sz w:val="28"/>
          <w:szCs w:val="28"/>
          <w:u w:val="none"/>
          <w:lang w:val="en-US" w:eastAsia="zh-CN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sz w:val="24"/>
        </w:rPr>
        <w:t>实验日期  2026年10月24日        第  1  次报告</w:t>
      </w:r>
    </w:p>
    <w:tbl>
      <w:tblPr>
        <w:tblW w:w="85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>
        <w:trPr>
          <w:trHeight w:val="398" w:hRule="atLeast"/>
        </w:trPr>
        <w:tc>
          <w:tcPr>
            <w:tcW w:w="8572" w:type="dxa"/>
            <w:gridSpan w:val="2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课程名称：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NoSQL数据库技术（MongoDB）</w:t>
            </w:r>
          </w:p>
        </w:tc>
      </w:tr>
      <w:tr>
        <w:trPr>
          <w:trHeight w:val="404" w:hRule="atLeast"/>
        </w:trPr>
        <w:tc>
          <w:tcPr>
            <w:tcW w:w="8572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实验题目：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图书情报检索与统计平台</w:t>
            </w:r>
          </w:p>
        </w:tc>
      </w:tr>
      <w:tr>
        <w:trPr>
          <w:trHeight w:val="5421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exact" w:line="420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1. 掌握 MongoDB 的安装部署与环境配置方法；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2. 掌握数据库、集合及文档的创建，能够导入外部 JSON 数据并核对文档数量；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3. 熟练运用 find 与聚合管道完成图书检索、更新、删除和统计分析；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4. 掌握索引的建立、查询性能对比与数据库访问控制（用户权限）；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5. 能够基于 PyMongo 开发并运行一个图书情报检索与统计的菜单式应用程序。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操作系统：Ubuntu 22.04（x86_64）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数据库：MongoDB Community Server 7.0.45，数据目录 /data/mongodb/library，端口 27017，启用访问控制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开发语言：Python 3.12，驱动 PyMongo 4.19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 w:val="0"/>
                <w:sz w:val="24"/>
              </w:rPr>
              <w:t>工具：mongosh 命令行、mongoimport / mongoexport 数据工具、MongoDB Compass 图形化工具</w:t>
            </w:r>
          </w:p>
        </w:tc>
      </w:tr>
      <w:tr>
        <w:trPr>
          <w:trHeight w:val="475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  <w:t>实验内容与实验步骤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  <w:lang w:val="en-US" w:eastAsia="zh-CN"/>
              </w:rPr>
              <w:t>和结果</w:t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  <w:p>
            <w:pPr>
              <w:pStyle w:val="Normal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一、项目概述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本实训基于 MongoDB 实现“图书情报检索与统计平台”，围绕图书、读者、借阅三类核心数据，覆盖数据建模、检索、统计、权限管理与应用程序开发全流程。数据来源为 books.txt（20 条）、readers.txt（16 条）、borrow_logs.txt（66 条）。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二、环境与数据建模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1. 环境部署（任务一）：安装 MongoDB 7.0.45 并以自定义数据目录 /data/mongodb/library、端口 27017 启动服务，验证 mongod --version 与端口监听正常。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2. 数据建模（任务二）：创建 library 数据库及 books、readers、borrow_logs、category_stats 四个集合；创建固定集合 book_logs（size=1MB、max=1000）、时间序列集合 borrow_logs_ts（timeField=borrow_date、granularity=hours）、视图 book_in_stock（$match stock&gt;0）。用 mongoimport 导入三个数据文件并核对数量（books 20、readers 16、borrow_logs 66）。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3. 设计权衡：时间序列集合不支持按业务字段进行记录级更新/删除，与借阅归还、逾期清理冲突，故承载借阅业务的 borrow_logs 采用普通集合；borrow_logs 即为时间序列集合（timeField=borrow_date, granularity=hours, expireAfterSeconds=157680000）。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927234"/>
                  <wp:docPr id="1000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2-数据建模与填充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927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图2  数据建模与数据导入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99584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1-环境部署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99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图1  环境部署与MongoDB启动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三、功能实现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1. 检索功能（任务三）：Q1-Q16 覆盖条件查询（$gt/$lt/$ne/$in）、组合查询（$and/$or）、正则与数组查询（$regex/$all/$size/$exists/$type）、排序、分页、投影与 distinct。结果示例：Q1 定价&gt;80 共 7 本，Q2 库存&lt;10 共 8 本，Q7 评分&gt;4 且计算机类 7 本，Q14 评分排行前 5。U1-U4 使用 $inc/$mul/$currentDate/$unset 完成库存调整、折扣、时间戳与字段删除；D1-D3 使用 deleteOne/deleteMany/replaceOne 完成借阅清理与读者信息替换。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3343680"/>
                  <wp:docPr id="100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3-检索功能实现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343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图3  检索功能实现（Q1-Q16）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2. 统计与权限（任务四）：A1-A9 聚合管道实现分类统计、出版社 Top-N（$topN）、销售额（$multiply/$round）、借阅趋势（$dateToString）、读者借阅排行与学院排行（$lookup）、结果写入（$merge）。I1-I5 建立唯一索引 isbn、单键、多键、复合索引，explain 对比显示索引查询仅扫描 1 个文档，而全表扫描需扫描 20 个文档。S1-S3 创建只读账号 libReader 与读写账号 libWriter，启用访问控制后验证只读账号写操作被拒绝（Unauthorized）。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266976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4-统计分析与权限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9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图4  统计分析与权限管理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3. 应用程序（任务五）：编写 mongodb_connect.py、book_manager.py、reader_manager.py、borrow_manager.py、stat_manager.py、main.py 六个源文件，实现菜单式程序，覆盖图书增删改查、条件检索、评分排行、读者统计、借阅登记/归还、分类统计与借阅趋势，运行测试全部通过。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995840"/>
                  <wp:docPr id="1004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5-应用程序开发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99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图5  应用程序开发运行</w:t>
            </w:r>
          </w:p>
          <w:p>
            <w:pPr>
              <w:spacing w:before="0" w:after="80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四、问题与核对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1. 时间序列集合不支持按业务字段更新：归还处理 update_many 报错，经查证时间序列集合仅支持按 metaField 批量操作；将承载借阅业务的 borrow_logs 改为普通集合并另建时间序列演示集合解决。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2. 时间序列 TTL 自动清理历史数据：设置 expireAfterSeconds 后早于阈值（当前时间减过期时长）的借阅记录被自动清除；实训将过期时间改为 5 年（expireAfterSeconds=157680000）以保证数据完整。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3. 唯一索引冲突：插入重复 ISBN 触发 E11000 错误，验证唯一索引生效。</w:t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4. 核对：使用 Compass 连接参数（mongodb://libWriter@127.0.0.1:27017/library，认证库 library）核对 Q1/Q2/Q7/Q14、A1 及视图 book_in_stock 结果，与命令行完全一致；导出 category_stats（5 条）、books（20 条）数据文件。</w:t>
            </w:r>
          </w:p>
          <w:p>
            <w:pPr>
              <w:spacing w:before="1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771200"/>
                  <wp:docPr id="1005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截图6-验收与导出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图6  图形化验收与数据导出</w:t>
            </w:r>
          </w:p>
        </w:tc>
      </w:tr>
      <w:tr>
        <w:trPr>
          <w:trHeight w:val="600" w:hRule="atLeast"/>
        </w:trPr>
        <w:tc>
          <w:tcPr>
            <w:tcW w:w="47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</w:rPr>
            </w:pPr>
            <w:r>
              <w:rPr>
                <w:rFonts w:eastAsia="楷体_GB2312;楷体"/>
                <w:sz w:val="24"/>
                <w:szCs w:val="20"/>
              </w:rPr>
            </w:r>
          </w:p>
        </w:tc>
        <w:tc>
          <w:tcPr>
            <w:tcW w:w="80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0"/>
                <w:lang w:val="en-US" w:eastAsia="zh-CN"/>
              </w:rPr>
            </w:pPr>
            <w:r>
              <w:rPr>
                <w:rFonts w:eastAsia="楷体_GB2312;楷体"/>
                <w:sz w:val="24"/>
                <w:szCs w:val="20"/>
                <w:lang w:val="en-US" w:eastAsia="zh-CN"/>
              </w:rPr>
            </w:r>
          </w:p>
        </w:tc>
      </w:tr>
      <w:tr>
        <w:trPr>
          <w:trHeight w:val="13212" w:hRule="atLeast"/>
        </w:trPr>
        <w:tc>
          <w:tcPr>
            <w:tcW w:w="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楷体_GB2312;楷体" w:hAnsi="楷体_GB2312;楷体" w:eastAsia="楷体_GB2312;楷体" w:cs="华文楷体"/>
                <w:sz w:val="24"/>
                <w:lang w:val="sv-SE"/>
              </w:rPr>
            </w:pPr>
            <w:r>
              <w:rPr>
                <w:rFonts w:ascii="楷体_GB2312;楷体" w:hAnsi="楷体_GB2312;楷体" w:cs="华文楷体" w:eastAsia="楷体_GB2312;楷体"/>
                <w:sz w:val="24"/>
                <w:lang w:val="en-US" w:eastAsia="zh-CN"/>
              </w:rPr>
              <w:t>心得体会</w:t>
            </w:r>
          </w:p>
        </w:tc>
        <w:tc>
          <w:tcPr>
            <w:tcW w:w="809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楷体_GB2312;楷体" w:hAnsi="楷体_GB2312;楷体" w:eastAsia="华文中宋" w:cs="华文楷体"/>
                <w:sz w:val="24"/>
                <w:lang w:val="sv-SE"/>
              </w:rPr>
            </w:pPr>
            <w:r>
              <w:rPr>
                <w:rFonts w:eastAsia="华文中宋" w:cs="华文楷体" w:ascii="楷体_GB2312;楷体" w:hAnsi="楷体_GB2312;楷体"/>
                <w:sz w:val="24"/>
                <w:lang w:val="sv-SE"/>
              </w:rPr>
            </w:r>
          </w:p>
          <w:p>
            <w:pPr>
              <w:spacing w:before="0" w:after="80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通过本次实训完整掌握了 MongoDB 从部署、建模、检索、统计到应用开发的闭环流程，深刻理解了文档模型在灵活字段与快速迭代上的优势。特别加深了对时间序列集合更新限制、TTL 过期策略、索引优化与访问控制的认识；过程中多次通过报错驱动定位问题（如时间序列更新限制、认证连接串转义、唯一索引冲突），提升了独立排查与解决问题的能力。</w:t>
            </w:r>
          </w:p>
        </w:tc>
      </w:tr>
    </w:tbl>
    <w:p>
      <w:pPr>
        <w:pStyle w:val="Normal"/>
        <w:ind w:firstLine="420"/>
        <w:rPr>
          <w:rFonts w:ascii="宋体" w:hAnsi="宋体" w:cs="宋体"/>
        </w:rPr>
      </w:pPr>
      <w:r>
        <w:rPr>
          <w:rFonts w:ascii="宋体" w:hAnsi="宋体" w:cs="宋体"/>
        </w:rPr>
        <w:t>注</w:t>
      </w:r>
      <w:r>
        <w:rPr>
          <w:rFonts w:ascii="宋体" w:hAnsi="宋体" w:cs="宋体"/>
          <w:lang w:val="sv-SE"/>
        </w:rPr>
        <w:t>：</w:t>
      </w:r>
      <w:r>
        <w:rPr>
          <w:rFonts w:ascii="宋体" w:hAnsi="宋体" w:cs="宋体"/>
        </w:rPr>
        <w:t>如果填写内容超出表格</w:t>
      </w:r>
      <w:r>
        <w:rPr>
          <w:rFonts w:ascii="宋体" w:hAnsi="宋体" w:cs="宋体"/>
          <w:lang w:val="sv-SE"/>
        </w:rPr>
        <w:t>，</w:t>
      </w:r>
      <w:r>
        <w:rPr>
          <w:rFonts w:ascii="宋体" w:hAnsi="宋体" w:cs="宋体"/>
        </w:rPr>
        <w:t>自行添加附页。</w:t>
      </w:r>
    </w:p>
    <w:p>
      <w:pPr>
        <w:pStyle w:val="Normal"/>
        <w:ind w:firstLine="420"/>
        <w:rPr>
          <w:rFonts w:ascii="宋体" w:hAnsi="宋体" w:cs="宋体"/>
          <w:lang w:val="sv-SE"/>
        </w:rPr>
      </w:pPr>
      <w:r>
        <w:rPr>
          <w:rFonts w:cs="宋体" w:ascii="宋体" w:hAnsi="宋体"/>
          <w:lang w:val="sv-S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410.7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0"/>
    </w:rPr>
  </w:style>
  <w:style w:type="paragraph" w:styleId="2">
    <w:name w:val="正文文本缩进 2"/>
    <w:basedOn w:val="Normal"/>
    <w:qFormat/>
    <w:pPr>
      <w:spacing w:lineRule="exact" w:line="320"/>
      <w:ind w:firstLine="573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1">
    <w:name w:val="正文-1"/>
    <w:qFormat/>
    <w:pPr>
      <w:widowControl/>
      <w:bidi w:val="0"/>
      <w:spacing w:lineRule="atLeast" w:line="330" w:before="120" w:after="120"/>
      <w:jc w:val="center"/>
    </w:pPr>
    <w:rPr>
      <w:rFonts w:ascii="黑体" w:hAnsi="黑体" w:eastAsia="黑体" w:cs="Times New Roman"/>
      <w:color w:val="auto"/>
      <w:sz w:val="18"/>
      <w:szCs w:val="21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2022-12-01T14:37:00Z</dcterms:created>
  <dc:creator>zhongwei</dc:creator>
  <dc:description/>
  <dc:language>en-US</dc:language>
  <cp:lastModifiedBy>lzj</cp:lastModifiedBy>
  <dcterms:modified xsi:type="dcterms:W3CDTF">2026-08-21T15:30:13Z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6ADD12039B72436A8BC766D8B39D01C2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eyJoZGlkIjoiNzJiZjI5MjNjZmZhMjNhYjRiZDMwNGU0YTFlNjIzMGEiLCJ1c2VySWQiOiI0NDE4NjE5ODEifQ==</vt:lpwstr>
  </property>
  <property fmtid="{D5CDD505-2E9C-101B-9397-08002B2CF9AE}" pid="5" name="__Grammarly_42___1">
    <vt:lpwstr>__Grammarly_42___1</vt:lpwstr>
  </property>
  <property fmtid="{D5CDD505-2E9C-101B-9397-08002B2CF9AE}" pid="6" name="__Grammarly_42____i">
    <vt:lpwstr>__Grammarly_42____i</vt:lpwstr>
  </property>
</Properties>
</file>