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3E1754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  <w:r w:rsidRPr="00FD76F5"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  <w:t xml:space="preserve">City and Municipal-level Small </w:t>
      </w:r>
      <w:bookmarkStart w:id="0" w:name="_GoBack"/>
      <w:bookmarkEnd w:id="0"/>
      <w:r w:rsidRPr="00FD76F5"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  <w:t>Area Poverty Estimates</w:t>
      </w:r>
    </w:p>
    <w:p w:rsidR="007C21C4" w:rsidRPr="007C21C4" w:rsidRDefault="007C21C4" w:rsidP="007C21C4">
      <w:pPr>
        <w:spacing w:line="480" w:lineRule="auto"/>
        <w:rPr>
          <w:rFonts w:ascii="Arial" w:hAnsi="Arial" w:cs="Arial"/>
          <w:i/>
          <w:color w:val="262626" w:themeColor="text1" w:themeTint="D9"/>
          <w:sz w:val="24"/>
          <w:szCs w:val="24"/>
          <w:shd w:val="clear" w:color="auto" w:fill="FFFFFF"/>
        </w:rPr>
      </w:pPr>
      <w:r w:rsidRPr="007C21C4">
        <w:rPr>
          <w:rFonts w:ascii="Arial" w:hAnsi="Arial" w:cs="Arial"/>
          <w:i/>
          <w:color w:val="262626" w:themeColor="text1" w:themeTint="D9"/>
          <w:sz w:val="24"/>
          <w:szCs w:val="24"/>
          <w:shd w:val="clear" w:color="auto" w:fill="FFFFFF"/>
        </w:rPr>
        <w:t>Based on: https://data.world/open-crisis/ac853860-8c99-4499-80eb-984ddd7c1149</w:t>
      </w:r>
    </w:p>
    <w:p w:rsidR="00FD76F5" w:rsidRPr="007C21C4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Submitted by: 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Vincent Manalo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BSIT 2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Submitted to: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 xml:space="preserve">Mr. </w:t>
      </w:r>
      <w:proofErr w:type="spellStart"/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Lenuel</w:t>
      </w:r>
      <w:proofErr w:type="spellEnd"/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proofErr w:type="spellStart"/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Betita</w:t>
      </w:r>
      <w:proofErr w:type="spellEnd"/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ITS 211 Subject Advisor</w:t>
      </w:r>
    </w:p>
    <w:p w:rsidR="00F21018" w:rsidRDefault="00F21018">
      <w:pP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sectPr w:rsidR="00F210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21018" w:rsidRPr="00F21018" w:rsidRDefault="00F44354" w:rsidP="00E7611F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 xml:space="preserve">SECTION 1. </w:t>
      </w:r>
      <w:r w:rsidRPr="00F21018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SUMMARY</w:t>
      </w:r>
    </w:p>
    <w:p w:rsidR="002702E0" w:rsidRDefault="00F21018" w:rsidP="008D296B">
      <w:pPr>
        <w:spacing w:line="480" w:lineRule="auto"/>
        <w:ind w:firstLine="567"/>
        <w:jc w:val="both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This research contains the interpretation of the researcher using the</w:t>
      </w:r>
      <w:r w:rsidR="00E7611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“Small Area Poverty Estimates in the Philippines</w:t>
      </w:r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2009</w:t>
      </w:r>
      <w:r w:rsidR="00E7611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gathered from “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data.world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”.</w:t>
      </w:r>
      <w:r w:rsid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It consist </w:t>
      </w:r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of 19</w:t>
      </w:r>
      <w:r w:rsid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regions which are: </w:t>
      </w:r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NCR, Region I, Region II, Region III, Region IV-A, Region IV-B, Region V, Region VI, Region VII, Region VIII, Region IX, Region X, Region XI, Region XII, ARMM, Sulu, </w:t>
      </w:r>
      <w:proofErr w:type="spellStart"/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Tawi-tawi</w:t>
      </w:r>
      <w:proofErr w:type="spellEnd"/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, and </w:t>
      </w:r>
      <w:proofErr w:type="spellStart"/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Caraga</w:t>
      </w:r>
      <w:proofErr w:type="spellEnd"/>
      <w:r w:rsidR="00F42916" w:rsidRP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.</w:t>
      </w:r>
      <w:r w:rsidR="00E7611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With the help of the programming language, Python, the data was plotted into 6 different graphs</w:t>
      </w:r>
      <w:r w:rsid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to interpret poverty incidence of each city/municipality. The poverty incidence is the </w:t>
      </w:r>
      <w:r w:rsidR="008D296B" w:rsidRP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measure of the proportion of families or individuals who are in poverty</w:t>
      </w:r>
      <w:r w:rsidR="00E7611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.</w:t>
      </w:r>
      <w:r w:rsid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Here is the summary of the data:</w:t>
      </w:r>
    </w:p>
    <w:p w:rsidR="00BE185F" w:rsidRDefault="00BE185F" w:rsidP="008D296B">
      <w:pPr>
        <w:spacing w:line="480" w:lineRule="auto"/>
        <w:ind w:firstLine="567"/>
        <w:jc w:val="both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42916" w:rsidRPr="00BE185F" w:rsidRDefault="002702E0" w:rsidP="00F42916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Figure 1: The Poverty Incidence of the Cities/Municipalities of each Regions in the </w:t>
      </w:r>
      <w:r w:rsidR="00BE185F"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Philippines</w:t>
      </w:r>
    </w:p>
    <w:p w:rsidR="002702E0" w:rsidRDefault="002702E0" w:rsidP="00F42916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2702E0">
        <w:rPr>
          <w:rFonts w:ascii="Arial" w:hAnsi="Arial" w:cs="Arial"/>
          <w:noProof/>
          <w:color w:val="262626" w:themeColor="text1" w:themeTint="D9"/>
          <w:sz w:val="24"/>
          <w:szCs w:val="24"/>
          <w:shd w:val="clear" w:color="auto" w:fill="FFFFFF"/>
          <w:lang w:val="en-US"/>
        </w:rPr>
        <w:drawing>
          <wp:inline distT="0" distB="0" distL="0" distR="0" wp14:anchorId="72CF85C0" wp14:editId="43719D4B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5F" w:rsidRDefault="008D296B" w:rsidP="00BE185F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The Y-axis</w:t>
      </w:r>
      <w:r w:rsidR="00203FE9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in the bubble graph above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is the poverty incidence unit while the X-axis are the regions. The dots represents the cities and municipalities of each region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lastRenderedPageBreak/>
        <w:t xml:space="preserve">and are plotted according to their poverty incidence. The </w:t>
      </w:r>
      <w:r w:rsidRP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Cordillera Administrative Region (CAR)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and Region IX have the highest rate while NCR will have the minimum rate and minimum average.</w:t>
      </w:r>
    </w:p>
    <w:p w:rsidR="00BE185F" w:rsidRDefault="00BE185F" w:rsidP="00BE185F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44354" w:rsidRDefault="00F44354" w:rsidP="00BE185F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 xml:space="preserve">SECTION 2. </w:t>
      </w:r>
      <w:r w:rsidRPr="00F44354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 xml:space="preserve">CORDILLERA ADMINISTRATIVE REGION </w:t>
      </w:r>
    </w:p>
    <w:p w:rsidR="002702E0" w:rsidRDefault="00BE185F" w:rsidP="00BE185F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Figure 2. </w:t>
      </w:r>
      <w:r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The Poverty Incidence of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the Province of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Abra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in </w:t>
      </w:r>
      <w:r w:rsidR="00F44354" w:rsidRP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Cordillera Administrative Region</w:t>
      </w:r>
    </w:p>
    <w:p w:rsidR="00BE185F" w:rsidRDefault="00BE185F" w:rsidP="00BE185F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drawing>
          <wp:inline distT="0" distB="0" distL="0" distR="0" wp14:anchorId="51B534D6" wp14:editId="6D7DD45D">
            <wp:extent cx="5732145" cy="32677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5F" w:rsidRDefault="00BE185F" w:rsidP="00BE185F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The Y-axis </w:t>
      </w:r>
      <w:r w:rsidR="00203FE9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in the </w:t>
      </w:r>
      <w:r w:rsidR="00203FE9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line</w:t>
      </w:r>
      <w:r w:rsidR="00203FE9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graph above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is the poverty incidence unit while the X-axis are the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cities and municipalities of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Abra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According to the table above,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Bucloc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highest rate while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Bangued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has the lowest.</w:t>
      </w: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>SECTION 3. NATIONAL CAPITAL REGION</w:t>
      </w: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Figure 3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</w:t>
      </w:r>
      <w:r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The Poverty Incidence of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the </w:t>
      </w:r>
      <w:proofErr w:type="gram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1</w:t>
      </w:r>
      <w:r w:rsidRP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vertAlign w:val="superscript"/>
        </w:rPr>
        <w:t>st</w:t>
      </w:r>
      <w:proofErr w:type="gram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District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in </w:t>
      </w:r>
      <w:r w:rsidRP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Cordillera Administrative Region</w:t>
      </w: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F44354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drawing>
          <wp:inline distT="0" distB="0" distL="0" distR="0" wp14:anchorId="0D72D632" wp14:editId="6C0AFDA7">
            <wp:extent cx="5732145" cy="32480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54" w:rsidRDefault="00F44354" w:rsidP="00F44354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The Y-axis </w:t>
      </w:r>
      <w:r w:rsidR="00203FE9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in the </w:t>
      </w:r>
      <w:r w:rsidR="00203FE9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bar</w:t>
      </w:r>
      <w:r w:rsidR="00203FE9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graph above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is the poverty incidence unit while the X-axis are the cities and municipalities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in the </w:t>
      </w:r>
      <w:proofErr w:type="gram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1</w:t>
      </w:r>
      <w:r w:rsidRP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vertAlign w:val="superscript"/>
        </w:rPr>
        <w:t>st</w:t>
      </w:r>
      <w:proofErr w:type="gram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District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According to the table above,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the Port Area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highest rate while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Binondo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has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the lowest.</w:t>
      </w: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>SECTION 4. REGION I</w:t>
      </w: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Figure 4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</w:t>
      </w:r>
      <w:r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The Poverty Incidence of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the Province of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Ilocos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Norte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in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Region 1</w:t>
      </w: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F44354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drawing>
          <wp:inline distT="0" distB="0" distL="0" distR="0" wp14:anchorId="538AF305" wp14:editId="0662B759">
            <wp:extent cx="5732145" cy="32423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E9" w:rsidRDefault="00203FE9" w:rsidP="00203FE9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The Y-axis in the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scatter plot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graph above is the poverty incidence unit while the X-axis are the cities and municipalities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of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Ilocos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Norte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According to the table above,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Dingras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highest rate while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San Nicolas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lowest.</w:t>
      </w: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>SECTION 5. REGION II</w:t>
      </w:r>
    </w:p>
    <w:p w:rsidR="00F44354" w:rsidRDefault="00203FE9" w:rsidP="00F44354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Figure 5</w:t>
      </w:r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</w:t>
      </w:r>
      <w:r w:rsidR="00F44354"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The Poverty Incidence of</w:t>
      </w:r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the Province of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Batanes</w:t>
      </w:r>
      <w:proofErr w:type="spellEnd"/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in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Region 2</w:t>
      </w:r>
    </w:p>
    <w:p w:rsidR="00F44354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203FE9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drawing>
          <wp:inline distT="0" distB="0" distL="0" distR="0" wp14:anchorId="5C3A0682" wp14:editId="632B2279">
            <wp:extent cx="5732145" cy="32035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E9" w:rsidRDefault="00203FE9" w:rsidP="00203FE9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The Y-axis in the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area chart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above is the poverty incidence unit while the X-axis are the cities and municipalities of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Batanes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According to the table above,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Itbayat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highest rate while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Basco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lowest.</w:t>
      </w: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203FE9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</w:p>
    <w:p w:rsidR="00F44354" w:rsidRDefault="00F44354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>SECTION 6. REGION III</w:t>
      </w:r>
    </w:p>
    <w:p w:rsidR="00F44354" w:rsidRDefault="00203FE9" w:rsidP="00F44354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Figure 6</w:t>
      </w:r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</w:t>
      </w:r>
      <w:r w:rsidR="00F44354" w:rsidRPr="00BE185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The Poverty Incidence of</w:t>
      </w:r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the Province of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Bataan</w:t>
      </w:r>
      <w:r w:rsidR="00F44354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in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Region III</w:t>
      </w:r>
    </w:p>
    <w:p w:rsidR="00F44354" w:rsidRDefault="00203FE9" w:rsidP="00F44354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203FE9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drawing>
          <wp:inline distT="0" distB="0" distL="0" distR="0" wp14:anchorId="06F7D4C6" wp14:editId="0B84EF53">
            <wp:extent cx="5732145" cy="32556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5F" w:rsidRDefault="00203FE9" w:rsidP="00203FE9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The Y-axis in the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error bar graph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above is the poverty incidence unit while the X-axis are the cities and municipalities of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Bataan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The red lines are the Standard Error (SE) in the data gathered.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According to the table above,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Bucloc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highest rate while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Bangued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has the lowest.</w:t>
      </w:r>
    </w:p>
    <w:p w:rsidR="00203FE9" w:rsidRDefault="00203FE9" w:rsidP="00203FE9">
      <w:pPr>
        <w:spacing w:line="480" w:lineRule="auto"/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203FE9" w:rsidRPr="007C21C4" w:rsidRDefault="00203FE9" w:rsidP="007C21C4">
      <w:pPr>
        <w:spacing w:line="480" w:lineRule="auto"/>
        <w:rPr>
          <w:rFonts w:ascii="Arial" w:hAnsi="Arial" w:cs="Arial"/>
          <w:i/>
          <w:color w:val="262626" w:themeColor="text1" w:themeTint="D9"/>
          <w:sz w:val="24"/>
          <w:szCs w:val="24"/>
          <w:shd w:val="clear" w:color="auto" w:fill="FFFFFF"/>
        </w:rPr>
      </w:pPr>
      <w:r w:rsidRPr="007C21C4">
        <w:rPr>
          <w:rFonts w:ascii="Arial" w:hAnsi="Arial" w:cs="Arial"/>
          <w:i/>
          <w:color w:val="262626" w:themeColor="text1" w:themeTint="D9"/>
          <w:sz w:val="24"/>
          <w:szCs w:val="24"/>
          <w:shd w:val="clear" w:color="auto" w:fill="FFFFFF"/>
        </w:rPr>
        <w:t>Based on: https://data.world/open-crisis/ac853860-8c99-4499-80eb-984ddd7c1149</w:t>
      </w:r>
    </w:p>
    <w:sectPr w:rsidR="00203FE9" w:rsidRPr="007C21C4" w:rsidSect="008D29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7"/>
    <w:rsid w:val="00107017"/>
    <w:rsid w:val="00203FE9"/>
    <w:rsid w:val="002702E0"/>
    <w:rsid w:val="003E1754"/>
    <w:rsid w:val="007C21C4"/>
    <w:rsid w:val="008D296B"/>
    <w:rsid w:val="00BE185F"/>
    <w:rsid w:val="00E7611F"/>
    <w:rsid w:val="00F21018"/>
    <w:rsid w:val="00F42916"/>
    <w:rsid w:val="00F44354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5B50"/>
  <w15:chartTrackingRefBased/>
  <w15:docId w15:val="{81AAA61F-E08E-440A-8188-6BCD3026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MISPC</dc:creator>
  <cp:keywords/>
  <dc:description/>
  <cp:lastModifiedBy>Vincent Manalo</cp:lastModifiedBy>
  <cp:revision>4</cp:revision>
  <dcterms:created xsi:type="dcterms:W3CDTF">2024-01-13T02:48:00Z</dcterms:created>
  <dcterms:modified xsi:type="dcterms:W3CDTF">2024-01-13T11:10:00Z</dcterms:modified>
</cp:coreProperties>
</file>