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实验目的</w:t>
      </w:r>
    </w:p>
    <w:p>
      <w:r>
        <w:t>本批次实验系统考察有机无机混合钙钛矿薄膜的结晶工艺窗口，为后续模组放大提供工艺参数依据。</w:t>
      </w:r>
    </w:p>
    <w:p>
      <w:r>
        <w:t>实验围绕前驱体配比、退火曲线与反溶剂滴加时机三个变量展开，共设计 24 组对照。</w:t>
      </w:r>
    </w:p>
    <w:p>
      <w:pPr>
        <w:pStyle w:val="Heading2"/>
      </w:pPr>
      <w:r>
        <w:t>前驱体配制</w:t>
      </w:r>
    </w:p>
    <w:p>
      <w:r>
        <w:t>标准配方中 PbI2 与 FAI 的前驱体摩尔比固定为 1.32 : 1，溶剂为 DMF 与 DMSO 的四比一混合体系。</w:t>
      </w:r>
    </w:p>
    <w:p>
      <w:r>
        <w:t>前驱体溶液在 60 摄氏度下搅拌 2 小时后经 0.22 微米 PTFE 滤头过滤，静置脱泡 30 分钟。</w:t>
      </w:r>
    </w:p>
    <w:p>
      <w:r>
        <w:t>添加 0.35 摩尔百分比的 MACl 添加剂以改善薄膜的横向结晶取向。</w:t>
      </w:r>
    </w:p>
    <w:p>
      <w:pPr>
        <w:pStyle w:val="Heading2"/>
      </w:pPr>
      <w:r>
        <w:t>薄膜制备与退火</w:t>
      </w:r>
    </w:p>
    <w:p>
      <w:r>
        <w:t>旋涂转速为 4000 转每分钟，加速时间 3 秒，旋涂进行到第 18 秒时滴加氯苯反溶剂。</w:t>
      </w:r>
    </w:p>
    <w:p>
      <w:r>
        <w:t>薄膜在 105 摄氏度下退火 23 分钟，升温速率统一为每秒 5 摄氏度。</w:t>
      </w:r>
    </w:p>
    <w:p>
      <w:r>
        <w:t>退火气氛对结晶质量影响显著：氮气氛围样品的晶粒尺寸比干燥空气氛围大 22%。</w:t>
      </w:r>
    </w:p>
    <w:p>
      <w:pPr>
        <w:pStyle w:val="Heading2"/>
      </w:pPr>
      <w:r>
        <w:t>器件性能</w:t>
      </w:r>
    </w:p>
    <w:p>
      <w:r>
        <w:t>冠军器件的光电转换效率达到 25.1%，开路电压 1.18 伏，短路电流密度 26.2 毫安每平方厘米。</w:t>
      </w:r>
    </w:p>
    <w:p>
      <w:r>
        <w:t>批次 B-17 的深能级缺陷密度经热导纳谱测得为 3.2 乘以 10 的 15 次方每立方厘米，是所有批次中最低的。</w:t>
      </w:r>
    </w:p>
    <w:p>
      <w:r>
        <w:t>未封装器件在相对湿度 30% 环境下放置 500 小时后仍保持初始效率的 87%。</w:t>
      </w:r>
    </w:p>
    <w:p>
      <w:pPr>
        <w:pStyle w:val="Heading2"/>
      </w:pPr>
      <w:r>
        <w:t>问题与改进</w:t>
      </w:r>
    </w:p>
    <w:p>
      <w:r>
        <w:t>本批次出现两片基板的薄膜针孔缺陷，追溯记录显示与旋涂湿度尖峰（当日 15 时湿度 62%）相关。</w:t>
      </w:r>
    </w:p>
    <w:p>
      <w:r>
        <w:t>下一批次的改进措施包括加装除湿联锁与将反溶剂滴加时机从 18 秒提前至 15 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