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向量数据库物理隔离方案</w:t>
      </w:r>
    </w:p>
    <w:p>
      <w:r>
        <w:t>在多租户 RAG 系统中，每个用户应拥有独立的向量 Collection。命名规则建议为 col_user_{user_id}。检索时只打开当前用户的 Collection，从物理层面杜绝跨用户数据泄露。</w:t>
      </w:r>
    </w:p>
    <w:p>
      <w:pPr>
        <w:pStyle w:val="Heading2"/>
      </w:pPr>
      <w:r>
        <w:t>删除语义</w:t>
      </w:r>
    </w:p>
    <w:p>
      <w:r>
        <w:t>删除文档时必须同步清理三处数据：MySQL 元数据、物理文件、以及向量库中该文档的全部切片。向量切片的 Metadata 必须包含 doc_id、user_id、file_name、page、chunk_index 五要素，否则无法按文档定位并清理残留向量。</w:t>
      </w:r>
    </w:p>
    <w:p>
      <w:r>
        <w:t>JWT 鉴权应携带 token_version。用户修改密码后 token_version 加一，旧 Token 立即失效。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