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b/>
          <w:color w:val="003366"/>
          <w:sz w:val="36"/>
        </w:rPr>
        <w:t>MOTOR INSURANCE TARIFF AND ADD-ON COVERS</w:t>
        <w:br/>
        <w:t>PRIVATE CAR GUIDELINES</w:t>
      </w:r>
    </w:p>
    <w:p>
      <w:pPr>
        <w:pStyle w:val="Heading1"/>
        <w:keepNext/>
        <w:spacing w:before="240" w:after="120"/>
      </w:pPr>
      <w:r>
        <w:rPr>
          <w:rFonts w:ascii="Calibri" w:hAnsi="Calibri"/>
          <w:color w:val="003366"/>
        </w:rPr>
        <w:t>SECTION-2: PRIVATE CAR</w:t>
      </w:r>
    </w:p>
    <w:p>
      <w:r>
        <w:rPr>
          <w:b/>
        </w:rPr>
        <w:t>OWN DAMAGE - TARIFF RATES</w:t>
      </w:r>
    </w:p>
    <w:p>
      <w:r>
        <w:rPr>
          <w:b/>
        </w:rPr>
        <w:t>ZONE A - New Delhi/Delhi, Mumbai, Kolkata, Chennai, Ahmedabad, Bangalore, Pune &amp; Hyderabad</w:t>
      </w:r>
    </w:p>
    <w:tbl>
      <w:tblPr>
        <w:tblW w:type="auto" w:w="0"/>
        <w:jc w:val="center"/>
        <w:tblLook w:firstColumn="1" w:firstRow="1" w:lastColumn="0" w:lastRow="0" w:noHBand="0" w:noVBand="1" w:val="04A0"/>
      </w:tblPr>
      <w:tblGrid>
        <w:gridCol w:w="2340"/>
        <w:gridCol w:w="2340"/>
        <w:gridCol w:w="2340"/>
        <w:gridCol w:w="2340"/>
      </w:tblGrid>
      <w:tr>
        <w:tc>
          <w:tcPr>
            <w:tcW w:type="dxa" w:w="2340"/>
            <w:shd w:fill="003366"/>
            <w:tcMar>
              <w:top w:w="80" w:type="dxa"/>
              <w:bottom w:w="80" w:type="dxa"/>
              <w:left w:w="120" w:type="dxa"/>
              <w:right w:w="120" w:type="dxa"/>
            </w:tcMar>
          </w:tcPr>
          <w:p>
            <w:r>
              <w:rPr>
                <w:b/>
                <w:color w:val="FFFFFF"/>
              </w:rPr>
              <w:t>Age of the Vehicle</w:t>
            </w:r>
          </w:p>
        </w:tc>
        <w:tc>
          <w:tcPr>
            <w:tcW w:type="dxa" w:w="2340"/>
            <w:shd w:fill="003366"/>
            <w:tcMar>
              <w:top w:w="80" w:type="dxa"/>
              <w:bottom w:w="80" w:type="dxa"/>
              <w:left w:w="120" w:type="dxa"/>
              <w:right w:w="120" w:type="dxa"/>
            </w:tcMar>
          </w:tcPr>
          <w:p>
            <w:r>
              <w:rPr>
                <w:b/>
                <w:color w:val="FFFFFF"/>
              </w:rPr>
              <w:t>Not exceeding 1000 cc</w:t>
            </w:r>
          </w:p>
        </w:tc>
        <w:tc>
          <w:tcPr>
            <w:tcW w:type="dxa" w:w="2340"/>
            <w:shd w:fill="003366"/>
            <w:tcMar>
              <w:top w:w="80" w:type="dxa"/>
              <w:bottom w:w="80" w:type="dxa"/>
              <w:left w:w="120" w:type="dxa"/>
              <w:right w:w="120" w:type="dxa"/>
            </w:tcMar>
          </w:tcPr>
          <w:p>
            <w:r>
              <w:rPr>
                <w:b/>
                <w:color w:val="FFFFFF"/>
              </w:rPr>
              <w:t>Exceeding 1000 cc but not exceeding 1500 cc</w:t>
            </w:r>
          </w:p>
        </w:tc>
        <w:tc>
          <w:tcPr>
            <w:tcW w:type="dxa" w:w="2340"/>
            <w:shd w:fill="003366"/>
            <w:tcMar>
              <w:top w:w="80" w:type="dxa"/>
              <w:bottom w:w="80" w:type="dxa"/>
              <w:left w:w="120" w:type="dxa"/>
              <w:right w:w="120" w:type="dxa"/>
            </w:tcMar>
          </w:tcPr>
          <w:p>
            <w:r>
              <w:rPr>
                <w:b/>
                <w:color w:val="FFFFFF"/>
              </w:rPr>
              <w:t>Exceeding 1500 cc</w:t>
            </w:r>
          </w:p>
        </w:tc>
      </w:tr>
      <w:tr>
        <w:tc>
          <w:tcPr>
            <w:tcW w:type="dxa" w:w="2340"/>
            <w:tcMar>
              <w:top w:w="80" w:type="dxa"/>
              <w:bottom w:w="80" w:type="dxa"/>
              <w:left w:w="120" w:type="dxa"/>
              <w:right w:w="120" w:type="dxa"/>
            </w:tcMar>
          </w:tcPr>
          <w:p>
            <w:r>
              <w:t>Not exceeding 5 years</w:t>
            </w:r>
          </w:p>
        </w:tc>
        <w:tc>
          <w:tcPr>
            <w:tcW w:type="dxa" w:w="2340"/>
            <w:tcMar>
              <w:top w:w="80" w:type="dxa"/>
              <w:bottom w:w="80" w:type="dxa"/>
              <w:left w:w="120" w:type="dxa"/>
              <w:right w:w="120" w:type="dxa"/>
            </w:tcMar>
          </w:tcPr>
          <w:p>
            <w:r>
              <w:t>3.127% on IDV</w:t>
            </w:r>
          </w:p>
        </w:tc>
        <w:tc>
          <w:tcPr>
            <w:tcW w:type="dxa" w:w="2340"/>
            <w:tcMar>
              <w:top w:w="80" w:type="dxa"/>
              <w:bottom w:w="80" w:type="dxa"/>
              <w:left w:w="120" w:type="dxa"/>
              <w:right w:w="120" w:type="dxa"/>
            </w:tcMar>
          </w:tcPr>
          <w:p>
            <w:r>
              <w:t>3.283 % on IDV</w:t>
            </w:r>
          </w:p>
        </w:tc>
        <w:tc>
          <w:tcPr>
            <w:tcW w:type="dxa" w:w="2340"/>
            <w:tcMar>
              <w:top w:w="80" w:type="dxa"/>
              <w:bottom w:w="80" w:type="dxa"/>
              <w:left w:w="120" w:type="dxa"/>
              <w:right w:w="120" w:type="dxa"/>
            </w:tcMar>
          </w:tcPr>
          <w:p>
            <w:r>
              <w:t>3.440% on IDV</w:t>
            </w:r>
          </w:p>
        </w:tc>
      </w:tr>
      <w:tr>
        <w:tc>
          <w:tcPr>
            <w:tcW w:type="dxa" w:w="2340"/>
            <w:tcMar>
              <w:top w:w="80" w:type="dxa"/>
              <w:bottom w:w="80" w:type="dxa"/>
              <w:left w:w="120" w:type="dxa"/>
              <w:right w:w="120" w:type="dxa"/>
            </w:tcMar>
          </w:tcPr>
          <w:p>
            <w:r>
              <w:t>Exceeding 5 years but not exceeding 10 years</w:t>
            </w:r>
          </w:p>
        </w:tc>
        <w:tc>
          <w:tcPr>
            <w:tcW w:type="dxa" w:w="2340"/>
            <w:tcMar>
              <w:top w:w="80" w:type="dxa"/>
              <w:bottom w:w="80" w:type="dxa"/>
              <w:left w:w="120" w:type="dxa"/>
              <w:right w:w="120" w:type="dxa"/>
            </w:tcMar>
          </w:tcPr>
          <w:p>
            <w:r>
              <w:t>3.283 % on IDV</w:t>
            </w:r>
          </w:p>
        </w:tc>
        <w:tc>
          <w:tcPr>
            <w:tcW w:type="dxa" w:w="2340"/>
            <w:tcMar>
              <w:top w:w="80" w:type="dxa"/>
              <w:bottom w:w="80" w:type="dxa"/>
              <w:left w:w="120" w:type="dxa"/>
              <w:right w:w="120" w:type="dxa"/>
            </w:tcMar>
          </w:tcPr>
          <w:p>
            <w:r>
              <w:t>3.447% on IDV</w:t>
            </w:r>
          </w:p>
        </w:tc>
        <w:tc>
          <w:tcPr>
            <w:tcW w:type="dxa" w:w="2340"/>
            <w:tcMar>
              <w:top w:w="80" w:type="dxa"/>
              <w:bottom w:w="80" w:type="dxa"/>
              <w:left w:w="120" w:type="dxa"/>
              <w:right w:w="120" w:type="dxa"/>
            </w:tcMar>
          </w:tcPr>
          <w:p>
            <w:r>
              <w:t>3.612% on IDV</w:t>
            </w:r>
          </w:p>
        </w:tc>
      </w:tr>
      <w:tr>
        <w:tc>
          <w:tcPr>
            <w:tcW w:type="dxa" w:w="2340"/>
            <w:tcMar>
              <w:top w:w="80" w:type="dxa"/>
              <w:bottom w:w="80" w:type="dxa"/>
              <w:left w:w="120" w:type="dxa"/>
              <w:right w:w="120" w:type="dxa"/>
            </w:tcMar>
          </w:tcPr>
          <w:p>
            <w:r>
              <w:t>Exceeding 10 years</w:t>
            </w:r>
          </w:p>
        </w:tc>
        <w:tc>
          <w:tcPr>
            <w:tcW w:type="dxa" w:w="2340"/>
            <w:tcMar>
              <w:top w:w="80" w:type="dxa"/>
              <w:bottom w:w="80" w:type="dxa"/>
              <w:left w:w="120" w:type="dxa"/>
              <w:right w:w="120" w:type="dxa"/>
            </w:tcMar>
          </w:tcPr>
          <w:p>
            <w:r>
              <w:t>3.362 % on IDV</w:t>
            </w:r>
          </w:p>
        </w:tc>
        <w:tc>
          <w:tcPr>
            <w:tcW w:type="dxa" w:w="2340"/>
            <w:tcMar>
              <w:top w:w="80" w:type="dxa"/>
              <w:bottom w:w="80" w:type="dxa"/>
              <w:left w:w="120" w:type="dxa"/>
              <w:right w:w="120" w:type="dxa"/>
            </w:tcMar>
          </w:tcPr>
          <w:p>
            <w:r>
              <w:t>3.529 % on IDV</w:t>
            </w:r>
          </w:p>
        </w:tc>
        <w:tc>
          <w:tcPr>
            <w:tcW w:type="dxa" w:w="2340"/>
            <w:tcMar>
              <w:top w:w="80" w:type="dxa"/>
              <w:bottom w:w="80" w:type="dxa"/>
              <w:left w:w="120" w:type="dxa"/>
              <w:right w:w="120" w:type="dxa"/>
            </w:tcMar>
          </w:tcPr>
          <w:p>
            <w:r>
              <w:t>3.698% on IDV</w:t>
            </w:r>
          </w:p>
        </w:tc>
      </w:tr>
    </w:tbl>
    <w:p>
      <w:r>
        <w:rPr>
          <w:b/>
        </w:rPr>
        <w:t>ZONE B (Rest of India)</w:t>
      </w:r>
    </w:p>
    <w:tbl>
      <w:tblPr>
        <w:tblW w:type="auto" w:w="0"/>
        <w:jc w:val="center"/>
        <w:tblLook w:firstColumn="1" w:firstRow="1" w:lastColumn="0" w:lastRow="0" w:noHBand="0" w:noVBand="1" w:val="04A0"/>
      </w:tblPr>
      <w:tblGrid>
        <w:gridCol w:w="2340"/>
        <w:gridCol w:w="2340"/>
        <w:gridCol w:w="2340"/>
        <w:gridCol w:w="2340"/>
      </w:tblGrid>
      <w:tr>
        <w:tc>
          <w:tcPr>
            <w:tcW w:type="dxa" w:w="2340"/>
            <w:shd w:fill="003366"/>
            <w:tcMar>
              <w:top w:w="80" w:type="dxa"/>
              <w:bottom w:w="80" w:type="dxa"/>
              <w:left w:w="120" w:type="dxa"/>
              <w:right w:w="120" w:type="dxa"/>
            </w:tcMar>
          </w:tcPr>
          <w:p>
            <w:r>
              <w:rPr>
                <w:b/>
                <w:color w:val="FFFFFF"/>
              </w:rPr>
              <w:t>Age of the Vehicle</w:t>
            </w:r>
          </w:p>
        </w:tc>
        <w:tc>
          <w:tcPr>
            <w:tcW w:type="dxa" w:w="2340"/>
            <w:shd w:fill="003366"/>
            <w:tcMar>
              <w:top w:w="80" w:type="dxa"/>
              <w:bottom w:w="80" w:type="dxa"/>
              <w:left w:w="120" w:type="dxa"/>
              <w:right w:w="120" w:type="dxa"/>
            </w:tcMar>
          </w:tcPr>
          <w:p>
            <w:r>
              <w:rPr>
                <w:b/>
                <w:color w:val="FFFFFF"/>
              </w:rPr>
              <w:t>Not exceeding 1000 cc</w:t>
            </w:r>
          </w:p>
        </w:tc>
        <w:tc>
          <w:tcPr>
            <w:tcW w:type="dxa" w:w="2340"/>
            <w:shd w:fill="003366"/>
            <w:tcMar>
              <w:top w:w="80" w:type="dxa"/>
              <w:bottom w:w="80" w:type="dxa"/>
              <w:left w:w="120" w:type="dxa"/>
              <w:right w:w="120" w:type="dxa"/>
            </w:tcMar>
          </w:tcPr>
          <w:p>
            <w:r>
              <w:rPr>
                <w:b/>
                <w:color w:val="FFFFFF"/>
              </w:rPr>
              <w:t>Exceeding 1000 cc but not exceeding 1500 cc</w:t>
            </w:r>
          </w:p>
        </w:tc>
        <w:tc>
          <w:tcPr>
            <w:tcW w:type="dxa" w:w="2340"/>
            <w:shd w:fill="003366"/>
            <w:tcMar>
              <w:top w:w="80" w:type="dxa"/>
              <w:bottom w:w="80" w:type="dxa"/>
              <w:left w:w="120" w:type="dxa"/>
              <w:right w:w="120" w:type="dxa"/>
            </w:tcMar>
          </w:tcPr>
          <w:p>
            <w:r>
              <w:rPr>
                <w:b/>
                <w:color w:val="FFFFFF"/>
              </w:rPr>
              <w:t>Exceeding 1500 cc</w:t>
            </w:r>
          </w:p>
        </w:tc>
      </w:tr>
      <w:tr>
        <w:tc>
          <w:tcPr>
            <w:tcW w:type="dxa" w:w="2340"/>
            <w:tcMar>
              <w:top w:w="80" w:type="dxa"/>
              <w:bottom w:w="80" w:type="dxa"/>
              <w:left w:w="120" w:type="dxa"/>
              <w:right w:w="120" w:type="dxa"/>
            </w:tcMar>
          </w:tcPr>
          <w:p>
            <w:r>
              <w:t>Not exceeding 5 years</w:t>
            </w:r>
          </w:p>
        </w:tc>
        <w:tc>
          <w:tcPr>
            <w:tcW w:type="dxa" w:w="2340"/>
            <w:tcMar>
              <w:top w:w="80" w:type="dxa"/>
              <w:bottom w:w="80" w:type="dxa"/>
              <w:left w:w="120" w:type="dxa"/>
              <w:right w:w="120" w:type="dxa"/>
            </w:tcMar>
          </w:tcPr>
          <w:p>
            <w:r>
              <w:t>3.039% on IDV</w:t>
            </w:r>
          </w:p>
        </w:tc>
        <w:tc>
          <w:tcPr>
            <w:tcW w:type="dxa" w:w="2340"/>
            <w:tcMar>
              <w:top w:w="80" w:type="dxa"/>
              <w:bottom w:w="80" w:type="dxa"/>
              <w:left w:w="120" w:type="dxa"/>
              <w:right w:w="120" w:type="dxa"/>
            </w:tcMar>
          </w:tcPr>
          <w:p>
            <w:r>
              <w:t>3.191 % on IDV</w:t>
            </w:r>
          </w:p>
        </w:tc>
        <w:tc>
          <w:tcPr>
            <w:tcW w:type="dxa" w:w="2340"/>
            <w:tcMar>
              <w:top w:w="80" w:type="dxa"/>
              <w:bottom w:w="80" w:type="dxa"/>
              <w:left w:w="120" w:type="dxa"/>
              <w:right w:w="120" w:type="dxa"/>
            </w:tcMar>
          </w:tcPr>
          <w:p>
            <w:r>
              <w:t>3.343% on IDV</w:t>
            </w:r>
          </w:p>
        </w:tc>
      </w:tr>
      <w:tr>
        <w:tc>
          <w:tcPr>
            <w:tcW w:type="dxa" w:w="2340"/>
            <w:tcMar>
              <w:top w:w="80" w:type="dxa"/>
              <w:bottom w:w="80" w:type="dxa"/>
              <w:left w:w="120" w:type="dxa"/>
              <w:right w:w="120" w:type="dxa"/>
            </w:tcMar>
          </w:tcPr>
          <w:p>
            <w:r>
              <w:t>Exceeding 5 years but not exceeding 10 years</w:t>
            </w:r>
          </w:p>
        </w:tc>
        <w:tc>
          <w:tcPr>
            <w:tcW w:type="dxa" w:w="2340"/>
            <w:tcMar>
              <w:top w:w="80" w:type="dxa"/>
              <w:bottom w:w="80" w:type="dxa"/>
              <w:left w:w="120" w:type="dxa"/>
              <w:right w:w="120" w:type="dxa"/>
            </w:tcMar>
          </w:tcPr>
          <w:p>
            <w:r>
              <w:t>3.191% on IDV</w:t>
            </w:r>
          </w:p>
        </w:tc>
        <w:tc>
          <w:tcPr>
            <w:tcW w:type="dxa" w:w="2340"/>
            <w:tcMar>
              <w:top w:w="80" w:type="dxa"/>
              <w:bottom w:w="80" w:type="dxa"/>
              <w:left w:w="120" w:type="dxa"/>
              <w:right w:w="120" w:type="dxa"/>
            </w:tcMar>
          </w:tcPr>
          <w:p>
            <w:r>
              <w:t>3.351% on IDV</w:t>
            </w:r>
          </w:p>
        </w:tc>
        <w:tc>
          <w:tcPr>
            <w:tcW w:type="dxa" w:w="2340"/>
            <w:tcMar>
              <w:top w:w="80" w:type="dxa"/>
              <w:bottom w:w="80" w:type="dxa"/>
              <w:left w:w="120" w:type="dxa"/>
              <w:right w:w="120" w:type="dxa"/>
            </w:tcMar>
          </w:tcPr>
          <w:p>
            <w:r>
              <w:t>3.510% on IDV</w:t>
            </w:r>
          </w:p>
        </w:tc>
      </w:tr>
      <w:tr>
        <w:tc>
          <w:tcPr>
            <w:tcW w:type="dxa" w:w="2340"/>
            <w:tcMar>
              <w:top w:w="80" w:type="dxa"/>
              <w:bottom w:w="80" w:type="dxa"/>
              <w:left w:w="120" w:type="dxa"/>
              <w:right w:w="120" w:type="dxa"/>
            </w:tcMar>
          </w:tcPr>
          <w:p>
            <w:r>
              <w:t>Exceeding 10 years</w:t>
            </w:r>
          </w:p>
        </w:tc>
        <w:tc>
          <w:tcPr>
            <w:tcW w:type="dxa" w:w="2340"/>
            <w:tcMar>
              <w:top w:w="80" w:type="dxa"/>
              <w:bottom w:w="80" w:type="dxa"/>
              <w:left w:w="120" w:type="dxa"/>
              <w:right w:w="120" w:type="dxa"/>
            </w:tcMar>
          </w:tcPr>
          <w:p>
            <w:r>
              <w:t>3.267% on IDV</w:t>
            </w:r>
          </w:p>
        </w:tc>
        <w:tc>
          <w:tcPr>
            <w:tcW w:type="dxa" w:w="2340"/>
            <w:tcMar>
              <w:top w:w="80" w:type="dxa"/>
              <w:bottom w:w="80" w:type="dxa"/>
              <w:left w:w="120" w:type="dxa"/>
              <w:right w:w="120" w:type="dxa"/>
            </w:tcMar>
          </w:tcPr>
          <w:p>
            <w:r>
              <w:t>3.430% on IDV</w:t>
            </w:r>
          </w:p>
        </w:tc>
        <w:tc>
          <w:tcPr>
            <w:tcW w:type="dxa" w:w="2340"/>
            <w:tcMar>
              <w:top w:w="80" w:type="dxa"/>
              <w:bottom w:w="80" w:type="dxa"/>
              <w:left w:w="120" w:type="dxa"/>
              <w:right w:w="120" w:type="dxa"/>
            </w:tcMar>
          </w:tcPr>
          <w:p>
            <w:r>
              <w:t>3.594% on IDV</w:t>
            </w:r>
          </w:p>
        </w:tc>
      </w:tr>
    </w:tbl>
    <w:p>
      <w:r>
        <w:t>(1) For deciding IDV, refer GR.-8.</w:t>
        <w:br/>
        <w:t>(2) Depending upon the location of the office/ place of Registration of the vehicle, Premium is decided according to Zone.</w:t>
        <w:br/>
        <w:t>(3) Minimum Value: Rs. 15,000 for 1000 cc, Rs. 20,000 from 1000 to 1500 cc &amp; Rs. 30,000 above 1500 cc.</w:t>
        <w:br/>
        <w:t>(4) For Additional Cover / Extra Premium &amp; Discount, refer note as below / Next page.</w:t>
      </w:r>
    </w:p>
    <w:p>
      <w:pPr>
        <w:pStyle w:val="Heading2"/>
        <w:keepNext/>
        <w:spacing w:before="240" w:after="120"/>
      </w:pPr>
      <w:r>
        <w:rPr>
          <w:rFonts w:ascii="Calibri" w:hAnsi="Calibri"/>
          <w:color w:val="003366"/>
        </w:rPr>
        <w:t>TP PREMIUM / ACT / LIABILITY ONLY (PAN India Premium without zone)</w:t>
      </w:r>
    </w:p>
    <w:tbl>
      <w:tblPr>
        <w:tblW w:type="auto" w:w="0"/>
        <w:jc w:val="center"/>
        <w:tblLook w:firstColumn="1" w:firstRow="1" w:lastColumn="0" w:lastRow="0" w:noHBand="0" w:noVBand="1" w:val="04A0"/>
      </w:tblPr>
      <w:tblGrid>
        <w:gridCol w:w="4680"/>
        <w:gridCol w:w="4680"/>
      </w:tblGrid>
      <w:tr>
        <w:tc>
          <w:tcPr>
            <w:tcW w:type="dxa" w:w="4680"/>
            <w:shd w:fill="003366"/>
            <w:tcMar>
              <w:top w:w="80" w:type="dxa"/>
              <w:bottom w:w="80" w:type="dxa"/>
              <w:left w:w="120" w:type="dxa"/>
              <w:right w:w="120" w:type="dxa"/>
            </w:tcMar>
          </w:tcPr>
          <w:p>
            <w:r>
              <w:rPr>
                <w:b/>
                <w:color w:val="FFFFFF"/>
              </w:rPr>
              <w:t>CUBIC CAPACITY OF THE VEHICLE</w:t>
            </w:r>
          </w:p>
        </w:tc>
        <w:tc>
          <w:tcPr>
            <w:tcW w:type="dxa" w:w="4680"/>
            <w:shd w:fill="003366"/>
            <w:tcMar>
              <w:top w:w="80" w:type="dxa"/>
              <w:bottom w:w="80" w:type="dxa"/>
              <w:left w:w="120" w:type="dxa"/>
              <w:right w:w="120" w:type="dxa"/>
            </w:tcMar>
          </w:tcPr>
          <w:p>
            <w:r>
              <w:rPr>
                <w:b/>
                <w:color w:val="FFFFFF"/>
              </w:rPr>
              <w:t>PREMIUM</w:t>
            </w:r>
          </w:p>
        </w:tc>
      </w:tr>
      <w:tr>
        <w:tc>
          <w:tcPr>
            <w:tcW w:type="dxa" w:w="4680"/>
            <w:tcMar>
              <w:top w:w="80" w:type="dxa"/>
              <w:bottom w:w="80" w:type="dxa"/>
              <w:left w:w="120" w:type="dxa"/>
              <w:right w:w="120" w:type="dxa"/>
            </w:tcMar>
          </w:tcPr>
          <w:p>
            <w:r>
              <w:t>Not exceeding 1000 cc</w:t>
            </w:r>
          </w:p>
        </w:tc>
        <w:tc>
          <w:tcPr>
            <w:tcW w:type="dxa" w:w="4680"/>
            <w:tcMar>
              <w:top w:w="80" w:type="dxa"/>
              <w:bottom w:w="80" w:type="dxa"/>
              <w:left w:w="120" w:type="dxa"/>
              <w:right w:w="120" w:type="dxa"/>
            </w:tcMar>
          </w:tcPr>
          <w:p>
            <w:r>
              <w:t>Rs. 2,094</w:t>
            </w:r>
          </w:p>
        </w:tc>
      </w:tr>
      <w:tr>
        <w:tc>
          <w:tcPr>
            <w:tcW w:type="dxa" w:w="4680"/>
            <w:tcMar>
              <w:top w:w="80" w:type="dxa"/>
              <w:bottom w:w="80" w:type="dxa"/>
              <w:left w:w="120" w:type="dxa"/>
              <w:right w:w="120" w:type="dxa"/>
            </w:tcMar>
          </w:tcPr>
          <w:p>
            <w:r>
              <w:t>Exceeding 1000cc but not exceeding 1500 cc</w:t>
            </w:r>
          </w:p>
        </w:tc>
        <w:tc>
          <w:tcPr>
            <w:tcW w:type="dxa" w:w="4680"/>
            <w:tcMar>
              <w:top w:w="80" w:type="dxa"/>
              <w:bottom w:w="80" w:type="dxa"/>
              <w:left w:w="120" w:type="dxa"/>
              <w:right w:w="120" w:type="dxa"/>
            </w:tcMar>
          </w:tcPr>
          <w:p>
            <w:r>
              <w:t>Rs. 3,416</w:t>
            </w:r>
          </w:p>
        </w:tc>
      </w:tr>
      <w:tr>
        <w:tc>
          <w:tcPr>
            <w:tcW w:type="dxa" w:w="4680"/>
            <w:tcMar>
              <w:top w:w="80" w:type="dxa"/>
              <w:bottom w:w="80" w:type="dxa"/>
              <w:left w:w="120" w:type="dxa"/>
              <w:right w:w="120" w:type="dxa"/>
            </w:tcMar>
          </w:tcPr>
          <w:p>
            <w:r>
              <w:t>Exceeding 1500 cc</w:t>
            </w:r>
          </w:p>
        </w:tc>
        <w:tc>
          <w:tcPr>
            <w:tcW w:type="dxa" w:w="4680"/>
            <w:tcMar>
              <w:top w:w="80" w:type="dxa"/>
              <w:bottom w:w="80" w:type="dxa"/>
              <w:left w:w="120" w:type="dxa"/>
              <w:right w:w="120" w:type="dxa"/>
            </w:tcMar>
          </w:tcPr>
          <w:p>
            <w:r>
              <w:t>Rs. 7,897</w:t>
            </w:r>
          </w:p>
        </w:tc>
      </w:tr>
    </w:tbl>
    <w:p>
      <w:r>
        <w:t>Pl. Refer below TP Premium Rating for Electric Car.</w:t>
      </w:r>
    </w:p>
    <w:p>
      <w:pPr>
        <w:pStyle w:val="Heading2"/>
        <w:keepNext/>
        <w:spacing w:before="240" w:after="120"/>
      </w:pPr>
      <w:r>
        <w:rPr>
          <w:rFonts w:ascii="Calibri" w:hAnsi="Calibri"/>
          <w:color w:val="003366"/>
        </w:rPr>
        <w:t>TP Premium - Rates for Electric Private Cars</w:t>
      </w:r>
    </w:p>
    <w:tbl>
      <w:tblPr>
        <w:tblW w:type="auto" w:w="0"/>
        <w:jc w:val="center"/>
        <w:tblLook w:firstColumn="1" w:firstRow="1" w:lastColumn="0" w:lastRow="0" w:noHBand="0" w:noVBand="1" w:val="04A0"/>
      </w:tblPr>
      <w:tblGrid>
        <w:gridCol w:w="4680"/>
        <w:gridCol w:w="4680"/>
      </w:tblGrid>
      <w:tr>
        <w:tc>
          <w:tcPr>
            <w:tcW w:type="dxa" w:w="4680"/>
            <w:shd w:fill="003366"/>
            <w:tcMar>
              <w:top w:w="80" w:type="dxa"/>
              <w:bottom w:w="80" w:type="dxa"/>
              <w:left w:w="120" w:type="dxa"/>
              <w:right w:w="120" w:type="dxa"/>
            </w:tcMar>
          </w:tcPr>
          <w:p>
            <w:r>
              <w:rPr>
                <w:b/>
                <w:color w:val="FFFFFF"/>
              </w:rPr>
              <w:t>Vehicle Class</w:t>
            </w:r>
          </w:p>
        </w:tc>
        <w:tc>
          <w:tcPr>
            <w:tcW w:type="dxa" w:w="4680"/>
            <w:shd w:fill="003366"/>
            <w:tcMar>
              <w:top w:w="80" w:type="dxa"/>
              <w:bottom w:w="80" w:type="dxa"/>
              <w:left w:w="120" w:type="dxa"/>
              <w:right w:w="120" w:type="dxa"/>
            </w:tcMar>
          </w:tcPr>
          <w:p>
            <w:r>
              <w:rPr>
                <w:b/>
                <w:color w:val="FFFFFF"/>
              </w:rPr>
              <w:t>1 Year Prem.</w:t>
            </w:r>
          </w:p>
        </w:tc>
      </w:tr>
      <w:tr>
        <w:tc>
          <w:tcPr>
            <w:tcW w:type="dxa" w:w="4680"/>
            <w:tcMar>
              <w:top w:w="80" w:type="dxa"/>
              <w:bottom w:w="80" w:type="dxa"/>
              <w:left w:w="120" w:type="dxa"/>
              <w:right w:w="120" w:type="dxa"/>
            </w:tcMar>
          </w:tcPr>
          <w:p>
            <w:r>
              <w:t>Up to 30 KW</w:t>
            </w:r>
          </w:p>
        </w:tc>
        <w:tc>
          <w:tcPr>
            <w:tcW w:type="dxa" w:w="4680"/>
            <w:tcMar>
              <w:top w:w="80" w:type="dxa"/>
              <w:bottom w:w="80" w:type="dxa"/>
              <w:left w:w="120" w:type="dxa"/>
              <w:right w:w="120" w:type="dxa"/>
            </w:tcMar>
          </w:tcPr>
          <w:p>
            <w:r>
              <w:t>Rs. 1,780</w:t>
            </w:r>
          </w:p>
        </w:tc>
      </w:tr>
      <w:tr>
        <w:tc>
          <w:tcPr>
            <w:tcW w:type="dxa" w:w="4680"/>
            <w:tcMar>
              <w:top w:w="80" w:type="dxa"/>
              <w:bottom w:w="80" w:type="dxa"/>
              <w:left w:w="120" w:type="dxa"/>
              <w:right w:w="120" w:type="dxa"/>
            </w:tcMar>
          </w:tcPr>
          <w:p>
            <w:r>
              <w:t>Above 30 KW up to 65 KW</w:t>
            </w:r>
          </w:p>
        </w:tc>
        <w:tc>
          <w:tcPr>
            <w:tcW w:type="dxa" w:w="4680"/>
            <w:tcMar>
              <w:top w:w="80" w:type="dxa"/>
              <w:bottom w:w="80" w:type="dxa"/>
              <w:left w:w="120" w:type="dxa"/>
              <w:right w:w="120" w:type="dxa"/>
            </w:tcMar>
          </w:tcPr>
          <w:p>
            <w:r>
              <w:t>Rs. 2,904</w:t>
            </w:r>
          </w:p>
        </w:tc>
      </w:tr>
      <w:tr>
        <w:tc>
          <w:tcPr>
            <w:tcW w:type="dxa" w:w="4680"/>
            <w:tcMar>
              <w:top w:w="80" w:type="dxa"/>
              <w:bottom w:w="80" w:type="dxa"/>
              <w:left w:w="120" w:type="dxa"/>
              <w:right w:w="120" w:type="dxa"/>
            </w:tcMar>
          </w:tcPr>
          <w:p>
            <w:r>
              <w:t>Above 65 KW</w:t>
            </w:r>
          </w:p>
        </w:tc>
        <w:tc>
          <w:tcPr>
            <w:tcW w:type="dxa" w:w="4680"/>
            <w:tcMar>
              <w:top w:w="80" w:type="dxa"/>
              <w:bottom w:w="80" w:type="dxa"/>
              <w:left w:w="120" w:type="dxa"/>
              <w:right w:w="120" w:type="dxa"/>
            </w:tcMar>
          </w:tcPr>
          <w:p>
            <w:r>
              <w:t>Rs. 6,712</w:t>
            </w:r>
          </w:p>
        </w:tc>
      </w:tr>
      <w:tr>
        <w:tc>
          <w:tcPr>
            <w:tcW w:type="dxa" w:w="4680"/>
            <w:tcMar>
              <w:top w:w="80" w:type="dxa"/>
              <w:bottom w:w="80" w:type="dxa"/>
              <w:left w:w="120" w:type="dxa"/>
              <w:right w:w="120" w:type="dxa"/>
            </w:tcMar>
          </w:tcPr>
          <w:p>
            <w:r>
              <w:t>Quadricycle (Pvt.Car up to 30 KW)</w:t>
            </w:r>
          </w:p>
        </w:tc>
        <w:tc>
          <w:tcPr>
            <w:tcW w:type="dxa" w:w="4680"/>
            <w:tcMar>
              <w:top w:w="80" w:type="dxa"/>
              <w:bottom w:w="80" w:type="dxa"/>
              <w:left w:w="120" w:type="dxa"/>
              <w:right w:w="120" w:type="dxa"/>
            </w:tcMar>
          </w:tcPr>
          <w:p>
            <w:r>
              <w:t>Rs. 1,780</w:t>
            </w:r>
          </w:p>
        </w:tc>
      </w:tr>
      <w:tr>
        <w:tc>
          <w:tcPr>
            <w:tcW w:type="dxa" w:w="4680"/>
            <w:tcMar>
              <w:top w:w="80" w:type="dxa"/>
              <w:bottom w:w="80" w:type="dxa"/>
              <w:left w:w="120" w:type="dxa"/>
              <w:right w:w="120" w:type="dxa"/>
            </w:tcMar>
          </w:tcPr>
          <w:p>
            <w:r>
              <w:t>Quadricycle - Pvt.Car</w:t>
            </w:r>
          </w:p>
        </w:tc>
        <w:tc>
          <w:tcPr>
            <w:tcW w:type="dxa" w:w="4680"/>
            <w:tcMar>
              <w:top w:w="80" w:type="dxa"/>
              <w:bottom w:w="80" w:type="dxa"/>
              <w:left w:w="120" w:type="dxa"/>
              <w:right w:w="120" w:type="dxa"/>
            </w:tcMar>
          </w:tcPr>
          <w:p>
            <w:r>
              <w:t>Rs. 2,094</w:t>
            </w:r>
          </w:p>
        </w:tc>
      </w:tr>
    </w:tbl>
    <w:p>
      <w:r>
        <w:t>N.B.: For Long Term TP policy Rate, Refer same Chapter on next page/s.</w:t>
        <w:br/>
        <w:t>Minimum Premium Rs. 100 + Service Tax (Rs. 25 for Handicapped/Blind/Mentally Challenged Person)</w:t>
      </w:r>
    </w:p>
    <w:p>
      <w:pPr>
        <w:pStyle w:val="Heading2"/>
        <w:keepNext/>
        <w:spacing w:before="240" w:after="120"/>
      </w:pPr>
      <w:r>
        <w:rPr>
          <w:rFonts w:ascii="Calibri" w:hAnsi="Calibri"/>
          <w:color w:val="003366"/>
        </w:rPr>
        <w:t>ADDITIONAL PREMIUM (For OD. Cover)</w:t>
      </w:r>
    </w:p>
    <w:p>
      <w:r>
        <w:t>(1) Compulsory PA cover premium to be charged to Owner - Driver @ Rs.275 for flat CSI of Rs. 15 Lacs to Individual named person i.e. to the Registered Owner in person having Effective Driving Licence &amp; not to the Firm, Company or Corporate Body (Refer GR No. 36A). For Sum Insured above Rs. 15 Lacs also refer the same GR-36. (a) For El. Car rating up to 1000 CC, refer GR-46. (b) If required, refer Stand Alone CPA Policy from the same Chapter.</w:t>
        <w:br/>
        <w:t>(2) Extra premium for PA cover (other than Owner-Driver) @ of Rs. 5 per Rs. 10,000 subject to maximum of Rs. 2 lac per person as per seating capacity of vehicle (GR No. 36B - Endt. 16).</w:t>
        <w:br/>
        <w:t>(3) Extra premium for (a) LL to Paid Driver/Cleaner/Conductor @ of Rs. 50 per person is Net Premium irrespective of period taken (Endt. 28 section-2, Sr. No. 7).</w:t>
        <w:br/>
        <w:t>(b) LL to Employee of the Insured (not for Hire or reward) traveling in &amp; / or driving employer's vehicle, premium @ of Rs. 50 per employee subject to maximum seating capacity of vehicle (Cir.No.IRDA-NL-ORD-MPL-77-03-2012, Dt. 29-3-2012) - Refer IMT 29 also.</w:t>
        <w:br/>
        <w:t>NB: Hon'ble Madras High Court issued direction to IRDA to make IMT-29 compulsory as an in-built coverage under Motor TP section without additional premium (for the employees travelling in employer's vehicle including paid Driver if applicable) of Pvt. Car package/Bundled policy &amp; under standalone policy. (Cir. of IRDA dtd. 18-10-2023).</w:t>
        <w:br/>
        <w:t>(4) Extra premium to be charged for electrical &amp; electronic items (if it is not inbuilt) @ of 4%. (if inbuilt no extra premium) GR-41 - Endt. 24.</w:t>
        <w:br/>
        <w:t>(5) Extra premium for Additional Towing Charges up to Rs.1500, charge 5% on additional amount opted for Towing Charges. (Rs. 1500 is inbuilt Towing Charges) GR-47.</w:t>
        <w:br/>
        <w:t>(6) Extra premium for vehicle with CNG/LPG/bi-fuel system @ of 4% on the value of such kit declared (GR. 42-Endt. 25). If separate value is not given for CNG/LPG Kit, then 5% extra premium on OD (GR. 42). Refer TP portion for Loading.</w:t>
        <w:br/>
        <w:t>(7) Extra premium for Professional Driving School ie. OD premium + loading of 60% of applicable OD premium (Refer GR. 44).</w:t>
        <w:br/>
        <w:t>(8) Extra premium of Rs. 50 for Vehicle fitted with Fibre Glass fuel tank (Refer GR. 43).</w:t>
        <w:br/>
        <w:t>(9) Extra premium for Geographical area beyond India as per GR 4- Endt. 1.</w:t>
        <w:br/>
        <w:t>(10) For loading in premium refer GR. 3b.</w:t>
        <w:br/>
        <w:t>(11) Extra premium for TPPD cover if restricted to statutory limit of Rs. 6,000. The same can be increased for Rs. 7.5 lacs by paying additional premium of Rs. 100 at renewal only. (Section 2-Sr.No. 5).</w:t>
      </w:r>
    </w:p>
    <w:p>
      <w:pPr>
        <w:pStyle w:val="Heading2"/>
        <w:keepNext/>
        <w:spacing w:before="240" w:after="120"/>
      </w:pPr>
      <w:r>
        <w:rPr>
          <w:rFonts w:ascii="Calibri" w:hAnsi="Calibri"/>
          <w:color w:val="003366"/>
        </w:rPr>
        <w:t>DISCOUNT - OD COVER</w:t>
      </w:r>
    </w:p>
    <w:p>
      <w:r>
        <w:t>(1) Discount for No Claim Bonus, as given in GR. 27.</w:t>
        <w:br/>
        <w:t>(2) Automobile Association Discount as in GR. 28. Discount for Vintage Car as in GR. 29.</w:t>
        <w:br/>
        <w:t>(3) Discount for Anti-Theft Devices as in GR. 30.</w:t>
        <w:br/>
        <w:t>(4) Motorized 3 wheeled vehicles with engine cubic capacity not exceeding 750 cc. - 50% discount on Own Damage premium.</w:t>
        <w:br/>
        <w:t>(5) If the insured at the inception opt to restrict TPPD cover to the statutory limit of Rs. 6000 from Rs. 7.5 Lacs, then reduce Rs. 100 before any loading/discount. GR-39-B.</w:t>
        <w:br/>
        <w:t>(6) Voluntary deductible Rs. 2500, then allow 20% Discount on OD Premium subject to Rs. 750 Maximum, for Rs. 5000, allow 25% Discount, Maximum Rs. 1500, For Rs. 7500, allow 30% Dis., Maximum Rs. 2000, For Rs. 15000, allow 35% Dis., Maximum Rs. 2500 (Section 2, Page No.33 of Tariff, Endt. 22A).</w:t>
        <w:br/>
        <w:t>(7) For Vintage car, 25% Discount (Refer GR 29).</w:t>
      </w:r>
    </w:p>
    <w:p>
      <w:pPr>
        <w:pStyle w:val="Heading2"/>
        <w:keepNext/>
        <w:spacing w:before="240" w:after="120"/>
      </w:pPr>
      <w:r>
        <w:rPr>
          <w:rFonts w:ascii="Calibri" w:hAnsi="Calibri"/>
          <w:color w:val="003366"/>
        </w:rPr>
        <w:t>ADDITIONAL PREMIUM (FOR TP COVER)</w:t>
      </w:r>
    </w:p>
    <w:p>
      <w:r>
        <w:t>(1) Compulsory PA cover premium to be charged to Owner - Driver @ Rs. 275 for fixed CSI of Rs. 15 Lacs (Refer Gr. 36A).</w:t>
        <w:br/>
        <w:t>(2) Extra premium for (a) LL to Paid Driver/Cleaner/Conductor @ of Rs. 50 per person is Net Premium irrespective of period taken (Endt. 28 section 2 Sr. No. 7).</w:t>
        <w:br/>
        <w:t>(b) LL to Employee of the Insured traveling in &amp;/or driving employer's vehicle, premium @ of Rs. 50 per employee subject to maximum seating capacity of vehicle (Refer IMT 29).</w:t>
        <w:br/>
        <w:t>(3) Extra premium for use of CNG/LPG fuel is Rs. 60 per Vehicle + TP premium (GR-42C).</w:t>
        <w:br/>
        <w:t>(4) For loading in premium refer GR. 3b.</w:t>
        <w:br/>
        <w:t>(5) The Premium for TP/ Liability cover and/or for any extra benefit should be collected in full.</w:t>
      </w:r>
    </w:p>
    <w:p>
      <w:pPr>
        <w:pStyle w:val="Heading2"/>
        <w:keepNext/>
        <w:spacing w:before="240" w:after="120"/>
      </w:pPr>
      <w:r>
        <w:rPr>
          <w:rFonts w:ascii="Calibri" w:hAnsi="Calibri"/>
          <w:color w:val="003366"/>
        </w:rPr>
        <w:t>Discount for TP</w:t>
      </w:r>
    </w:p>
    <w:p>
      <w:r>
        <w:t>(a) Discount of 7.50% on the TP premium to be allowed for Hybrid Electric Vehicle.</w:t>
        <w:br/>
        <w:t>(b) A discounted price of 50% of the premium based on the Indian Motor Tariff shall be allowed to a private car registered as Vintage Car. (As guided by MORTH for (a) &amp; (b) both)</w:t>
      </w:r>
    </w:p>
    <w:p>
      <w:pPr>
        <w:pStyle w:val="Heading2"/>
        <w:keepNext/>
        <w:spacing w:before="240" w:after="120"/>
      </w:pPr>
      <w:r>
        <w:rPr>
          <w:rFonts w:ascii="Calibri" w:hAnsi="Calibri"/>
          <w:color w:val="003366"/>
        </w:rPr>
        <w:t>GEN. NOTE</w:t>
      </w:r>
    </w:p>
    <w:p>
      <w:r>
        <w:t>(1) For NCB, refer GR. 27.</w:t>
        <w:br/>
        <w:t>(2) For Depreciation refer GR. 9.</w:t>
        <w:br/>
        <w:t>(3) For short period rate refer GR 12.</w:t>
        <w:br/>
        <w:t>(4) For loading on premium refer GR 3B.</w:t>
        <w:br/>
        <w:t>(5) Fire &amp; Theft, GR 45 A &amp; B.</w:t>
        <w:br/>
        <w:t>(6) Excess : Rs. 1000 up to 1500 CC - Rs. 2000 above 1500 CC.</w:t>
        <w:br/>
        <w:t>(7) Electric / Battery Driven vehicle, refer GR-46.</w:t>
        <w:br/>
        <w:t>(8) No staff Discount under Motor policy (Cir.No.RID-HO-LNS-94 Dtd.21-2-1994).</w:t>
        <w:br/>
        <w:t>(9) Refer Stand Alone CPA Cover in respective Chapter.</w:t>
        <w:br/>
        <w:t>(10) Refer revised guideline of C.P. I for Gujarat only as per Guj. Govt. Notification.</w:t>
        <w:br/>
        <w:t>(11) Pl. refer Add on cover on next Page.</w:t>
      </w:r>
    </w:p>
    <w:p>
      <w:pPr>
        <w:pStyle w:val="Heading2"/>
        <w:keepNext/>
        <w:spacing w:before="240" w:after="120"/>
      </w:pPr>
      <w:r>
        <w:rPr>
          <w:rFonts w:ascii="Calibri" w:hAnsi="Calibri"/>
          <w:color w:val="003366"/>
        </w:rPr>
        <w:t>Rating Factors &amp; Scope</w:t>
      </w:r>
    </w:p>
    <w:p>
      <w:r>
        <w:t>Rating Factors: The premium rating is based on the following Factors:- (a) Insured's Declared Value (IDV) of the vehicle (for deciding IDV-Refer GR.8). (b) Cubic Capacity. (c) Geographical Zones. (d) Age of the vehicle applicable from the date of registration- Cir. No. Nil. NIA- Portal Dt. 15-9-2014.</w:t>
        <w:br/>
        <w:br/>
        <w:t>SCOPE: (a) Private Car Type Vehicles used for social, domestic and pleasure purposes and also for professional purposes (excluding the carriage of goods other than samples) of the insured or used by the insured's employees for such purposes but excluding use for hire or reward, racing, pace making, reliability trial, speed testing and use for any purpose in connection with the Motor Trade.</w:t>
        <w:br/>
        <w:t>(b) Motorized three wheeled vehicles (including motorized rickshaws/cabin body scooters used for private purposes only).</w:t>
        <w:br/>
        <w:t>(c) Motorized three wheeled vehicles (including motorized rickshaws/ cabin body scooters used for private purposes only), with engine cubic capacity exceeding 750 cc but not exceeding 1000 cc, are to be rated on the basis of minimum cubic capacity of 1000 cc.</w:t>
        <w:br/>
        <w:t>(d) Motorized three wheeled vehicles with engine cubic capacity not exceeding 750 cc are also to be rated as Private Cars with 50% discount on Own Damage premium only. The premium rates shall however not be less than the rates applicable for motorized two wheelers prescribed for the same CC and age under Section-3 of this Tariff.</w:t>
        <w:br/>
        <w:br/>
        <w:t>NB: Fleet Owners (up to IDV of Rs. 4 Crores): To refer Acceptance Limit Head at last page/s.</w:t>
      </w:r>
    </w:p>
    <w:p>
      <w:pPr>
        <w:pStyle w:val="Heading1"/>
        <w:keepNext/>
        <w:spacing w:before="240" w:after="120"/>
      </w:pPr>
      <w:r>
        <w:rPr>
          <w:rFonts w:ascii="Calibri" w:hAnsi="Calibri"/>
          <w:color w:val="003366"/>
        </w:rPr>
        <w:t>ADD ON/ENHANCED COVERS - PVT. CAR - NIA - Upto 7 Yrs</w:t>
      </w:r>
    </w:p>
    <w:p>
      <w:pPr>
        <w:pStyle w:val="Heading2"/>
        <w:keepNext/>
        <w:spacing w:before="240" w:after="120"/>
      </w:pPr>
      <w:r>
        <w:rPr>
          <w:rFonts w:ascii="Calibri" w:hAnsi="Calibri"/>
          <w:color w:val="003366"/>
        </w:rPr>
        <w:t>(1) NIL DEPRECIATION - PACKAGE POLICY</w:t>
      </w:r>
    </w:p>
    <w:p>
      <w:r>
        <w:t>Circulars: Cir. No. 07-NIA-880 Dtd. 25-4-2024 &amp; Cir. No. 13-NIA-HO-5 dtd. 7-6-2024 (Prev.Cir. No. 10-w.e.f. April, 2012 &amp; Clarification dt. 5-3-2014 &amp; Cir.No. 22/IBD 255 Dt.17-8-2015 &amp; Revised Cir of NIA No.19-Mktg.-503, Dt.20-11-2018 &amp; 28-10-2021).</w:t>
        <w:br/>
        <w:br/>
        <w:t>In case of any partial loss claim, the depreciation (between 5 to 50% normally) deducted for replacement of Metallic &amp; Non-Metallic parts, Rubber / Plastic / Fiber parts, but in this case it shall not be deducted from the claim amount for replaced parts if the Enhanced Cover has been opted for. Now the cover is also extended to Tyres / Tubes as per above Circular. (So Cir.239 stands deleted).</w:t>
        <w:br/>
        <w:t>Exclusion other than for depreciation is applicable.</w:t>
        <w:br/>
        <w:t>(a) Car should be up to 7 years old from the date of first purchase - Cir.No.21-NIA-ADMN-697, w.e.f. 28-10-2021.</w:t>
        <w:br/>
        <w:t>(b) This Cover with age above 5 years &amp; up to 7 years can be given to vehicles without NCB consideration. For Roll-over Cases: Renewals of other Companies can be given without NCB consideration. The cover can be granted only if it was opted by the insured in the preceding year. Pre-inspection Report is mandatory. The authority to accept the proposals is Officer in-charge of Operating Office.</w:t>
        <w:br/>
        <w:t>(c) Maximum Passengers carrying capacity should be 9+1 only.</w:t>
        <w:br/>
        <w:t>(d) Coverage within India only.</w:t>
        <w:br/>
        <w:t>(e) Minimum &amp; Maximum value of Pvt. car can be of any amount.</w:t>
        <w:br/>
        <w:t>(f) The numbers of claims under this remains unlimited as per revised Table below.</w:t>
        <w:br/>
        <w:t>(g) Restriction of transfer of Enhanced Cover Policy to new owner in case of transfer of RC and policy to a new owner has been removed - Cir. No. -22- HO, dt. 17-8- 2015.</w:t>
        <w:br/>
        <w:t>(h) Sports cars &amp; Racer cars with carrying capacity exceeding 1+9 have been removed from Declined Risk.</w:t>
        <w:br/>
        <w:t>(i) For more details &amp; Exclusions, pl. refer Guideline.</w:t>
        <w:br/>
        <w:br/>
        <w:t>Excess: Normal/Single excess applicable. Any claim occurring after 7 years from the date of purchase of new 4 wheeler from the Dealer shall be settled as per the provisions of normal 4 wheeler package policy. However at the time of claim, if the vehicle has crossed the age of 7 years during currency of the policy, the claim shall be paid without deduction of depreciation.</w:t>
      </w:r>
    </w:p>
    <w:p>
      <w:pPr>
        <w:pStyle w:val="Heading2"/>
        <w:keepNext/>
        <w:spacing w:before="240" w:after="120"/>
      </w:pPr>
      <w:r>
        <w:rPr>
          <w:rFonts w:ascii="Calibri" w:hAnsi="Calibri"/>
          <w:color w:val="003366"/>
        </w:rPr>
        <w:t>Nil Dep. Cover (Pvt. Car) - Revised Rates - NIA - Up to 1500 CC</w:t>
      </w:r>
    </w:p>
    <w:tbl>
      <w:tblPr>
        <w:tblW w:type="auto" w:w="0"/>
        <w:jc w:val="center"/>
        <w:tblLook w:firstColumn="1" w:firstRow="1" w:lastColumn="0" w:lastRow="0" w:noHBand="0" w:noVBand="1" w:val="04A0"/>
      </w:tblPr>
      <w:tblGrid>
        <w:gridCol w:w="2340"/>
        <w:gridCol w:w="2340"/>
        <w:gridCol w:w="2340"/>
        <w:gridCol w:w="2340"/>
      </w:tblGrid>
      <w:tr>
        <w:tc>
          <w:tcPr>
            <w:tcW w:type="dxa" w:w="2340"/>
            <w:shd w:fill="003366"/>
            <w:tcMar>
              <w:top w:w="80" w:type="dxa"/>
              <w:bottom w:w="80" w:type="dxa"/>
              <w:left w:w="120" w:type="dxa"/>
              <w:right w:w="120" w:type="dxa"/>
            </w:tcMar>
          </w:tcPr>
          <w:p>
            <w:r>
              <w:rPr>
                <w:b/>
                <w:color w:val="FFFFFF"/>
              </w:rPr>
              <w:t>Revised Chart / Year of Age of Car</w:t>
            </w:r>
          </w:p>
        </w:tc>
        <w:tc>
          <w:tcPr>
            <w:tcW w:type="dxa" w:w="2340"/>
            <w:shd w:fill="003366"/>
            <w:tcMar>
              <w:top w:w="80" w:type="dxa"/>
              <w:bottom w:w="80" w:type="dxa"/>
              <w:left w:w="120" w:type="dxa"/>
              <w:right w:w="120" w:type="dxa"/>
            </w:tcMar>
          </w:tcPr>
          <w:p>
            <w:r>
              <w:rPr>
                <w:b/>
                <w:color w:val="FFFFFF"/>
              </w:rPr>
              <w:t>With 2 Nos of Claims</w:t>
            </w:r>
          </w:p>
        </w:tc>
        <w:tc>
          <w:tcPr>
            <w:tcW w:type="dxa" w:w="2340"/>
            <w:shd w:fill="003366"/>
            <w:tcMar>
              <w:top w:w="80" w:type="dxa"/>
              <w:bottom w:w="80" w:type="dxa"/>
              <w:left w:w="120" w:type="dxa"/>
              <w:right w:w="120" w:type="dxa"/>
            </w:tcMar>
          </w:tcPr>
          <w:p>
            <w:r>
              <w:rPr>
                <w:b/>
                <w:color w:val="FFFFFF"/>
              </w:rPr>
              <w:t>With 4 Nos. of Claims</w:t>
            </w:r>
          </w:p>
        </w:tc>
        <w:tc>
          <w:tcPr>
            <w:tcW w:type="dxa" w:w="2340"/>
            <w:shd w:fill="003366"/>
            <w:tcMar>
              <w:top w:w="80" w:type="dxa"/>
              <w:bottom w:w="80" w:type="dxa"/>
              <w:left w:w="120" w:type="dxa"/>
              <w:right w:w="120" w:type="dxa"/>
            </w:tcMar>
          </w:tcPr>
          <w:p>
            <w:r>
              <w:rPr>
                <w:b/>
                <w:color w:val="FFFFFF"/>
              </w:rPr>
              <w:t>Unlimited Nos. of Claims</w:t>
            </w:r>
          </w:p>
        </w:tc>
      </w:tr>
      <w:tr>
        <w:tc>
          <w:tcPr>
            <w:tcW w:type="dxa" w:w="2340"/>
            <w:tcMar>
              <w:top w:w="80" w:type="dxa"/>
              <w:bottom w:w="80" w:type="dxa"/>
              <w:left w:w="120" w:type="dxa"/>
              <w:right w:w="120" w:type="dxa"/>
            </w:tcMar>
          </w:tcPr>
          <w:p>
            <w:r>
              <w:t>1st Year (Brand new &amp; up to 1 year)</w:t>
            </w:r>
          </w:p>
        </w:tc>
        <w:tc>
          <w:tcPr>
            <w:tcW w:type="dxa" w:w="2340"/>
            <w:tcMar>
              <w:top w:w="80" w:type="dxa"/>
              <w:bottom w:w="80" w:type="dxa"/>
              <w:left w:w="120" w:type="dxa"/>
              <w:right w:w="120" w:type="dxa"/>
            </w:tcMar>
          </w:tcPr>
          <w:p>
            <w:r>
              <w:t>@0.38% on IDV</w:t>
            </w:r>
          </w:p>
        </w:tc>
        <w:tc>
          <w:tcPr>
            <w:tcW w:type="dxa" w:w="2340"/>
            <w:tcMar>
              <w:top w:w="80" w:type="dxa"/>
              <w:bottom w:w="80" w:type="dxa"/>
              <w:left w:w="120" w:type="dxa"/>
              <w:right w:w="120" w:type="dxa"/>
            </w:tcMar>
          </w:tcPr>
          <w:p>
            <w:r>
              <w:t>@ 0.58% on IDV</w:t>
            </w:r>
          </w:p>
        </w:tc>
        <w:tc>
          <w:tcPr>
            <w:tcW w:type="dxa" w:w="2340"/>
            <w:tcMar>
              <w:top w:w="80" w:type="dxa"/>
              <w:bottom w:w="80" w:type="dxa"/>
              <w:left w:w="120" w:type="dxa"/>
              <w:right w:w="120" w:type="dxa"/>
            </w:tcMar>
          </w:tcPr>
          <w:p>
            <w:r>
              <w:t>@ 0.86% on IDV</w:t>
            </w:r>
          </w:p>
        </w:tc>
      </w:tr>
      <w:tr>
        <w:tc>
          <w:tcPr>
            <w:tcW w:type="dxa" w:w="2340"/>
            <w:tcMar>
              <w:top w:w="80" w:type="dxa"/>
              <w:bottom w:w="80" w:type="dxa"/>
              <w:left w:w="120" w:type="dxa"/>
              <w:right w:w="120" w:type="dxa"/>
            </w:tcMar>
          </w:tcPr>
          <w:p>
            <w:r>
              <w:t>2nd Year (Above 1 year up to 2 years)</w:t>
            </w:r>
          </w:p>
        </w:tc>
        <w:tc>
          <w:tcPr>
            <w:tcW w:type="dxa" w:w="2340"/>
            <w:tcMar>
              <w:top w:w="80" w:type="dxa"/>
              <w:bottom w:w="80" w:type="dxa"/>
              <w:left w:w="120" w:type="dxa"/>
              <w:right w:w="120" w:type="dxa"/>
            </w:tcMar>
          </w:tcPr>
          <w:p>
            <w:r>
              <w:t>@0.48% on IDV</w:t>
            </w:r>
          </w:p>
        </w:tc>
        <w:tc>
          <w:tcPr>
            <w:tcW w:type="dxa" w:w="2340"/>
            <w:tcMar>
              <w:top w:w="80" w:type="dxa"/>
              <w:bottom w:w="80" w:type="dxa"/>
              <w:left w:w="120" w:type="dxa"/>
              <w:right w:w="120" w:type="dxa"/>
            </w:tcMar>
          </w:tcPr>
          <w:p>
            <w:r>
              <w:t>@ 0.72% on IDV</w:t>
            </w:r>
          </w:p>
        </w:tc>
        <w:tc>
          <w:tcPr>
            <w:tcW w:type="dxa" w:w="2340"/>
            <w:tcMar>
              <w:top w:w="80" w:type="dxa"/>
              <w:bottom w:w="80" w:type="dxa"/>
              <w:left w:w="120" w:type="dxa"/>
              <w:right w:w="120" w:type="dxa"/>
            </w:tcMar>
          </w:tcPr>
          <w:p>
            <w:r>
              <w:t>@ 1.08% on IDV</w:t>
            </w:r>
          </w:p>
        </w:tc>
      </w:tr>
      <w:tr>
        <w:tc>
          <w:tcPr>
            <w:tcW w:type="dxa" w:w="2340"/>
            <w:tcMar>
              <w:top w:w="80" w:type="dxa"/>
              <w:bottom w:w="80" w:type="dxa"/>
              <w:left w:w="120" w:type="dxa"/>
              <w:right w:w="120" w:type="dxa"/>
            </w:tcMar>
          </w:tcPr>
          <w:p>
            <w:r>
              <w:t>3rd Year (Above 2 years up to 3 years)</w:t>
            </w:r>
          </w:p>
        </w:tc>
        <w:tc>
          <w:tcPr>
            <w:tcW w:type="dxa" w:w="2340"/>
            <w:tcMar>
              <w:top w:w="80" w:type="dxa"/>
              <w:bottom w:w="80" w:type="dxa"/>
              <w:left w:w="120" w:type="dxa"/>
              <w:right w:w="120" w:type="dxa"/>
            </w:tcMar>
          </w:tcPr>
          <w:p>
            <w:r>
              <w:t>@0.62% on IDV</w:t>
            </w:r>
          </w:p>
        </w:tc>
        <w:tc>
          <w:tcPr>
            <w:tcW w:type="dxa" w:w="2340"/>
            <w:tcMar>
              <w:top w:w="80" w:type="dxa"/>
              <w:bottom w:w="80" w:type="dxa"/>
              <w:left w:w="120" w:type="dxa"/>
              <w:right w:w="120" w:type="dxa"/>
            </w:tcMar>
          </w:tcPr>
          <w:p>
            <w:r>
              <w:t>@ 0.94% on IDV</w:t>
            </w:r>
          </w:p>
        </w:tc>
        <w:tc>
          <w:tcPr>
            <w:tcW w:type="dxa" w:w="2340"/>
            <w:tcMar>
              <w:top w:w="80" w:type="dxa"/>
              <w:bottom w:w="80" w:type="dxa"/>
              <w:left w:w="120" w:type="dxa"/>
              <w:right w:w="120" w:type="dxa"/>
            </w:tcMar>
          </w:tcPr>
          <w:p>
            <w:r>
              <w:t>@ 1.40% on IDV</w:t>
            </w:r>
          </w:p>
        </w:tc>
      </w:tr>
      <w:tr>
        <w:tc>
          <w:tcPr>
            <w:tcW w:type="dxa" w:w="2340"/>
            <w:tcMar>
              <w:top w:w="80" w:type="dxa"/>
              <w:bottom w:w="80" w:type="dxa"/>
              <w:left w:w="120" w:type="dxa"/>
              <w:right w:w="120" w:type="dxa"/>
            </w:tcMar>
          </w:tcPr>
          <w:p>
            <w:r>
              <w:t>4th Year (Above 3 years up to 4 years)</w:t>
            </w:r>
          </w:p>
        </w:tc>
        <w:tc>
          <w:tcPr>
            <w:tcW w:type="dxa" w:w="2340"/>
            <w:tcMar>
              <w:top w:w="80" w:type="dxa"/>
              <w:bottom w:w="80" w:type="dxa"/>
              <w:left w:w="120" w:type="dxa"/>
              <w:right w:w="120" w:type="dxa"/>
            </w:tcMar>
          </w:tcPr>
          <w:p>
            <w:r>
              <w:t>@0.81% on IDV</w:t>
            </w:r>
          </w:p>
        </w:tc>
        <w:tc>
          <w:tcPr>
            <w:tcW w:type="dxa" w:w="2340"/>
            <w:tcMar>
              <w:top w:w="80" w:type="dxa"/>
              <w:bottom w:w="80" w:type="dxa"/>
              <w:left w:w="120" w:type="dxa"/>
              <w:right w:w="120" w:type="dxa"/>
            </w:tcMar>
          </w:tcPr>
          <w:p>
            <w:r>
              <w:t>@ 1.22% on IDV</w:t>
            </w:r>
          </w:p>
        </w:tc>
        <w:tc>
          <w:tcPr>
            <w:tcW w:type="dxa" w:w="2340"/>
            <w:tcMar>
              <w:top w:w="80" w:type="dxa"/>
              <w:bottom w:w="80" w:type="dxa"/>
              <w:left w:w="120" w:type="dxa"/>
              <w:right w:w="120" w:type="dxa"/>
            </w:tcMar>
          </w:tcPr>
          <w:p>
            <w:r>
              <w:t>@ 1.84% on IDV</w:t>
            </w:r>
          </w:p>
        </w:tc>
      </w:tr>
      <w:tr>
        <w:tc>
          <w:tcPr>
            <w:tcW w:type="dxa" w:w="2340"/>
            <w:tcMar>
              <w:top w:w="80" w:type="dxa"/>
              <w:bottom w:w="80" w:type="dxa"/>
              <w:left w:w="120" w:type="dxa"/>
              <w:right w:w="120" w:type="dxa"/>
            </w:tcMar>
          </w:tcPr>
          <w:p>
            <w:r>
              <w:t>5th Year (Above 4 years up to 5 years)</w:t>
            </w:r>
          </w:p>
        </w:tc>
        <w:tc>
          <w:tcPr>
            <w:tcW w:type="dxa" w:w="2340"/>
            <w:tcMar>
              <w:top w:w="80" w:type="dxa"/>
              <w:bottom w:w="80" w:type="dxa"/>
              <w:left w:w="120" w:type="dxa"/>
              <w:right w:w="120" w:type="dxa"/>
            </w:tcMar>
          </w:tcPr>
          <w:p>
            <w:r>
              <w:t>@1.00% on IDV</w:t>
            </w:r>
          </w:p>
        </w:tc>
        <w:tc>
          <w:tcPr>
            <w:tcW w:type="dxa" w:w="2340"/>
            <w:tcMar>
              <w:top w:w="80" w:type="dxa"/>
              <w:bottom w:w="80" w:type="dxa"/>
              <w:left w:w="120" w:type="dxa"/>
              <w:right w:w="120" w:type="dxa"/>
            </w:tcMar>
          </w:tcPr>
          <w:p>
            <w:r>
              <w:t>@ 1.51% on IDV</w:t>
            </w:r>
          </w:p>
        </w:tc>
        <w:tc>
          <w:tcPr>
            <w:tcW w:type="dxa" w:w="2340"/>
            <w:tcMar>
              <w:top w:w="80" w:type="dxa"/>
              <w:bottom w:w="80" w:type="dxa"/>
              <w:left w:w="120" w:type="dxa"/>
              <w:right w:w="120" w:type="dxa"/>
            </w:tcMar>
          </w:tcPr>
          <w:p>
            <w:r>
              <w:t>@ 2.27% on IDV</w:t>
            </w:r>
          </w:p>
        </w:tc>
      </w:tr>
      <w:tr>
        <w:tc>
          <w:tcPr>
            <w:tcW w:type="dxa" w:w="2340"/>
            <w:tcMar>
              <w:top w:w="80" w:type="dxa"/>
              <w:bottom w:w="80" w:type="dxa"/>
              <w:left w:w="120" w:type="dxa"/>
              <w:right w:w="120" w:type="dxa"/>
            </w:tcMar>
          </w:tcPr>
          <w:p>
            <w:r>
              <w:t>6th Year (Above 5 years up to 6 years)</w:t>
            </w:r>
          </w:p>
        </w:tc>
        <w:tc>
          <w:tcPr>
            <w:tcW w:type="dxa" w:w="2340"/>
            <w:tcMar>
              <w:top w:w="80" w:type="dxa"/>
              <w:bottom w:w="80" w:type="dxa"/>
              <w:left w:w="120" w:type="dxa"/>
              <w:right w:w="120" w:type="dxa"/>
            </w:tcMar>
          </w:tcPr>
          <w:p>
            <w:r>
              <w:t>@1.19% on IDV</w:t>
            </w:r>
          </w:p>
        </w:tc>
        <w:tc>
          <w:tcPr>
            <w:tcW w:type="dxa" w:w="2340"/>
            <w:tcMar>
              <w:top w:w="80" w:type="dxa"/>
              <w:bottom w:w="80" w:type="dxa"/>
              <w:left w:w="120" w:type="dxa"/>
              <w:right w:w="120" w:type="dxa"/>
            </w:tcMar>
          </w:tcPr>
          <w:p>
            <w:r>
              <w:t>@ 1.80% on IDV</w:t>
            </w:r>
          </w:p>
        </w:tc>
        <w:tc>
          <w:tcPr>
            <w:tcW w:type="dxa" w:w="2340"/>
            <w:tcMar>
              <w:top w:w="80" w:type="dxa"/>
              <w:bottom w:w="80" w:type="dxa"/>
              <w:left w:w="120" w:type="dxa"/>
              <w:right w:w="120" w:type="dxa"/>
            </w:tcMar>
          </w:tcPr>
          <w:p>
            <w:r>
              <w:t>@ 2.70% on IDV</w:t>
            </w:r>
          </w:p>
        </w:tc>
      </w:tr>
      <w:tr>
        <w:tc>
          <w:tcPr>
            <w:tcW w:type="dxa" w:w="2340"/>
            <w:tcMar>
              <w:top w:w="80" w:type="dxa"/>
              <w:bottom w:w="80" w:type="dxa"/>
              <w:left w:w="120" w:type="dxa"/>
              <w:right w:w="120" w:type="dxa"/>
            </w:tcMar>
          </w:tcPr>
          <w:p>
            <w:r>
              <w:t>7th Year (Above 6 years up to 7 years)</w:t>
            </w:r>
          </w:p>
        </w:tc>
        <w:tc>
          <w:tcPr>
            <w:tcW w:type="dxa" w:w="2340"/>
            <w:tcMar>
              <w:top w:w="80" w:type="dxa"/>
              <w:bottom w:w="80" w:type="dxa"/>
              <w:left w:w="120" w:type="dxa"/>
              <w:right w:w="120" w:type="dxa"/>
            </w:tcMar>
          </w:tcPr>
          <w:p>
            <w:r>
              <w:t>@1.38% on IDV</w:t>
            </w:r>
          </w:p>
        </w:tc>
        <w:tc>
          <w:tcPr>
            <w:tcW w:type="dxa" w:w="2340"/>
            <w:tcMar>
              <w:top w:w="80" w:type="dxa"/>
              <w:bottom w:w="80" w:type="dxa"/>
              <w:left w:w="120" w:type="dxa"/>
              <w:right w:w="120" w:type="dxa"/>
            </w:tcMar>
          </w:tcPr>
          <w:p>
            <w:r>
              <w:t>@ 2.09% on IDV</w:t>
            </w:r>
          </w:p>
        </w:tc>
        <w:tc>
          <w:tcPr>
            <w:tcW w:type="dxa" w:w="2340"/>
            <w:tcMar>
              <w:top w:w="80" w:type="dxa"/>
              <w:bottom w:w="80" w:type="dxa"/>
              <w:left w:w="120" w:type="dxa"/>
              <w:right w:w="120" w:type="dxa"/>
            </w:tcMar>
          </w:tcPr>
          <w:p>
            <w:r>
              <w:t>@ 3.13% on IDV</w:t>
            </w:r>
          </w:p>
        </w:tc>
      </w:tr>
    </w:tbl>
    <w:p>
      <w:r>
        <w:t>Age of the Car to be reckoned from date of first purchase of New car from Dealer.</w:t>
      </w:r>
    </w:p>
    <w:p>
      <w:pPr>
        <w:pStyle w:val="Heading2"/>
        <w:keepNext/>
        <w:spacing w:before="240" w:after="120"/>
      </w:pPr>
      <w:r>
        <w:rPr>
          <w:rFonts w:ascii="Calibri" w:hAnsi="Calibri"/>
          <w:color w:val="003366"/>
        </w:rPr>
        <w:t>Nil Dep. Cover (Pvt. Car) - Revised Rates - NIA - Above 1500 CC</w:t>
      </w:r>
    </w:p>
    <w:tbl>
      <w:tblPr>
        <w:tblW w:type="auto" w:w="0"/>
        <w:jc w:val="center"/>
        <w:tblLook w:firstColumn="1" w:firstRow="1" w:lastColumn="0" w:lastRow="0" w:noHBand="0" w:noVBand="1" w:val="04A0"/>
      </w:tblPr>
      <w:tblGrid>
        <w:gridCol w:w="2340"/>
        <w:gridCol w:w="2340"/>
        <w:gridCol w:w="2340"/>
        <w:gridCol w:w="2340"/>
      </w:tblGrid>
      <w:tr>
        <w:tc>
          <w:tcPr>
            <w:tcW w:type="dxa" w:w="2340"/>
            <w:shd w:fill="003366"/>
            <w:tcMar>
              <w:top w:w="80" w:type="dxa"/>
              <w:bottom w:w="80" w:type="dxa"/>
              <w:left w:w="120" w:type="dxa"/>
              <w:right w:w="120" w:type="dxa"/>
            </w:tcMar>
          </w:tcPr>
          <w:p>
            <w:r>
              <w:rPr>
                <w:b/>
                <w:color w:val="FFFFFF"/>
              </w:rPr>
              <w:t>Revised Chart / Year of Age of Car</w:t>
            </w:r>
          </w:p>
        </w:tc>
        <w:tc>
          <w:tcPr>
            <w:tcW w:type="dxa" w:w="2340"/>
            <w:shd w:fill="003366"/>
            <w:tcMar>
              <w:top w:w="80" w:type="dxa"/>
              <w:bottom w:w="80" w:type="dxa"/>
              <w:left w:w="120" w:type="dxa"/>
              <w:right w:w="120" w:type="dxa"/>
            </w:tcMar>
          </w:tcPr>
          <w:p>
            <w:r>
              <w:rPr>
                <w:b/>
                <w:color w:val="FFFFFF"/>
              </w:rPr>
              <w:t>With 2 Nos of Claims</w:t>
            </w:r>
          </w:p>
        </w:tc>
        <w:tc>
          <w:tcPr>
            <w:tcW w:type="dxa" w:w="2340"/>
            <w:shd w:fill="003366"/>
            <w:tcMar>
              <w:top w:w="80" w:type="dxa"/>
              <w:bottom w:w="80" w:type="dxa"/>
              <w:left w:w="120" w:type="dxa"/>
              <w:right w:w="120" w:type="dxa"/>
            </w:tcMar>
          </w:tcPr>
          <w:p>
            <w:r>
              <w:rPr>
                <w:b/>
                <w:color w:val="FFFFFF"/>
              </w:rPr>
              <w:t>With 4 Nos. of Claims</w:t>
            </w:r>
          </w:p>
        </w:tc>
        <w:tc>
          <w:tcPr>
            <w:tcW w:type="dxa" w:w="2340"/>
            <w:shd w:fill="003366"/>
            <w:tcMar>
              <w:top w:w="80" w:type="dxa"/>
              <w:bottom w:w="80" w:type="dxa"/>
              <w:left w:w="120" w:type="dxa"/>
              <w:right w:w="120" w:type="dxa"/>
            </w:tcMar>
          </w:tcPr>
          <w:p>
            <w:r>
              <w:rPr>
                <w:b/>
                <w:color w:val="FFFFFF"/>
              </w:rPr>
              <w:t>Unlimited Nos. of Claims</w:t>
            </w:r>
          </w:p>
        </w:tc>
      </w:tr>
      <w:tr>
        <w:tc>
          <w:tcPr>
            <w:tcW w:type="dxa" w:w="2340"/>
            <w:tcMar>
              <w:top w:w="80" w:type="dxa"/>
              <w:bottom w:w="80" w:type="dxa"/>
              <w:left w:w="120" w:type="dxa"/>
              <w:right w:w="120" w:type="dxa"/>
            </w:tcMar>
          </w:tcPr>
          <w:p>
            <w:r>
              <w:t>1st Year (Brand new &amp; up to 1 year)</w:t>
            </w:r>
          </w:p>
        </w:tc>
        <w:tc>
          <w:tcPr>
            <w:tcW w:type="dxa" w:w="2340"/>
            <w:tcMar>
              <w:top w:w="80" w:type="dxa"/>
              <w:bottom w:w="80" w:type="dxa"/>
              <w:left w:w="120" w:type="dxa"/>
              <w:right w:w="120" w:type="dxa"/>
            </w:tcMar>
          </w:tcPr>
          <w:p>
            <w:r>
              <w:t>@0.43% on IDV</w:t>
            </w:r>
          </w:p>
        </w:tc>
        <w:tc>
          <w:tcPr>
            <w:tcW w:type="dxa" w:w="2340"/>
            <w:tcMar>
              <w:top w:w="80" w:type="dxa"/>
              <w:bottom w:w="80" w:type="dxa"/>
              <w:left w:w="120" w:type="dxa"/>
              <w:right w:w="120" w:type="dxa"/>
            </w:tcMar>
          </w:tcPr>
          <w:p>
            <w:r>
              <w:t>@0.65% on IDV</w:t>
            </w:r>
          </w:p>
        </w:tc>
        <w:tc>
          <w:tcPr>
            <w:tcW w:type="dxa" w:w="2340"/>
            <w:tcMar>
              <w:top w:w="80" w:type="dxa"/>
              <w:bottom w:w="80" w:type="dxa"/>
              <w:left w:w="120" w:type="dxa"/>
              <w:right w:w="120" w:type="dxa"/>
            </w:tcMar>
          </w:tcPr>
          <w:p>
            <w:r>
              <w:t>@ 0.97% on IDV</w:t>
            </w:r>
          </w:p>
        </w:tc>
      </w:tr>
      <w:tr>
        <w:tc>
          <w:tcPr>
            <w:tcW w:type="dxa" w:w="2340"/>
            <w:tcMar>
              <w:top w:w="80" w:type="dxa"/>
              <w:bottom w:w="80" w:type="dxa"/>
              <w:left w:w="120" w:type="dxa"/>
              <w:right w:w="120" w:type="dxa"/>
            </w:tcMar>
          </w:tcPr>
          <w:p>
            <w:r>
              <w:t>2nd Year (Above 1 year up to 2 years)</w:t>
            </w:r>
          </w:p>
        </w:tc>
        <w:tc>
          <w:tcPr>
            <w:tcW w:type="dxa" w:w="2340"/>
            <w:tcMar>
              <w:top w:w="80" w:type="dxa"/>
              <w:bottom w:w="80" w:type="dxa"/>
              <w:left w:w="120" w:type="dxa"/>
              <w:right w:w="120" w:type="dxa"/>
            </w:tcMar>
          </w:tcPr>
          <w:p>
            <w:r>
              <w:t>@0.52% on IDV</w:t>
            </w:r>
          </w:p>
        </w:tc>
        <w:tc>
          <w:tcPr>
            <w:tcW w:type="dxa" w:w="2340"/>
            <w:tcMar>
              <w:top w:w="80" w:type="dxa"/>
              <w:bottom w:w="80" w:type="dxa"/>
              <w:left w:w="120" w:type="dxa"/>
              <w:right w:w="120" w:type="dxa"/>
            </w:tcMar>
          </w:tcPr>
          <w:p>
            <w:r>
              <w:t>@ 0.79% on IDV</w:t>
            </w:r>
          </w:p>
        </w:tc>
        <w:tc>
          <w:tcPr>
            <w:tcW w:type="dxa" w:w="2340"/>
            <w:tcMar>
              <w:top w:w="80" w:type="dxa"/>
              <w:bottom w:w="80" w:type="dxa"/>
              <w:left w:w="120" w:type="dxa"/>
              <w:right w:w="120" w:type="dxa"/>
            </w:tcMar>
          </w:tcPr>
          <w:p>
            <w:r>
              <w:t>@1.19% on IDV</w:t>
            </w:r>
          </w:p>
        </w:tc>
      </w:tr>
      <w:tr>
        <w:tc>
          <w:tcPr>
            <w:tcW w:type="dxa" w:w="2340"/>
            <w:tcMar>
              <w:top w:w="80" w:type="dxa"/>
              <w:bottom w:w="80" w:type="dxa"/>
              <w:left w:w="120" w:type="dxa"/>
              <w:right w:w="120" w:type="dxa"/>
            </w:tcMar>
          </w:tcPr>
          <w:p>
            <w:r>
              <w:t>3rd Year (Above 2 years up to 3 years)</w:t>
            </w:r>
          </w:p>
        </w:tc>
        <w:tc>
          <w:tcPr>
            <w:tcW w:type="dxa" w:w="2340"/>
            <w:tcMar>
              <w:top w:w="80" w:type="dxa"/>
              <w:bottom w:w="80" w:type="dxa"/>
              <w:left w:w="120" w:type="dxa"/>
              <w:right w:w="120" w:type="dxa"/>
            </w:tcMar>
          </w:tcPr>
          <w:p>
            <w:r>
              <w:t>@0.67% on IDV</w:t>
            </w:r>
          </w:p>
        </w:tc>
        <w:tc>
          <w:tcPr>
            <w:tcW w:type="dxa" w:w="2340"/>
            <w:tcMar>
              <w:top w:w="80" w:type="dxa"/>
              <w:bottom w:w="80" w:type="dxa"/>
              <w:left w:w="120" w:type="dxa"/>
              <w:right w:w="120" w:type="dxa"/>
            </w:tcMar>
          </w:tcPr>
          <w:p>
            <w:r>
              <w:t>@ 1.00% on IDV</w:t>
            </w:r>
          </w:p>
        </w:tc>
        <w:tc>
          <w:tcPr>
            <w:tcW w:type="dxa" w:w="2340"/>
            <w:tcMar>
              <w:top w:w="80" w:type="dxa"/>
              <w:bottom w:w="80" w:type="dxa"/>
              <w:left w:w="120" w:type="dxa"/>
              <w:right w:w="120" w:type="dxa"/>
            </w:tcMar>
          </w:tcPr>
          <w:p>
            <w:r>
              <w:t>@1.51% on IDV</w:t>
            </w:r>
          </w:p>
        </w:tc>
      </w:tr>
      <w:tr>
        <w:tc>
          <w:tcPr>
            <w:tcW w:type="dxa" w:w="2340"/>
            <w:tcMar>
              <w:top w:w="80" w:type="dxa"/>
              <w:bottom w:w="80" w:type="dxa"/>
              <w:left w:w="120" w:type="dxa"/>
              <w:right w:w="120" w:type="dxa"/>
            </w:tcMar>
          </w:tcPr>
          <w:p>
            <w:r>
              <w:t>4th Year (Above 3 years up to 4 years)</w:t>
            </w:r>
          </w:p>
        </w:tc>
        <w:tc>
          <w:tcPr>
            <w:tcW w:type="dxa" w:w="2340"/>
            <w:tcMar>
              <w:top w:w="80" w:type="dxa"/>
              <w:bottom w:w="80" w:type="dxa"/>
              <w:left w:w="120" w:type="dxa"/>
              <w:right w:w="120" w:type="dxa"/>
            </w:tcMar>
          </w:tcPr>
          <w:p>
            <w:r>
              <w:t>@0.86% on IDV</w:t>
            </w:r>
          </w:p>
        </w:tc>
        <w:tc>
          <w:tcPr>
            <w:tcW w:type="dxa" w:w="2340"/>
            <w:tcMar>
              <w:top w:w="80" w:type="dxa"/>
              <w:bottom w:w="80" w:type="dxa"/>
              <w:left w:w="120" w:type="dxa"/>
              <w:right w:w="120" w:type="dxa"/>
            </w:tcMar>
          </w:tcPr>
          <w:p>
            <w:r>
              <w:t>@ 1.29% on IDV</w:t>
            </w:r>
          </w:p>
        </w:tc>
        <w:tc>
          <w:tcPr>
            <w:tcW w:type="dxa" w:w="2340"/>
            <w:tcMar>
              <w:top w:w="80" w:type="dxa"/>
              <w:bottom w:w="80" w:type="dxa"/>
              <w:left w:w="120" w:type="dxa"/>
              <w:right w:w="120" w:type="dxa"/>
            </w:tcMar>
          </w:tcPr>
          <w:p>
            <w:r>
              <w:t>@ 1.94% on IDV</w:t>
            </w:r>
          </w:p>
        </w:tc>
      </w:tr>
      <w:tr>
        <w:tc>
          <w:tcPr>
            <w:tcW w:type="dxa" w:w="2340"/>
            <w:tcMar>
              <w:top w:w="80" w:type="dxa"/>
              <w:bottom w:w="80" w:type="dxa"/>
              <w:left w:w="120" w:type="dxa"/>
              <w:right w:w="120" w:type="dxa"/>
            </w:tcMar>
          </w:tcPr>
          <w:p>
            <w:r>
              <w:t>5th Year (Above 4 years up to 5 years)</w:t>
            </w:r>
          </w:p>
        </w:tc>
        <w:tc>
          <w:tcPr>
            <w:tcW w:type="dxa" w:w="2340"/>
            <w:tcMar>
              <w:top w:w="80" w:type="dxa"/>
              <w:bottom w:w="80" w:type="dxa"/>
              <w:left w:w="120" w:type="dxa"/>
              <w:right w:w="120" w:type="dxa"/>
            </w:tcMar>
          </w:tcPr>
          <w:p>
            <w:r>
              <w:t>@1.05% on IDV</w:t>
            </w:r>
          </w:p>
        </w:tc>
        <w:tc>
          <w:tcPr>
            <w:tcW w:type="dxa" w:w="2340"/>
            <w:tcMar>
              <w:top w:w="80" w:type="dxa"/>
              <w:bottom w:w="80" w:type="dxa"/>
              <w:left w:w="120" w:type="dxa"/>
              <w:right w:w="120" w:type="dxa"/>
            </w:tcMar>
          </w:tcPr>
          <w:p>
            <w:r>
              <w:t>@ 1.58% on IDV</w:t>
            </w:r>
          </w:p>
        </w:tc>
        <w:tc>
          <w:tcPr>
            <w:tcW w:type="dxa" w:w="2340"/>
            <w:tcMar>
              <w:top w:w="80" w:type="dxa"/>
              <w:bottom w:w="80" w:type="dxa"/>
              <w:left w:w="120" w:type="dxa"/>
              <w:right w:w="120" w:type="dxa"/>
            </w:tcMar>
          </w:tcPr>
          <w:p>
            <w:r>
              <w:t>@2.37% on IDV</w:t>
            </w:r>
          </w:p>
        </w:tc>
      </w:tr>
      <w:tr>
        <w:tc>
          <w:tcPr>
            <w:tcW w:type="dxa" w:w="2340"/>
            <w:tcMar>
              <w:top w:w="80" w:type="dxa"/>
              <w:bottom w:w="80" w:type="dxa"/>
              <w:left w:w="120" w:type="dxa"/>
              <w:right w:w="120" w:type="dxa"/>
            </w:tcMar>
          </w:tcPr>
          <w:p>
            <w:r>
              <w:t>6th Year (Above 5 years up to 6 years)</w:t>
            </w:r>
          </w:p>
        </w:tc>
        <w:tc>
          <w:tcPr>
            <w:tcW w:type="dxa" w:w="2340"/>
            <w:tcMar>
              <w:top w:w="80" w:type="dxa"/>
              <w:bottom w:w="80" w:type="dxa"/>
              <w:left w:w="120" w:type="dxa"/>
              <w:right w:w="120" w:type="dxa"/>
            </w:tcMar>
          </w:tcPr>
          <w:p>
            <w:r>
              <w:t>@1.24% on IDV</w:t>
            </w:r>
          </w:p>
        </w:tc>
        <w:tc>
          <w:tcPr>
            <w:tcW w:type="dxa" w:w="2340"/>
            <w:tcMar>
              <w:top w:w="80" w:type="dxa"/>
              <w:bottom w:w="80" w:type="dxa"/>
              <w:left w:w="120" w:type="dxa"/>
              <w:right w:w="120" w:type="dxa"/>
            </w:tcMar>
          </w:tcPr>
          <w:p>
            <w:r>
              <w:t>@ 1.86% on IDV</w:t>
            </w:r>
          </w:p>
        </w:tc>
        <w:tc>
          <w:tcPr>
            <w:tcW w:type="dxa" w:w="2340"/>
            <w:tcMar>
              <w:top w:w="80" w:type="dxa"/>
              <w:bottom w:w="80" w:type="dxa"/>
              <w:left w:w="120" w:type="dxa"/>
              <w:right w:w="120" w:type="dxa"/>
            </w:tcMar>
          </w:tcPr>
          <w:p>
            <w:r>
              <w:t>@ 2.80% on IDV</w:t>
            </w:r>
          </w:p>
        </w:tc>
      </w:tr>
      <w:tr>
        <w:tc>
          <w:tcPr>
            <w:tcW w:type="dxa" w:w="2340"/>
            <w:tcMar>
              <w:top w:w="80" w:type="dxa"/>
              <w:bottom w:w="80" w:type="dxa"/>
              <w:left w:w="120" w:type="dxa"/>
              <w:right w:w="120" w:type="dxa"/>
            </w:tcMar>
          </w:tcPr>
          <w:p>
            <w:r>
              <w:t>7th Year (Above 6 years up to 7 years)</w:t>
            </w:r>
          </w:p>
        </w:tc>
        <w:tc>
          <w:tcPr>
            <w:tcW w:type="dxa" w:w="2340"/>
            <w:tcMar>
              <w:top w:w="80" w:type="dxa"/>
              <w:bottom w:w="80" w:type="dxa"/>
              <w:left w:w="120" w:type="dxa"/>
              <w:right w:w="120" w:type="dxa"/>
            </w:tcMar>
          </w:tcPr>
          <w:p>
            <w:r>
              <w:t>@1.43% on IDV</w:t>
            </w:r>
          </w:p>
        </w:tc>
        <w:tc>
          <w:tcPr>
            <w:tcW w:type="dxa" w:w="2340"/>
            <w:tcMar>
              <w:top w:w="80" w:type="dxa"/>
              <w:bottom w:w="80" w:type="dxa"/>
              <w:left w:w="120" w:type="dxa"/>
              <w:right w:w="120" w:type="dxa"/>
            </w:tcMar>
          </w:tcPr>
          <w:p>
            <w:r>
              <w:t>@ 2.15% on IDV</w:t>
            </w:r>
          </w:p>
        </w:tc>
        <w:tc>
          <w:tcPr>
            <w:tcW w:type="dxa" w:w="2340"/>
            <w:tcMar>
              <w:top w:w="80" w:type="dxa"/>
              <w:bottom w:w="80" w:type="dxa"/>
              <w:left w:w="120" w:type="dxa"/>
              <w:right w:w="120" w:type="dxa"/>
            </w:tcMar>
          </w:tcPr>
          <w:p>
            <w:r>
              <w:t>@3.23% on IDV</w:t>
            </w:r>
          </w:p>
        </w:tc>
      </w:tr>
    </w:tbl>
    <w:p>
      <w:r>
        <w:t>Age of the Car to be reckoned from date of first purchase of New car from Dealer.</w:t>
      </w:r>
    </w:p>
    <w:p>
      <w:pPr>
        <w:pStyle w:val="Heading2"/>
        <w:keepNext/>
        <w:spacing w:before="240" w:after="120"/>
      </w:pPr>
      <w:r>
        <w:rPr>
          <w:rFonts w:ascii="Calibri" w:hAnsi="Calibri"/>
          <w:color w:val="003366"/>
        </w:rPr>
        <w:t>(2) ENGINE PROTECT COVER (Up to 5 yrs. of age of vehicle-package)</w:t>
      </w:r>
    </w:p>
    <w:tbl>
      <w:tblPr>
        <w:tblW w:type="auto" w:w="0"/>
        <w:jc w:val="center"/>
        <w:tblLook w:firstColumn="1" w:firstRow="1" w:lastColumn="0" w:lastRow="0" w:noHBand="0" w:noVBand="1" w:val="04A0"/>
      </w:tblPr>
      <w:tblGrid>
        <w:gridCol w:w="3120"/>
        <w:gridCol w:w="3120"/>
        <w:gridCol w:w="3120"/>
      </w:tblGrid>
      <w:tr>
        <w:tc>
          <w:tcPr>
            <w:tcW w:type="dxa" w:w="3120"/>
            <w:shd w:fill="003366"/>
            <w:tcMar>
              <w:top w:w="80" w:type="dxa"/>
              <w:bottom w:w="80" w:type="dxa"/>
              <w:left w:w="120" w:type="dxa"/>
              <w:right w:w="120" w:type="dxa"/>
            </w:tcMar>
          </w:tcPr>
          <w:p>
            <w:r>
              <w:rPr>
                <w:b/>
                <w:color w:val="FFFFFF"/>
              </w:rPr>
              <w:t>Age of Private Car in years</w:t>
            </w:r>
          </w:p>
        </w:tc>
        <w:tc>
          <w:tcPr>
            <w:tcW w:type="dxa" w:w="3120"/>
            <w:shd w:fill="003366"/>
            <w:tcMar>
              <w:top w:w="80" w:type="dxa"/>
              <w:bottom w:w="80" w:type="dxa"/>
              <w:left w:w="120" w:type="dxa"/>
              <w:right w:w="120" w:type="dxa"/>
            </w:tcMar>
          </w:tcPr>
          <w:p>
            <w:r>
              <w:rPr>
                <w:b/>
                <w:color w:val="FFFFFF"/>
              </w:rPr>
              <w:t>Without Benefit of Zero depreciation on parts</w:t>
            </w:r>
          </w:p>
        </w:tc>
        <w:tc>
          <w:tcPr>
            <w:tcW w:type="dxa" w:w="3120"/>
            <w:shd w:fill="003366"/>
            <w:tcMar>
              <w:top w:w="80" w:type="dxa"/>
              <w:bottom w:w="80" w:type="dxa"/>
              <w:left w:w="120" w:type="dxa"/>
              <w:right w:w="120" w:type="dxa"/>
            </w:tcMar>
          </w:tcPr>
          <w:p>
            <w:r>
              <w:rPr>
                <w:b/>
                <w:color w:val="FFFFFF"/>
              </w:rPr>
              <w:t>With Benefit of Zero depreciation on parts</w:t>
            </w:r>
          </w:p>
        </w:tc>
      </w:tr>
      <w:tr>
        <w:tc>
          <w:tcPr>
            <w:tcW w:type="dxa" w:w="3120"/>
            <w:tcMar>
              <w:top w:w="80" w:type="dxa"/>
              <w:bottom w:w="80" w:type="dxa"/>
              <w:left w:w="120" w:type="dxa"/>
              <w:right w:w="120" w:type="dxa"/>
            </w:tcMar>
          </w:tcPr>
          <w:p>
            <w:r>
              <w:t>&lt; 1</w:t>
            </w:r>
          </w:p>
        </w:tc>
        <w:tc>
          <w:tcPr>
            <w:tcW w:type="dxa" w:w="3120"/>
            <w:tcMar>
              <w:top w:w="80" w:type="dxa"/>
              <w:bottom w:w="80" w:type="dxa"/>
              <w:left w:w="120" w:type="dxa"/>
              <w:right w:w="120" w:type="dxa"/>
            </w:tcMar>
          </w:tcPr>
          <w:p>
            <w:r>
              <w:t>0.25%</w:t>
            </w:r>
          </w:p>
        </w:tc>
        <w:tc>
          <w:tcPr>
            <w:tcW w:type="dxa" w:w="3120"/>
            <w:tcMar>
              <w:top w:w="80" w:type="dxa"/>
              <w:bottom w:w="80" w:type="dxa"/>
              <w:left w:w="120" w:type="dxa"/>
              <w:right w:w="120" w:type="dxa"/>
            </w:tcMar>
          </w:tcPr>
          <w:p>
            <w:r>
              <w:t>0.26%</w:t>
            </w:r>
          </w:p>
        </w:tc>
      </w:tr>
      <w:tr>
        <w:tc>
          <w:tcPr>
            <w:tcW w:type="dxa" w:w="3120"/>
            <w:tcMar>
              <w:top w:w="80" w:type="dxa"/>
              <w:bottom w:w="80" w:type="dxa"/>
              <w:left w:w="120" w:type="dxa"/>
              <w:right w:w="120" w:type="dxa"/>
            </w:tcMar>
          </w:tcPr>
          <w:p>
            <w:r>
              <w:t>1-2</w:t>
            </w:r>
          </w:p>
        </w:tc>
        <w:tc>
          <w:tcPr>
            <w:tcW w:type="dxa" w:w="3120"/>
            <w:tcMar>
              <w:top w:w="80" w:type="dxa"/>
              <w:bottom w:w="80" w:type="dxa"/>
              <w:left w:w="120" w:type="dxa"/>
              <w:right w:w="120" w:type="dxa"/>
            </w:tcMar>
          </w:tcPr>
          <w:p>
            <w:r>
              <w:t>0.25%</w:t>
            </w:r>
          </w:p>
        </w:tc>
        <w:tc>
          <w:tcPr>
            <w:tcW w:type="dxa" w:w="3120"/>
            <w:tcMar>
              <w:top w:w="80" w:type="dxa"/>
              <w:bottom w:w="80" w:type="dxa"/>
              <w:left w:w="120" w:type="dxa"/>
              <w:right w:w="120" w:type="dxa"/>
            </w:tcMar>
          </w:tcPr>
          <w:p>
            <w:r>
              <w:t>0.28%</w:t>
            </w:r>
          </w:p>
        </w:tc>
      </w:tr>
      <w:tr>
        <w:tc>
          <w:tcPr>
            <w:tcW w:type="dxa" w:w="3120"/>
            <w:tcMar>
              <w:top w:w="80" w:type="dxa"/>
              <w:bottom w:w="80" w:type="dxa"/>
              <w:left w:w="120" w:type="dxa"/>
              <w:right w:w="120" w:type="dxa"/>
            </w:tcMar>
          </w:tcPr>
          <w:p>
            <w:r>
              <w:t>2-3</w:t>
            </w:r>
          </w:p>
        </w:tc>
        <w:tc>
          <w:tcPr>
            <w:tcW w:type="dxa" w:w="3120"/>
            <w:tcMar>
              <w:top w:w="80" w:type="dxa"/>
              <w:bottom w:w="80" w:type="dxa"/>
              <w:left w:w="120" w:type="dxa"/>
              <w:right w:w="120" w:type="dxa"/>
            </w:tcMar>
          </w:tcPr>
          <w:p>
            <w:r>
              <w:t>0.25%</w:t>
            </w:r>
          </w:p>
        </w:tc>
        <w:tc>
          <w:tcPr>
            <w:tcW w:type="dxa" w:w="3120"/>
            <w:tcMar>
              <w:top w:w="80" w:type="dxa"/>
              <w:bottom w:w="80" w:type="dxa"/>
              <w:left w:w="120" w:type="dxa"/>
              <w:right w:w="120" w:type="dxa"/>
            </w:tcMar>
          </w:tcPr>
          <w:p>
            <w:r>
              <w:t>0.30%</w:t>
            </w:r>
          </w:p>
        </w:tc>
      </w:tr>
      <w:tr>
        <w:tc>
          <w:tcPr>
            <w:tcW w:type="dxa" w:w="3120"/>
            <w:tcMar>
              <w:top w:w="80" w:type="dxa"/>
              <w:bottom w:w="80" w:type="dxa"/>
              <w:left w:w="120" w:type="dxa"/>
              <w:right w:w="120" w:type="dxa"/>
            </w:tcMar>
          </w:tcPr>
          <w:p>
            <w:r>
              <w:t>3-4</w:t>
            </w:r>
          </w:p>
        </w:tc>
        <w:tc>
          <w:tcPr>
            <w:tcW w:type="dxa" w:w="3120"/>
            <w:tcMar>
              <w:top w:w="80" w:type="dxa"/>
              <w:bottom w:w="80" w:type="dxa"/>
              <w:left w:w="120" w:type="dxa"/>
              <w:right w:w="120" w:type="dxa"/>
            </w:tcMar>
          </w:tcPr>
          <w:p>
            <w:r>
              <w:t>0.25%</w:t>
            </w:r>
          </w:p>
        </w:tc>
        <w:tc>
          <w:tcPr>
            <w:tcW w:type="dxa" w:w="3120"/>
            <w:tcMar>
              <w:top w:w="80" w:type="dxa"/>
              <w:bottom w:w="80" w:type="dxa"/>
              <w:left w:w="120" w:type="dxa"/>
              <w:right w:w="120" w:type="dxa"/>
            </w:tcMar>
          </w:tcPr>
          <w:p>
            <w:r>
              <w:t>0.35%</w:t>
            </w:r>
          </w:p>
        </w:tc>
      </w:tr>
      <w:tr>
        <w:tc>
          <w:tcPr>
            <w:tcW w:type="dxa" w:w="3120"/>
            <w:tcMar>
              <w:top w:w="80" w:type="dxa"/>
              <w:bottom w:w="80" w:type="dxa"/>
              <w:left w:w="120" w:type="dxa"/>
              <w:right w:w="120" w:type="dxa"/>
            </w:tcMar>
          </w:tcPr>
          <w:p>
            <w:r>
              <w:t>4-5</w:t>
            </w:r>
          </w:p>
        </w:tc>
        <w:tc>
          <w:tcPr>
            <w:tcW w:type="dxa" w:w="3120"/>
            <w:tcMar>
              <w:top w:w="80" w:type="dxa"/>
              <w:bottom w:w="80" w:type="dxa"/>
              <w:left w:w="120" w:type="dxa"/>
              <w:right w:w="120" w:type="dxa"/>
            </w:tcMar>
          </w:tcPr>
          <w:p>
            <w:r>
              <w:t>0.25%</w:t>
            </w:r>
          </w:p>
        </w:tc>
        <w:tc>
          <w:tcPr>
            <w:tcW w:type="dxa" w:w="3120"/>
            <w:tcMar>
              <w:top w:w="80" w:type="dxa"/>
              <w:bottom w:w="80" w:type="dxa"/>
              <w:left w:w="120" w:type="dxa"/>
              <w:right w:w="120" w:type="dxa"/>
            </w:tcMar>
          </w:tcPr>
          <w:p>
            <w:r>
              <w:t>0.40%</w:t>
            </w:r>
          </w:p>
        </w:tc>
      </w:tr>
    </w:tbl>
    <w:p>
      <w:r>
        <w:t>Scope of Cover: (a) Expenses incurred in repair or replacement due to consequential damages arising out of water ingression / leakage of lubricating oil, coolant and damage to vehicle's under carriage arising out of any accidental external means, leading to loss or damage to Engine and Engine Parts, Transmission or Differential Parts Assembly and Parts and Gear Box and Gear Box Parts of the insured's vehicle.</w:t>
        <w:br/>
        <w:t>(b) This cover shall be applicable to any 2 claims at the option of Insured during policy period.</w:t>
        <w:br/>
        <w:t>(c) If Policyholder opts for this Cover in the age bracket of 1 year (i.e. applicable rate for EP 0.26%) and also opts for NIL Depreciation Add on cover, then a discount of 5% be given on premium chargeable for all Add-on covers opted by him/her.</w:t>
        <w:br/>
        <w:t>(d) Pl. refer Gen. Notes after Add-On covers. Also can refer Exclusions from the Clause or U/W office.</w:t>
      </w:r>
    </w:p>
    <w:p>
      <w:pPr>
        <w:pStyle w:val="Heading2"/>
        <w:keepNext/>
        <w:spacing w:before="240" w:after="120"/>
      </w:pPr>
      <w:r>
        <w:rPr>
          <w:rFonts w:ascii="Calibri" w:hAnsi="Calibri"/>
          <w:color w:val="003366"/>
        </w:rPr>
        <w:t>(3) RETURN TO INVOICE COVER - up to 3 yrs. of age of vehicle-package</w:t>
      </w:r>
    </w:p>
    <w:tbl>
      <w:tblPr>
        <w:tblW w:type="auto" w:w="0"/>
        <w:jc w:val="center"/>
        <w:tblLook w:firstColumn="1" w:firstRow="1" w:lastColumn="0" w:lastRow="0" w:noHBand="0" w:noVBand="1" w:val="04A0"/>
      </w:tblPr>
      <w:tblGrid>
        <w:gridCol w:w="4680"/>
        <w:gridCol w:w="4680"/>
      </w:tblGrid>
      <w:tr>
        <w:tc>
          <w:tcPr>
            <w:tcW w:type="dxa" w:w="4680"/>
            <w:shd w:fill="003366"/>
            <w:tcMar>
              <w:top w:w="80" w:type="dxa"/>
              <w:bottom w:w="80" w:type="dxa"/>
              <w:left w:w="120" w:type="dxa"/>
              <w:right w:w="120" w:type="dxa"/>
            </w:tcMar>
          </w:tcPr>
          <w:p>
            <w:r>
              <w:rPr>
                <w:b/>
                <w:color w:val="FFFFFF"/>
              </w:rPr>
              <w:t>Age of Private Car</w:t>
            </w:r>
          </w:p>
        </w:tc>
        <w:tc>
          <w:tcPr>
            <w:tcW w:type="dxa" w:w="4680"/>
            <w:shd w:fill="003366"/>
            <w:tcMar>
              <w:top w:w="80" w:type="dxa"/>
              <w:bottom w:w="80" w:type="dxa"/>
              <w:left w:w="120" w:type="dxa"/>
              <w:right w:w="120" w:type="dxa"/>
            </w:tcMar>
          </w:tcPr>
          <w:p>
            <w:r>
              <w:rPr>
                <w:b/>
                <w:color w:val="FFFFFF"/>
              </w:rPr>
              <w:t>Rate to be charged on IDV of Veh.</w:t>
            </w:r>
          </w:p>
        </w:tc>
      </w:tr>
      <w:tr>
        <w:tc>
          <w:tcPr>
            <w:tcW w:type="dxa" w:w="4680"/>
            <w:tcMar>
              <w:top w:w="80" w:type="dxa"/>
              <w:bottom w:w="80" w:type="dxa"/>
              <w:left w:w="120" w:type="dxa"/>
              <w:right w:w="120" w:type="dxa"/>
            </w:tcMar>
          </w:tcPr>
          <w:p>
            <w:r>
              <w:t>&lt;= 1</w:t>
            </w:r>
          </w:p>
        </w:tc>
        <w:tc>
          <w:tcPr>
            <w:tcW w:type="dxa" w:w="4680"/>
            <w:tcMar>
              <w:top w:w="80" w:type="dxa"/>
              <w:bottom w:w="80" w:type="dxa"/>
              <w:left w:w="120" w:type="dxa"/>
              <w:right w:w="120" w:type="dxa"/>
            </w:tcMar>
          </w:tcPr>
          <w:p>
            <w:r>
              <w:t>0.21%</w:t>
            </w:r>
          </w:p>
        </w:tc>
      </w:tr>
      <w:tr>
        <w:tc>
          <w:tcPr>
            <w:tcW w:type="dxa" w:w="4680"/>
            <w:tcMar>
              <w:top w:w="80" w:type="dxa"/>
              <w:bottom w:w="80" w:type="dxa"/>
              <w:left w:w="120" w:type="dxa"/>
              <w:right w:w="120" w:type="dxa"/>
            </w:tcMar>
          </w:tcPr>
          <w:p>
            <w:r>
              <w:t>1-2</w:t>
            </w:r>
          </w:p>
        </w:tc>
        <w:tc>
          <w:tcPr>
            <w:tcW w:type="dxa" w:w="4680"/>
            <w:tcMar>
              <w:top w:w="80" w:type="dxa"/>
              <w:bottom w:w="80" w:type="dxa"/>
              <w:left w:w="120" w:type="dxa"/>
              <w:right w:w="120" w:type="dxa"/>
            </w:tcMar>
          </w:tcPr>
          <w:p>
            <w:r>
              <w:t>0.44%</w:t>
            </w:r>
          </w:p>
        </w:tc>
      </w:tr>
      <w:tr>
        <w:tc>
          <w:tcPr>
            <w:tcW w:type="dxa" w:w="4680"/>
            <w:tcMar>
              <w:top w:w="80" w:type="dxa"/>
              <w:bottom w:w="80" w:type="dxa"/>
              <w:left w:w="120" w:type="dxa"/>
              <w:right w:w="120" w:type="dxa"/>
            </w:tcMar>
          </w:tcPr>
          <w:p>
            <w:r>
              <w:t>2-3</w:t>
            </w:r>
          </w:p>
        </w:tc>
        <w:tc>
          <w:tcPr>
            <w:tcW w:type="dxa" w:w="4680"/>
            <w:tcMar>
              <w:top w:w="80" w:type="dxa"/>
              <w:bottom w:w="80" w:type="dxa"/>
              <w:left w:w="120" w:type="dxa"/>
              <w:right w:w="120" w:type="dxa"/>
            </w:tcMar>
          </w:tcPr>
          <w:p>
            <w:r>
              <w:t>0.71%</w:t>
            </w:r>
          </w:p>
        </w:tc>
      </w:tr>
    </w:tbl>
    <w:p>
      <w:r>
        <w:t>(a) This cover Indemnifies the insured with On Road Price of the insured vehicle in case of Total Loss / Constructive Total Loss / Theft Claim. The cover includes, Total Ex-Showroom price / Total of Invoice Value as on Date of loss and accessories if any installed in the car at the time of purchase and included in IDV, + Road Tax + Registration Charges + First Year Insurance Premium. (All this 4 components in this cover is mandatory).</w:t>
        <w:br/>
        <w:t>(b) This cover allows the Insured to be indemnified towards the difference between the IDV of the vehicle as per policy and the latest Dealer listed selling price (Ex-showroom price) of same make &amp; model as captured in database in company's I.T. System on the date of accident and at the place of registration of insured vehicle. The Dealer listed selling price shall be reckoned to be the latest Dealer listed selling price on the date of accident irrespective of the date of settlement of the total loss claim.</w:t>
        <w:br/>
        <w:t>(c) Insured vehicle's invoice at the time of initial purchase of private car be collected alongwith Proposal Form.</w:t>
        <w:br/>
        <w:t>(d) Sports cars &amp; Racer cars with carrying capacity exceeding 1+9 have been removed from Declined Risk.</w:t>
        <w:br/>
        <w:t>(e) Above Revision as per Cir. No. 07-880-HO dtd. 25-4-2024.</w:t>
        <w:br/>
        <w:t>(f) Pl. refer Gen. Notes after Add-On covers. Also can refer Exclusions from the Clause or U/W office.</w:t>
      </w:r>
    </w:p>
    <w:p>
      <w:pPr>
        <w:pStyle w:val="Heading2"/>
        <w:keepNext/>
        <w:spacing w:before="240" w:after="120"/>
      </w:pPr>
      <w:r>
        <w:rPr>
          <w:rFonts w:ascii="Calibri" w:hAnsi="Calibri"/>
          <w:color w:val="003366"/>
        </w:rPr>
        <w:t>(4) ROAD TAX COVER (Up to 5 yrs. of age of vehicle-Package policy)</w:t>
      </w:r>
    </w:p>
    <w:tbl>
      <w:tblPr>
        <w:tblW w:type="auto" w:w="0"/>
        <w:jc w:val="center"/>
        <w:tblLook w:firstColumn="1" w:firstRow="1" w:lastColumn="0" w:lastRow="0" w:noHBand="0" w:noVBand="1" w:val="04A0"/>
      </w:tblPr>
      <w:tblGrid>
        <w:gridCol w:w="4680"/>
        <w:gridCol w:w="4680"/>
      </w:tblGrid>
      <w:tr>
        <w:tc>
          <w:tcPr>
            <w:tcW w:type="dxa" w:w="4680"/>
            <w:shd w:fill="003366"/>
            <w:tcMar>
              <w:top w:w="80" w:type="dxa"/>
              <w:bottom w:w="80" w:type="dxa"/>
              <w:left w:w="120" w:type="dxa"/>
              <w:right w:w="120" w:type="dxa"/>
            </w:tcMar>
          </w:tcPr>
          <w:p>
            <w:r>
              <w:rPr>
                <w:b/>
                <w:color w:val="FFFFFF"/>
              </w:rPr>
              <w:t>Amount of Road Tax in Rs.</w:t>
            </w:r>
          </w:p>
        </w:tc>
        <w:tc>
          <w:tcPr>
            <w:tcW w:type="dxa" w:w="4680"/>
            <w:shd w:fill="003366"/>
            <w:tcMar>
              <w:top w:w="80" w:type="dxa"/>
              <w:bottom w:w="80" w:type="dxa"/>
              <w:left w:w="120" w:type="dxa"/>
              <w:right w:w="120" w:type="dxa"/>
            </w:tcMar>
          </w:tcPr>
          <w:p>
            <w:r>
              <w:rPr>
                <w:b/>
                <w:color w:val="FFFFFF"/>
              </w:rPr>
              <w:t>Minimum Premium Rate</w:t>
            </w:r>
          </w:p>
        </w:tc>
      </w:tr>
      <w:tr>
        <w:tc>
          <w:tcPr>
            <w:tcW w:type="dxa" w:w="4680"/>
            <w:tcMar>
              <w:top w:w="80" w:type="dxa"/>
              <w:bottom w:w="80" w:type="dxa"/>
              <w:left w:w="120" w:type="dxa"/>
              <w:right w:w="120" w:type="dxa"/>
            </w:tcMar>
          </w:tcPr>
          <w:p>
            <w:r>
              <w:t>Road Tax Amount</w:t>
            </w:r>
          </w:p>
        </w:tc>
        <w:tc>
          <w:tcPr>
            <w:tcW w:type="dxa" w:w="4680"/>
            <w:tcMar>
              <w:top w:w="80" w:type="dxa"/>
              <w:bottom w:w="80" w:type="dxa"/>
              <w:left w:w="120" w:type="dxa"/>
              <w:right w:w="120" w:type="dxa"/>
            </w:tcMar>
          </w:tcPr>
          <w:p>
            <w:r>
              <w:t>1.67%</w:t>
            </w:r>
          </w:p>
        </w:tc>
      </w:tr>
    </w:tbl>
    <w:p>
      <w:r>
        <w:t>(a) Separate IDV for Road Tax Cover to be given i.e. cost of vehicle &amp; Road Tax Amount paid at the time of first Registration of vehicle. Road Tax receipt or any other document confirming the amount of one time Road Tax paid be collected alongwith Proposal Form.</w:t>
        <w:br/>
        <w:t>(b) This cover applicable only to the Total Loss claim payable under the policy.</w:t>
        <w:br/>
        <w:t>(c) The IDV of this section shall remain same for all renewals.</w:t>
        <w:br/>
        <w:t>(d) Pl. refer Gen. Notes after Add-On covers. Also can refer Exclusions from the Clause or U/W office.</w:t>
      </w:r>
    </w:p>
    <w:p>
      <w:pPr>
        <w:pStyle w:val="Heading2"/>
        <w:keepNext/>
        <w:spacing w:before="240" w:after="120"/>
      </w:pPr>
      <w:r>
        <w:rPr>
          <w:rFonts w:ascii="Calibri" w:hAnsi="Calibri"/>
          <w:color w:val="003366"/>
        </w:rPr>
        <w:t>(5) ADDITIONAL TOWING CHARGES COVER: Up to 7 yrs. of age-package</w:t>
      </w:r>
    </w:p>
    <w:tbl>
      <w:tblPr>
        <w:tblW w:type="auto" w:w="0"/>
        <w:jc w:val="center"/>
        <w:tblLook w:firstColumn="1" w:firstRow="1" w:lastColumn="0" w:lastRow="0" w:noHBand="0" w:noVBand="1" w:val="04A0"/>
      </w:tblPr>
      <w:tblGrid>
        <w:gridCol w:w="4680"/>
        <w:gridCol w:w="4680"/>
      </w:tblGrid>
      <w:tr>
        <w:tc>
          <w:tcPr>
            <w:tcW w:type="dxa" w:w="4680"/>
            <w:shd w:fill="003366"/>
            <w:tcMar>
              <w:top w:w="80" w:type="dxa"/>
              <w:bottom w:w="80" w:type="dxa"/>
              <w:left w:w="120" w:type="dxa"/>
              <w:right w:w="120" w:type="dxa"/>
            </w:tcMar>
          </w:tcPr>
          <w:p>
            <w:r>
              <w:rPr>
                <w:b/>
                <w:color w:val="FFFFFF"/>
              </w:rPr>
              <w:t>Additional Towing Charges Opted</w:t>
            </w:r>
          </w:p>
        </w:tc>
        <w:tc>
          <w:tcPr>
            <w:tcW w:type="dxa" w:w="4680"/>
            <w:shd w:fill="003366"/>
            <w:tcMar>
              <w:top w:w="80" w:type="dxa"/>
              <w:bottom w:w="80" w:type="dxa"/>
              <w:left w:w="120" w:type="dxa"/>
              <w:right w:w="120" w:type="dxa"/>
            </w:tcMar>
          </w:tcPr>
          <w:p>
            <w:r>
              <w:rPr>
                <w:b/>
                <w:color w:val="FFFFFF"/>
              </w:rPr>
              <w:t>Premium as % of Additional Towing charges opted</w:t>
            </w:r>
          </w:p>
        </w:tc>
      </w:tr>
      <w:tr>
        <w:tc>
          <w:tcPr>
            <w:tcW w:type="dxa" w:w="4680"/>
            <w:tcMar>
              <w:top w:w="80" w:type="dxa"/>
              <w:bottom w:w="80" w:type="dxa"/>
              <w:left w:w="120" w:type="dxa"/>
              <w:right w:w="120" w:type="dxa"/>
            </w:tcMar>
          </w:tcPr>
          <w:p>
            <w:r>
              <w:t>Rs. 10,000</w:t>
            </w:r>
          </w:p>
        </w:tc>
        <w:tc>
          <w:tcPr>
            <w:tcW w:type="dxa" w:w="4680"/>
            <w:tcMar>
              <w:top w:w="80" w:type="dxa"/>
              <w:bottom w:w="80" w:type="dxa"/>
              <w:left w:w="120" w:type="dxa"/>
              <w:right w:w="120" w:type="dxa"/>
            </w:tcMar>
          </w:tcPr>
          <w:p>
            <w:r>
              <w:t>5%</w:t>
            </w:r>
          </w:p>
        </w:tc>
      </w:tr>
    </w:tbl>
    <w:p>
      <w:r>
        <w:t>(a) This Cover allows Reimbursement of Towing charges in case of admissible OD claim to the extent of Rs. 10,000 over &amp; above the normal policy limit (i.e. Rs. 1500 as per GR 47) of Towing charges.</w:t>
        <w:br/>
        <w:t>(b) The Sum Insured of Rs. 10,000 is maximum Sum Insured and shall get depleted every time a claim is paid under this cover by the amount of claim paid.</w:t>
        <w:br/>
        <w:t>(c) This cover shall be applicable to any 2 claims at the option of Insured during policy period.</w:t>
        <w:br/>
        <w:t>(d) Pl. refer Gen. Notes after Add-On covers. Also can refer Exclusions from the Clause or U/W office.</w:t>
      </w:r>
    </w:p>
    <w:p>
      <w:pPr>
        <w:pStyle w:val="Heading2"/>
        <w:keepNext/>
        <w:spacing w:before="240" w:after="120"/>
      </w:pPr>
      <w:r>
        <w:rPr>
          <w:rFonts w:ascii="Calibri" w:hAnsi="Calibri"/>
          <w:color w:val="003366"/>
        </w:rPr>
        <w:t>(6) NCB PROTECTION COVER (Up to 7 yrs. of age of vehicle-package)</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003366"/>
            <w:tcMar>
              <w:top w:w="80" w:type="dxa"/>
              <w:bottom w:w="80" w:type="dxa"/>
              <w:left w:w="120" w:type="dxa"/>
              <w:right w:w="120" w:type="dxa"/>
            </w:tcMar>
          </w:tcPr>
          <w:p>
            <w:r>
              <w:rPr>
                <w:b/>
                <w:color w:val="FFFFFF"/>
              </w:rPr>
              <w:t>Current NCB level</w:t>
            </w:r>
          </w:p>
        </w:tc>
        <w:tc>
          <w:tcPr>
            <w:tcW w:type="dxa" w:w="1337"/>
            <w:shd w:fill="003366"/>
            <w:tcMar>
              <w:top w:w="80" w:type="dxa"/>
              <w:bottom w:w="80" w:type="dxa"/>
              <w:left w:w="120" w:type="dxa"/>
              <w:right w:w="120" w:type="dxa"/>
            </w:tcMar>
          </w:tcPr>
          <w:p>
            <w:r>
              <w:rPr>
                <w:b/>
                <w:color w:val="FFFFFF"/>
              </w:rPr>
              <w:t>0%</w:t>
            </w:r>
          </w:p>
        </w:tc>
        <w:tc>
          <w:tcPr>
            <w:tcW w:type="dxa" w:w="1337"/>
            <w:shd w:fill="003366"/>
            <w:tcMar>
              <w:top w:w="80" w:type="dxa"/>
              <w:bottom w:w="80" w:type="dxa"/>
              <w:left w:w="120" w:type="dxa"/>
              <w:right w:w="120" w:type="dxa"/>
            </w:tcMar>
          </w:tcPr>
          <w:p>
            <w:r>
              <w:rPr>
                <w:b/>
                <w:color w:val="FFFFFF"/>
              </w:rPr>
              <w:t>20%</w:t>
            </w:r>
          </w:p>
        </w:tc>
        <w:tc>
          <w:tcPr>
            <w:tcW w:type="dxa" w:w="1337"/>
            <w:shd w:fill="003366"/>
            <w:tcMar>
              <w:top w:w="80" w:type="dxa"/>
              <w:bottom w:w="80" w:type="dxa"/>
              <w:left w:w="120" w:type="dxa"/>
              <w:right w:w="120" w:type="dxa"/>
            </w:tcMar>
          </w:tcPr>
          <w:p>
            <w:r>
              <w:rPr>
                <w:b/>
                <w:color w:val="FFFFFF"/>
              </w:rPr>
              <w:t>25%</w:t>
            </w:r>
          </w:p>
        </w:tc>
        <w:tc>
          <w:tcPr>
            <w:tcW w:type="dxa" w:w="1337"/>
            <w:shd w:fill="003366"/>
            <w:tcMar>
              <w:top w:w="80" w:type="dxa"/>
              <w:bottom w:w="80" w:type="dxa"/>
              <w:left w:w="120" w:type="dxa"/>
              <w:right w:w="120" w:type="dxa"/>
            </w:tcMar>
          </w:tcPr>
          <w:p>
            <w:r>
              <w:rPr>
                <w:b/>
                <w:color w:val="FFFFFF"/>
              </w:rPr>
              <w:t>35%</w:t>
            </w:r>
          </w:p>
        </w:tc>
        <w:tc>
          <w:tcPr>
            <w:tcW w:type="dxa" w:w="1337"/>
            <w:shd w:fill="003366"/>
            <w:tcMar>
              <w:top w:w="80" w:type="dxa"/>
              <w:bottom w:w="80" w:type="dxa"/>
              <w:left w:w="120" w:type="dxa"/>
              <w:right w:w="120" w:type="dxa"/>
            </w:tcMar>
          </w:tcPr>
          <w:p>
            <w:r>
              <w:rPr>
                <w:b/>
                <w:color w:val="FFFFFF"/>
              </w:rPr>
              <w:t>45%</w:t>
            </w:r>
          </w:p>
        </w:tc>
        <w:tc>
          <w:tcPr>
            <w:tcW w:type="dxa" w:w="1337"/>
            <w:shd w:fill="003366"/>
            <w:tcMar>
              <w:top w:w="80" w:type="dxa"/>
              <w:bottom w:w="80" w:type="dxa"/>
              <w:left w:w="120" w:type="dxa"/>
              <w:right w:w="120" w:type="dxa"/>
            </w:tcMar>
          </w:tcPr>
          <w:p>
            <w:r>
              <w:rPr>
                <w:b/>
                <w:color w:val="FFFFFF"/>
              </w:rPr>
              <w:t>50%</w:t>
            </w:r>
          </w:p>
        </w:tc>
      </w:tr>
      <w:tr>
        <w:tc>
          <w:tcPr>
            <w:tcW w:type="dxa" w:w="1337"/>
            <w:tcMar>
              <w:top w:w="80" w:type="dxa"/>
              <w:bottom w:w="80" w:type="dxa"/>
              <w:left w:w="120" w:type="dxa"/>
              <w:right w:w="120" w:type="dxa"/>
            </w:tcMar>
          </w:tcPr>
          <w:p>
            <w:r>
              <w:t>Premium as % of OD premium before NCB</w:t>
            </w:r>
          </w:p>
        </w:tc>
        <w:tc>
          <w:tcPr>
            <w:tcW w:type="dxa" w:w="1337"/>
            <w:tcMar>
              <w:top w:w="80" w:type="dxa"/>
              <w:bottom w:w="80" w:type="dxa"/>
              <w:left w:w="120" w:type="dxa"/>
              <w:right w:w="120" w:type="dxa"/>
            </w:tcMar>
          </w:tcPr>
          <w:p>
            <w:r>
              <w:t>8.50%</w:t>
            </w:r>
          </w:p>
        </w:tc>
        <w:tc>
          <w:tcPr>
            <w:tcW w:type="dxa" w:w="1337"/>
            <w:tcMar>
              <w:top w:w="80" w:type="dxa"/>
              <w:bottom w:w="80" w:type="dxa"/>
              <w:left w:w="120" w:type="dxa"/>
              <w:right w:w="120" w:type="dxa"/>
            </w:tcMar>
          </w:tcPr>
          <w:p>
            <w:r>
              <w:t>10.63%</w:t>
            </w:r>
          </w:p>
        </w:tc>
        <w:tc>
          <w:tcPr>
            <w:tcW w:type="dxa" w:w="1337"/>
            <w:tcMar>
              <w:top w:w="80" w:type="dxa"/>
              <w:bottom w:w="80" w:type="dxa"/>
              <w:left w:w="120" w:type="dxa"/>
              <w:right w:w="120" w:type="dxa"/>
            </w:tcMar>
          </w:tcPr>
          <w:p>
            <w:r>
              <w:t>14.88%</w:t>
            </w:r>
          </w:p>
        </w:tc>
        <w:tc>
          <w:tcPr>
            <w:tcW w:type="dxa" w:w="1337"/>
            <w:tcMar>
              <w:top w:w="80" w:type="dxa"/>
              <w:bottom w:w="80" w:type="dxa"/>
              <w:left w:w="120" w:type="dxa"/>
              <w:right w:w="120" w:type="dxa"/>
            </w:tcMar>
          </w:tcPr>
          <w:p>
            <w:r>
              <w:t>19.13%</w:t>
            </w:r>
          </w:p>
        </w:tc>
        <w:tc>
          <w:tcPr>
            <w:tcW w:type="dxa" w:w="1337"/>
            <w:tcMar>
              <w:top w:w="80" w:type="dxa"/>
              <w:bottom w:w="80" w:type="dxa"/>
              <w:left w:w="120" w:type="dxa"/>
              <w:right w:w="120" w:type="dxa"/>
            </w:tcMar>
          </w:tcPr>
          <w:p>
            <w:r>
              <w:t>21.25%</w:t>
            </w:r>
          </w:p>
        </w:tc>
        <w:tc>
          <w:tcPr>
            <w:tcW w:type="dxa" w:w="1337"/>
            <w:tcMar>
              <w:top w:w="80" w:type="dxa"/>
              <w:bottom w:w="80" w:type="dxa"/>
              <w:left w:w="120" w:type="dxa"/>
              <w:right w:w="120" w:type="dxa"/>
            </w:tcMar>
          </w:tcPr>
          <w:p>
            <w:r>
              <w:t>21.25%</w:t>
            </w:r>
          </w:p>
        </w:tc>
      </w:tr>
    </w:tbl>
    <w:p>
      <w:r>
        <w:t>(a) NCB Protection Cover extension allows Insured to be entitled for the next slab of NCB in % terms as per IMT 2002 even in case of an OD claim in the current policy &amp; shall provide protection limited to first 2 claims during the policy year. Thus if more than 2 OD claims are admissible/paid under the current policy, then the Insured at time of renewal will loose protection of this cover &amp; his No Claim Bonus (NCB) on renewal will be governed by provisions of IMT 2002.</w:t>
        <w:br/>
        <w:t>(b) This Add on cover will lapse if there is a change of ownership of the vehicle. However, if Insured sells his old vehicle and buys a new vehicle of the same class, the Add on cover can be transferred to new vehicle subject to incremental additional premium being paid.</w:t>
        <w:br/>
        <w:t>(c) Pl. refer Gen. Notes after Add-On covers. Also can refer Exclusions from the Clause or U/W office.</w:t>
      </w:r>
    </w:p>
    <w:p>
      <w:pPr>
        <w:pStyle w:val="Heading2"/>
        <w:keepNext/>
        <w:spacing w:before="240" w:after="120"/>
      </w:pPr>
      <w:r>
        <w:rPr>
          <w:rFonts w:ascii="Calibri" w:hAnsi="Calibri"/>
          <w:color w:val="003366"/>
        </w:rPr>
        <w:t>(7) LOSS OF CONTENTS COVER (Up to 7 years of age of vehicle-package)</w:t>
      </w:r>
    </w:p>
    <w:p>
      <w:r>
        <w:t>Premium from 1 to 7 years age of vehicles on the fixed Sum Insured i.e. 20,000 @ rate of 0.7% (Flat/Same Rate for all years)</w:t>
        <w:br/>
        <w:t>(a) This extension Cover allows the Insured to Opt for Sum Insured up to Rs. 20,000 (fixed amount) with a 20% cap of Sum Insured for each individual item or actual value of lost item whichever is less for the loss of personal belongings (contents) in an Accident/Theft/Burglary i.e. cloths &amp; other articles of personal nature likely to be worn by the Insured including jewellery &amp;/or used or carried by him, vehicle Key, Mobile, Laptop, Audio Video Tapes &amp; CDs but shall exclude Money, Securities, Cheques, DD, Debit/Credit Card, Travel Tickets, Paintings, Curios and items of similar nature.</w:t>
        <w:br/>
        <w:t>(b) This cover shall be applicable to any 2 claims at the option of Insured during policy period (as per revised guideline).</w:t>
        <w:br/>
        <w:t>(c) The Theft and burglary claims under this add on cover will be settled subject to submission of FIR lodged with police. Police complaint should be in FIR and not GD Entry or DDR.</w:t>
        <w:br/>
        <w:t>(d) The Sum Insured shall get depleted to the extent of first claim paid.</w:t>
        <w:br/>
        <w:t>(e) Pl. refer Gen. Notes after Add-On covers. Also can refer Exclusions from the Clause or U/W office.</w:t>
      </w:r>
    </w:p>
    <w:p>
      <w:pPr>
        <w:pStyle w:val="Heading2"/>
        <w:keepNext/>
        <w:spacing w:before="240" w:after="120"/>
      </w:pPr>
      <w:r>
        <w:rPr>
          <w:rFonts w:ascii="Calibri" w:hAnsi="Calibri"/>
          <w:color w:val="003366"/>
        </w:rPr>
        <w:t>(8) PERSONAL BELONGING COVER: (Up to 5 years of Age-Package)</w:t>
      </w:r>
    </w:p>
    <w:p>
      <w:r>
        <w:t>The Company undertakes to indemnify the Insured, up to the Sum Insured of Rs. 50,000 or current market price whichever is lower for the Theft/loss/damage of personal belongings including electronics (like Laptop, Mobile phones etc.) on account of damage to or Theft from Insured's car (the cover is on the line of loss of content cover as per Sr. No.7 as above).</w:t>
        <w:br/>
        <w:t>(a) Invoice copy is mandatory for the claim.</w:t>
        <w:br/>
        <w:t>(b) Under insurance / depreciation not applicable for repair cases (to be on First Loss basis).</w:t>
        <w:br/>
        <w:t>(c) Maximum 2 claims payable during the policy period.</w:t>
        <w:br/>
        <w:t>(d) Rating - Rs.500 Flat premium up to 5 years of age of the vehicle.</w:t>
        <w:br/>
        <w:t>(e) No additional Deductible.</w:t>
        <w:br/>
        <w:t>(f) Pl. refer Gen. Notes after Add-On covers. Also can refer Exclusions from the Clause or U/W office.</w:t>
        <w:br/>
        <w:t>NB: Cir.NIA-No.18-Mktg-504, dt.20-11-2018 for above.</w:t>
      </w:r>
    </w:p>
    <w:p>
      <w:pPr>
        <w:pStyle w:val="Heading2"/>
        <w:keepNext/>
        <w:spacing w:before="240" w:after="120"/>
      </w:pPr>
      <w:r>
        <w:rPr>
          <w:rFonts w:ascii="Calibri" w:hAnsi="Calibri"/>
          <w:color w:val="003366"/>
        </w:rPr>
        <w:t>(9) CONSUMABLE ITEMS: Up to 5 years of Age-Package Policy</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003366"/>
            <w:tcMar>
              <w:top w:w="80" w:type="dxa"/>
              <w:bottom w:w="80" w:type="dxa"/>
              <w:left w:w="120" w:type="dxa"/>
              <w:right w:w="120" w:type="dxa"/>
            </w:tcMar>
          </w:tcPr>
          <w:p>
            <w:r>
              <w:rPr>
                <w:b/>
                <w:color w:val="FFFFFF"/>
              </w:rPr>
              <w:t>Add on covers</w:t>
            </w:r>
          </w:p>
        </w:tc>
        <w:tc>
          <w:tcPr>
            <w:tcW w:type="dxa" w:w="1560"/>
            <w:shd w:fill="003366"/>
            <w:tcMar>
              <w:top w:w="80" w:type="dxa"/>
              <w:bottom w:w="80" w:type="dxa"/>
              <w:left w:w="120" w:type="dxa"/>
              <w:right w:w="120" w:type="dxa"/>
            </w:tcMar>
          </w:tcPr>
          <w:p>
            <w:r>
              <w:rPr>
                <w:b/>
                <w:color w:val="FFFFFF"/>
              </w:rPr>
              <w:t>Up to 1 year</w:t>
            </w:r>
          </w:p>
        </w:tc>
        <w:tc>
          <w:tcPr>
            <w:tcW w:type="dxa" w:w="1560"/>
            <w:shd w:fill="003366"/>
            <w:tcMar>
              <w:top w:w="80" w:type="dxa"/>
              <w:bottom w:w="80" w:type="dxa"/>
              <w:left w:w="120" w:type="dxa"/>
              <w:right w:w="120" w:type="dxa"/>
            </w:tcMar>
          </w:tcPr>
          <w:p>
            <w:r>
              <w:rPr>
                <w:b/>
                <w:color w:val="FFFFFF"/>
              </w:rPr>
              <w:t>Above 1 year &amp; Up to 2 years</w:t>
            </w:r>
          </w:p>
        </w:tc>
        <w:tc>
          <w:tcPr>
            <w:tcW w:type="dxa" w:w="1560"/>
            <w:shd w:fill="003366"/>
            <w:tcMar>
              <w:top w:w="80" w:type="dxa"/>
              <w:bottom w:w="80" w:type="dxa"/>
              <w:left w:w="120" w:type="dxa"/>
              <w:right w:w="120" w:type="dxa"/>
            </w:tcMar>
          </w:tcPr>
          <w:p>
            <w:r>
              <w:rPr>
                <w:b/>
                <w:color w:val="FFFFFF"/>
              </w:rPr>
              <w:t>Above 2 years &amp; Up to 3 years</w:t>
            </w:r>
          </w:p>
        </w:tc>
        <w:tc>
          <w:tcPr>
            <w:tcW w:type="dxa" w:w="1560"/>
            <w:shd w:fill="003366"/>
            <w:tcMar>
              <w:top w:w="80" w:type="dxa"/>
              <w:bottom w:w="80" w:type="dxa"/>
              <w:left w:w="120" w:type="dxa"/>
              <w:right w:w="120" w:type="dxa"/>
            </w:tcMar>
          </w:tcPr>
          <w:p>
            <w:r>
              <w:rPr>
                <w:b/>
                <w:color w:val="FFFFFF"/>
              </w:rPr>
              <w:t>Above 3 years &amp; Up to 4 years</w:t>
            </w:r>
          </w:p>
        </w:tc>
        <w:tc>
          <w:tcPr>
            <w:tcW w:type="dxa" w:w="1560"/>
            <w:shd w:fill="003366"/>
            <w:tcMar>
              <w:top w:w="80" w:type="dxa"/>
              <w:bottom w:w="80" w:type="dxa"/>
              <w:left w:w="120" w:type="dxa"/>
              <w:right w:w="120" w:type="dxa"/>
            </w:tcMar>
          </w:tcPr>
          <w:p>
            <w:r>
              <w:rPr>
                <w:b/>
                <w:color w:val="FFFFFF"/>
              </w:rPr>
              <w:t>Above 4 years &amp; Up to 5 years</w:t>
            </w:r>
          </w:p>
        </w:tc>
      </w:tr>
      <w:tr>
        <w:tc>
          <w:tcPr>
            <w:tcW w:type="dxa" w:w="1560"/>
            <w:tcMar>
              <w:top w:w="80" w:type="dxa"/>
              <w:bottom w:w="80" w:type="dxa"/>
              <w:left w:w="120" w:type="dxa"/>
              <w:right w:w="120" w:type="dxa"/>
            </w:tcMar>
          </w:tcPr>
          <w:p>
            <w:r>
              <w:t>Consumable Items Add on Cover</w:t>
            </w:r>
          </w:p>
        </w:tc>
        <w:tc>
          <w:tcPr>
            <w:tcW w:type="dxa" w:w="1560"/>
            <w:tcMar>
              <w:top w:w="80" w:type="dxa"/>
              <w:bottom w:w="80" w:type="dxa"/>
              <w:left w:w="120" w:type="dxa"/>
              <w:right w:w="120" w:type="dxa"/>
            </w:tcMar>
          </w:tcPr>
          <w:p>
            <w:r>
              <w:t>0.14% on IDV</w:t>
            </w:r>
          </w:p>
        </w:tc>
        <w:tc>
          <w:tcPr>
            <w:tcW w:type="dxa" w:w="1560"/>
            <w:tcMar>
              <w:top w:w="80" w:type="dxa"/>
              <w:bottom w:w="80" w:type="dxa"/>
              <w:left w:w="120" w:type="dxa"/>
              <w:right w:w="120" w:type="dxa"/>
            </w:tcMar>
          </w:tcPr>
          <w:p>
            <w:r>
              <w:t>0.16% on IDV</w:t>
            </w:r>
          </w:p>
        </w:tc>
        <w:tc>
          <w:tcPr>
            <w:tcW w:type="dxa" w:w="1560"/>
            <w:tcMar>
              <w:top w:w="80" w:type="dxa"/>
              <w:bottom w:w="80" w:type="dxa"/>
              <w:left w:w="120" w:type="dxa"/>
              <w:right w:w="120" w:type="dxa"/>
            </w:tcMar>
          </w:tcPr>
          <w:p>
            <w:r>
              <w:t>0.18% on IDV</w:t>
            </w:r>
          </w:p>
        </w:tc>
        <w:tc>
          <w:tcPr>
            <w:tcW w:type="dxa" w:w="1560"/>
            <w:tcMar>
              <w:top w:w="80" w:type="dxa"/>
              <w:bottom w:w="80" w:type="dxa"/>
              <w:left w:w="120" w:type="dxa"/>
              <w:right w:w="120" w:type="dxa"/>
            </w:tcMar>
          </w:tcPr>
          <w:p>
            <w:r>
              <w:t>0.21% on IDV</w:t>
            </w:r>
          </w:p>
        </w:tc>
        <w:tc>
          <w:tcPr>
            <w:tcW w:type="dxa" w:w="1560"/>
            <w:tcMar>
              <w:top w:w="80" w:type="dxa"/>
              <w:bottom w:w="80" w:type="dxa"/>
              <w:left w:w="120" w:type="dxa"/>
              <w:right w:w="120" w:type="dxa"/>
            </w:tcMar>
          </w:tcPr>
          <w:p>
            <w:r>
              <w:t>0.25% on IDV</w:t>
            </w:r>
          </w:p>
        </w:tc>
      </w:tr>
    </w:tbl>
    <w:p>
      <w:r>
        <w:t>Any Consumable item which is not payable under Std. Motor Package Policy becomes payable with this Add on.</w:t>
        <w:br/>
        <w:t>(a) Such Consumable items can be Nut &amp; Bolt, Screw, Washers, Grease, Lubricants Clip, AC Gas, Bearings, Distilled water, Engine oil, Oil Filter, Fuel Filter, Brake oil etc.</w:t>
        <w:br/>
        <w:t>(b) Maximum 2 partial loss OD claims payable during policy period.</w:t>
        <w:br/>
        <w:t>(c) It must ensure that the loss of such consumable items has arisen due to the operation of or arising out of any peril covered under the policy.</w:t>
        <w:br/>
        <w:t>(d) Pl. refer Gen. Notes after Add-On covers. Also can refer Exclusions from the Clause or U/W office.</w:t>
        <w:br/>
        <w:t>Guideline as per Cir.No.3-NIA-Mktg-517, Dt.1-2-2019.</w:t>
      </w:r>
    </w:p>
    <w:p>
      <w:pPr>
        <w:pStyle w:val="Heading2"/>
        <w:keepNext/>
        <w:spacing w:before="240" w:after="120"/>
      </w:pPr>
      <w:r>
        <w:rPr>
          <w:rFonts w:ascii="Calibri" w:hAnsi="Calibri"/>
          <w:color w:val="003366"/>
        </w:rPr>
        <w:t>(10) HIGH VALUE P.A. COVER: (Up to 5 years of Age-Package)</w:t>
      </w:r>
    </w:p>
    <w:p>
      <w:r>
        <w:t>Under this cover, the Company undertakes to indemnify the Insured up to Rs. 15 Lakhs per person (maximum up to Seating Capacity of vehicle) for Death or Total Permanent disability due to accident.</w:t>
        <w:br/>
        <w:t>Persons to be covered: (1) Occupants of the insured vehicle including Paid Driver. (2) Number of persons to be covered per vehicle is equal to the Seating Capacity of the vehicle (including the Owner while he is driving the car and the Paid Driver). (3) If passengers of insured vehicle suffer bodily injury by violent, accidental, external &amp; visible means in direct connection with an accident, this cover will pay as per the P.A. Cover of Indian Motor Tariff (Refer P.A. Chapter form this book for Coverage i.e. 1 to 4). (4) Rate is on Sum Insured. (5) Pl. refer Gen. Notes after Add-On covers. Also can refer Exclusions from the Clause or U/W office.</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003366"/>
            <w:tcMar>
              <w:top w:w="80" w:type="dxa"/>
              <w:bottom w:w="80" w:type="dxa"/>
              <w:left w:w="120" w:type="dxa"/>
              <w:right w:w="120" w:type="dxa"/>
            </w:tcMar>
          </w:tcPr>
          <w:p>
            <w:r>
              <w:rPr>
                <w:b/>
                <w:color w:val="FFFFFF"/>
              </w:rPr>
              <w:t>Add on covers</w:t>
            </w:r>
          </w:p>
        </w:tc>
        <w:tc>
          <w:tcPr>
            <w:tcW w:type="dxa" w:w="1560"/>
            <w:shd w:fill="003366"/>
            <w:tcMar>
              <w:top w:w="80" w:type="dxa"/>
              <w:bottom w:w="80" w:type="dxa"/>
              <w:left w:w="120" w:type="dxa"/>
              <w:right w:w="120" w:type="dxa"/>
            </w:tcMar>
          </w:tcPr>
          <w:p>
            <w:r>
              <w:rPr>
                <w:b/>
                <w:color w:val="FFFFFF"/>
              </w:rPr>
              <w:t>Up to 1 year</w:t>
            </w:r>
          </w:p>
        </w:tc>
        <w:tc>
          <w:tcPr>
            <w:tcW w:type="dxa" w:w="1560"/>
            <w:shd w:fill="003366"/>
            <w:tcMar>
              <w:top w:w="80" w:type="dxa"/>
              <w:bottom w:w="80" w:type="dxa"/>
              <w:left w:w="120" w:type="dxa"/>
              <w:right w:w="120" w:type="dxa"/>
            </w:tcMar>
          </w:tcPr>
          <w:p>
            <w:r>
              <w:rPr>
                <w:b/>
                <w:color w:val="FFFFFF"/>
              </w:rPr>
              <w:t>Above 1 year &amp; Up to 2 years</w:t>
            </w:r>
          </w:p>
        </w:tc>
        <w:tc>
          <w:tcPr>
            <w:tcW w:type="dxa" w:w="1560"/>
            <w:shd w:fill="003366"/>
            <w:tcMar>
              <w:top w:w="80" w:type="dxa"/>
              <w:bottom w:w="80" w:type="dxa"/>
              <w:left w:w="120" w:type="dxa"/>
              <w:right w:w="120" w:type="dxa"/>
            </w:tcMar>
          </w:tcPr>
          <w:p>
            <w:r>
              <w:rPr>
                <w:b/>
                <w:color w:val="FFFFFF"/>
              </w:rPr>
              <w:t>Above 2 years &amp; Up to 3 years</w:t>
            </w:r>
          </w:p>
        </w:tc>
        <w:tc>
          <w:tcPr>
            <w:tcW w:type="dxa" w:w="1560"/>
            <w:shd w:fill="003366"/>
            <w:tcMar>
              <w:top w:w="80" w:type="dxa"/>
              <w:bottom w:w="80" w:type="dxa"/>
              <w:left w:w="120" w:type="dxa"/>
              <w:right w:w="120" w:type="dxa"/>
            </w:tcMar>
          </w:tcPr>
          <w:p>
            <w:r>
              <w:rPr>
                <w:b/>
                <w:color w:val="FFFFFF"/>
              </w:rPr>
              <w:t>Above 3 years &amp; Up to 4 years</w:t>
            </w:r>
          </w:p>
        </w:tc>
        <w:tc>
          <w:tcPr>
            <w:tcW w:type="dxa" w:w="1560"/>
            <w:shd w:fill="003366"/>
            <w:tcMar>
              <w:top w:w="80" w:type="dxa"/>
              <w:bottom w:w="80" w:type="dxa"/>
              <w:left w:w="120" w:type="dxa"/>
              <w:right w:w="120" w:type="dxa"/>
            </w:tcMar>
          </w:tcPr>
          <w:p>
            <w:r>
              <w:rPr>
                <w:b/>
                <w:color w:val="FFFFFF"/>
              </w:rPr>
              <w:t>Above 4 years &amp; Up to 5 years</w:t>
            </w:r>
          </w:p>
        </w:tc>
      </w:tr>
      <w:tr>
        <w:tc>
          <w:tcPr>
            <w:tcW w:type="dxa" w:w="1560"/>
            <w:tcMar>
              <w:top w:w="80" w:type="dxa"/>
              <w:bottom w:w="80" w:type="dxa"/>
              <w:left w:w="120" w:type="dxa"/>
              <w:right w:w="120" w:type="dxa"/>
            </w:tcMar>
          </w:tcPr>
          <w:p>
            <w:r>
              <w:t>High Value P.A. Cover</w:t>
            </w:r>
          </w:p>
        </w:tc>
        <w:tc>
          <w:tcPr>
            <w:tcW w:type="dxa" w:w="1560"/>
            <w:tcMar>
              <w:top w:w="80" w:type="dxa"/>
              <w:bottom w:w="80" w:type="dxa"/>
              <w:left w:w="120" w:type="dxa"/>
              <w:right w:w="120" w:type="dxa"/>
            </w:tcMar>
          </w:tcPr>
          <w:p>
            <w:r>
              <w:t>0.07% on S.I.</w:t>
            </w:r>
          </w:p>
        </w:tc>
        <w:tc>
          <w:tcPr>
            <w:tcW w:type="dxa" w:w="1560"/>
            <w:tcMar>
              <w:top w:w="80" w:type="dxa"/>
              <w:bottom w:w="80" w:type="dxa"/>
              <w:left w:w="120" w:type="dxa"/>
              <w:right w:w="120" w:type="dxa"/>
            </w:tcMar>
          </w:tcPr>
          <w:p>
            <w:r>
              <w:t>0.07% on S.I.</w:t>
            </w:r>
          </w:p>
        </w:tc>
        <w:tc>
          <w:tcPr>
            <w:tcW w:type="dxa" w:w="1560"/>
            <w:tcMar>
              <w:top w:w="80" w:type="dxa"/>
              <w:bottom w:w="80" w:type="dxa"/>
              <w:left w:w="120" w:type="dxa"/>
              <w:right w:w="120" w:type="dxa"/>
            </w:tcMar>
          </w:tcPr>
          <w:p>
            <w:r>
              <w:t>0.07% on S.I.</w:t>
            </w:r>
          </w:p>
        </w:tc>
        <w:tc>
          <w:tcPr>
            <w:tcW w:type="dxa" w:w="1560"/>
            <w:tcMar>
              <w:top w:w="80" w:type="dxa"/>
              <w:bottom w:w="80" w:type="dxa"/>
              <w:left w:w="120" w:type="dxa"/>
              <w:right w:w="120" w:type="dxa"/>
            </w:tcMar>
          </w:tcPr>
          <w:p>
            <w:r>
              <w:t>0.07% on S.I.</w:t>
            </w:r>
          </w:p>
        </w:tc>
        <w:tc>
          <w:tcPr>
            <w:tcW w:type="dxa" w:w="1560"/>
            <w:tcMar>
              <w:top w:w="80" w:type="dxa"/>
              <w:bottom w:w="80" w:type="dxa"/>
              <w:left w:w="120" w:type="dxa"/>
              <w:right w:w="120" w:type="dxa"/>
            </w:tcMar>
          </w:tcPr>
          <w:p>
            <w:r>
              <w:t>0.07% on S.I.</w:t>
            </w:r>
          </w:p>
        </w:tc>
      </w:tr>
    </w:tbl>
    <w:p>
      <w:pPr>
        <w:pStyle w:val="Heading2"/>
        <w:keepNext/>
        <w:spacing w:before="240" w:after="120"/>
      </w:pPr>
      <w:r>
        <w:rPr>
          <w:rFonts w:ascii="Calibri" w:hAnsi="Calibri"/>
          <w:color w:val="003366"/>
        </w:rPr>
        <w:t>(11) TYRE &amp; ALLOY COVER UNDER-PACKAGE POLICY - upto 3 Yrs</w:t>
      </w:r>
    </w:p>
    <w:p>
      <w:r>
        <w:t>SCOPE OF COVER: Under this cover, the Company undertakes to pay for repair and/or replacement of tyres damaged due to cut, burst, bulge or continuous running under deflated condition. The company also undertakes to pay for replacement of standalone tyre/alloy/rim if damaged or deformed. - Cir. No. 20-HO-MTD-OD-IBD:ADMM-696, Dt. 28-10-2021. There will be maximum of 4 tyres and/or 4 alloys/rims replacements available in a policy term. Premium Rates: Pvt. Car - The Maximum carrying capacity can be 9+1 only.</w:t>
      </w:r>
    </w:p>
    <w:tbl>
      <w:tblPr>
        <w:tblW w:type="auto" w:w="0"/>
        <w:jc w:val="center"/>
        <w:tblLook w:firstColumn="1" w:firstRow="1" w:lastColumn="0" w:lastRow="0" w:noHBand="0" w:noVBand="1" w:val="04A0"/>
      </w:tblPr>
      <w:tblGrid>
        <w:gridCol w:w="2340"/>
        <w:gridCol w:w="2340"/>
        <w:gridCol w:w="2340"/>
        <w:gridCol w:w="2340"/>
      </w:tblGrid>
      <w:tr>
        <w:tc>
          <w:tcPr>
            <w:tcW w:type="dxa" w:w="2340"/>
            <w:shd w:fill="003366"/>
            <w:tcMar>
              <w:top w:w="80" w:type="dxa"/>
              <w:bottom w:w="80" w:type="dxa"/>
              <w:left w:w="120" w:type="dxa"/>
              <w:right w:w="120" w:type="dxa"/>
            </w:tcMar>
          </w:tcPr>
          <w:p>
            <w:r>
              <w:rPr>
                <w:b/>
                <w:color w:val="FFFFFF"/>
              </w:rPr>
              <w:t>Add On Cover</w:t>
            </w:r>
          </w:p>
        </w:tc>
        <w:tc>
          <w:tcPr>
            <w:tcW w:type="dxa" w:w="2340"/>
            <w:shd w:fill="003366"/>
            <w:tcMar>
              <w:top w:w="80" w:type="dxa"/>
              <w:bottom w:w="80" w:type="dxa"/>
              <w:left w:w="120" w:type="dxa"/>
              <w:right w:w="120" w:type="dxa"/>
            </w:tcMar>
          </w:tcPr>
          <w:p>
            <w:r>
              <w:rPr>
                <w:b/>
                <w:color w:val="FFFFFF"/>
              </w:rPr>
              <w:t>Up to 1 year</w:t>
            </w:r>
          </w:p>
        </w:tc>
        <w:tc>
          <w:tcPr>
            <w:tcW w:type="dxa" w:w="2340"/>
            <w:shd w:fill="003366"/>
            <w:tcMar>
              <w:top w:w="80" w:type="dxa"/>
              <w:bottom w:w="80" w:type="dxa"/>
              <w:left w:w="120" w:type="dxa"/>
              <w:right w:w="120" w:type="dxa"/>
            </w:tcMar>
          </w:tcPr>
          <w:p>
            <w:r>
              <w:rPr>
                <w:b/>
                <w:color w:val="FFFFFF"/>
              </w:rPr>
              <w:t>Above 1 year &amp; up to 2 years</w:t>
            </w:r>
          </w:p>
        </w:tc>
        <w:tc>
          <w:tcPr>
            <w:tcW w:type="dxa" w:w="2340"/>
            <w:shd w:fill="003366"/>
            <w:tcMar>
              <w:top w:w="80" w:type="dxa"/>
              <w:bottom w:w="80" w:type="dxa"/>
              <w:left w:w="120" w:type="dxa"/>
              <w:right w:w="120" w:type="dxa"/>
            </w:tcMar>
          </w:tcPr>
          <w:p>
            <w:r>
              <w:rPr>
                <w:b/>
                <w:color w:val="FFFFFF"/>
              </w:rPr>
              <w:t>Above 2 years &amp; up to 3 years</w:t>
            </w:r>
          </w:p>
        </w:tc>
      </w:tr>
      <w:tr>
        <w:tc>
          <w:tcPr>
            <w:tcW w:type="dxa" w:w="2340"/>
            <w:tcMar>
              <w:top w:w="80" w:type="dxa"/>
              <w:bottom w:w="80" w:type="dxa"/>
              <w:left w:w="120" w:type="dxa"/>
              <w:right w:w="120" w:type="dxa"/>
            </w:tcMar>
          </w:tcPr>
          <w:p>
            <w:r>
              <w:t>Tyre &amp; Alloy</w:t>
            </w:r>
          </w:p>
        </w:tc>
        <w:tc>
          <w:tcPr>
            <w:tcW w:type="dxa" w:w="2340"/>
            <w:tcMar>
              <w:top w:w="80" w:type="dxa"/>
              <w:bottom w:w="80" w:type="dxa"/>
              <w:left w:w="120" w:type="dxa"/>
              <w:right w:w="120" w:type="dxa"/>
            </w:tcMar>
          </w:tcPr>
          <w:p>
            <w:r>
              <w:t>0.20% on IDV</w:t>
            </w:r>
          </w:p>
        </w:tc>
        <w:tc>
          <w:tcPr>
            <w:tcW w:type="dxa" w:w="2340"/>
            <w:tcMar>
              <w:top w:w="80" w:type="dxa"/>
              <w:bottom w:w="80" w:type="dxa"/>
              <w:left w:w="120" w:type="dxa"/>
              <w:right w:w="120" w:type="dxa"/>
            </w:tcMar>
          </w:tcPr>
          <w:p>
            <w:r>
              <w:t>0.25% on IDV</w:t>
            </w:r>
          </w:p>
        </w:tc>
        <w:tc>
          <w:tcPr>
            <w:tcW w:type="dxa" w:w="2340"/>
            <w:tcMar>
              <w:top w:w="80" w:type="dxa"/>
              <w:bottom w:w="80" w:type="dxa"/>
              <w:left w:w="120" w:type="dxa"/>
              <w:right w:w="120" w:type="dxa"/>
            </w:tcMar>
          </w:tcPr>
          <w:p>
            <w:r>
              <w:t>0.30% on IDV</w:t>
            </w:r>
          </w:p>
        </w:tc>
      </w:tr>
    </w:tbl>
    <w:p>
      <w:r>
        <w:t>The company liability would not exceed the following based on the unused tread depth of respective tyre:</w:t>
        <w:br/>
        <w:t>- Unused tread depth of &gt;= 7mm - 100% cost of new tyre</w:t>
        <w:br/>
        <w:t>- Unused tread depth of &gt;= 5mm to 7 mm - 75% of cost of new tyre</w:t>
        <w:br/>
        <w:t>- Unused tread depth of &gt;= 4mm to 5 mm - 50% of cost of new tyre</w:t>
        <w:br/>
        <w:t>- Unused tread depth of &lt;= 4mm - 25% of cost of new Tyre</w:t>
        <w:br/>
        <w:br/>
        <w:t>Exclusions:</w:t>
        <w:br/>
        <w:t>(a) Cost of replacement to be restricted to Genuine Parts/ Specifications (Tyre/Alloy/Rim).</w:t>
        <w:br/>
        <w:t>(b) For vehicle age greater than 1 year (when cover is availed for the first time) any loss or damage within first 15 days of inception of the policy.</w:t>
        <w:br/>
        <w:t>(c) Any loss or damage occurred prior to inception of the policy.</w:t>
        <w:br/>
        <w:t>(d) Fraudulent act committed by insured or the workshop or any person entrusted possession of the vehicle by insured.</w:t>
        <w:br/>
        <w:t>(e) Minor damage or scratch not affecting the functioning of Tyre/Alloy/Rim.</w:t>
        <w:br/>
        <w:t>(f) Exclusions as in the Private car Package Policy other than losses/damages which are covered through Add on covers opted by Insured along with policy.</w:t>
        <w:br/>
        <w:t>(g) Provisions relating to any specific exclusions in Endorsements attached for different Add-on covers, opted by Insured.</w:t>
        <w:br/>
        <w:t>(h) Improvements &amp;/or extra fittings in the Private Cars.</w:t>
        <w:br/>
        <w:t>(i) Add on cover claims relating to accidents in extended Geographical area even if geographical extension is taken for the basic Motor Policy.</w:t>
        <w:br/>
        <w:t>(j) Subject otherwise to the Terms, Exceptions, Conditions &amp; Limitations of this Policy.</w:t>
        <w:br/>
        <w:t>(k) Pl. refer Gen. Notes after Add-On covers. Also can refer Exclusions from the Clause or U/W office.</w:t>
        <w:br/>
        <w:br/>
        <w:t>Declined Risks: (a) Sports cars (b) Racer cars</w:t>
      </w:r>
    </w:p>
    <w:p>
      <w:pPr>
        <w:pStyle w:val="Heading2"/>
        <w:keepNext/>
        <w:spacing w:before="240" w:after="120"/>
      </w:pPr>
      <w:r>
        <w:rPr>
          <w:rFonts w:ascii="Calibri" w:hAnsi="Calibri"/>
          <w:color w:val="003366"/>
        </w:rPr>
        <w:t>(12) Key Protect Cover - Package Policy: - upto 5 Yrs</w:t>
      </w:r>
    </w:p>
    <w:p>
      <w:r>
        <w:t>Scope of Cover: Under this cover, the Company undertakes to indemnify the Insured, the cost incurred towards repairing/ replacing the vehicle keys which are lost, misplaced, stolen or the vehicle lock is broken at the time of burglary or attempted burglary, theft or attempted theft, damage to the keys arising out of an accident by a new set of lock/lock set (including lock mechanism) &amp; keys including locksmith charges during the Policy Period. - Cir No. 18-HO-MTD-ADMN-689 w.e.f. 12-10-2021.</w:t>
        <w:br/>
        <w:br/>
        <w:t>Terms and Conditions:</w:t>
        <w:br/>
        <w:t>(a) Only one claim will be payable during the policy period.</w:t>
        <w:br/>
        <w:t>(b) A claim resulting from burglary or theft is supported by an acknowledgement from the Police Authority.</w:t>
        <w:br/>
        <w:t>(c) The replaced keys/lock/ lockset should be of same nature and kind as the one for which the claim is being made.</w:t>
        <w:br/>
        <w:t>(d) Replacement of key(s) would be done only for broken or damaged keys.</w:t>
        <w:br/>
        <w:t>(e) In case of theft/burglary/misplace/loss of key(s), entire set comprising of key, lock and lockset would be replaced.</w:t>
        <w:br/>
        <w:br/>
        <w:t>Premium Rates: Rs. 250/- with age up to 5 years - Maximum passengers carrying capacity should be 9+1 only.</w:t>
        <w:br/>
        <w:t>Declined Risks: (a) Sports Car (b) Racer Car (c) Internal improvements &amp;/or extra fittings in the car. (d) Pl. refer Gen. Note also. (e) Pl. refer Exclusions from the Clause or U/W office.</w:t>
      </w:r>
    </w:p>
    <w:p>
      <w:pPr>
        <w:pStyle w:val="Heading2"/>
        <w:keepNext/>
        <w:spacing w:before="240" w:after="120"/>
      </w:pPr>
      <w:r>
        <w:rPr>
          <w:rFonts w:ascii="Calibri" w:hAnsi="Calibri"/>
          <w:color w:val="003366"/>
        </w:rPr>
        <w:t>(13) Roadside Assistance: Vehicle with age up to 15 years</w:t>
      </w:r>
    </w:p>
    <w:p>
      <w:r>
        <w:t>This Add On shall be provided for following policies: For Pvt. Car applicable to - Package Policy, Bundled Policy, Standalone Motor Own Damage Policy - Cir.No. 23-HO-MTD-ADMM-706 Dt. 13-12-2021. The services under this RSA Cover cannot be availed in Islands. Cover not available for imported vehicle (to refer HO).</w:t>
        <w:br/>
        <w:t>Under this cover the Insured will be provided with following Roadside Assistance:</w:t>
        <w:br/>
        <w:t>(A) Basic Cover: (Premium Rs. 50 per vehicle per year) - Mechanical and Electrical Breakdown, Towing due to accident, Keys Locked In, Flat Tyre support, Battery Jump start, Fuel delivery (Fuel charges to be borne by customers).</w:t>
        <w:br/>
        <w:t>(B) Gold Cover : (Premium Rs. 60 per vehicle per year) - Under this cover, the Insured will get following Assistances in addition to the Basic Cover: Wrong Fuelling (Available for Private Cars only), Cab Assistance (charges to be borne by customers), Medical Assistance (charges to be borne by customers), Hotel Accommodation and Ticketing (charges to be borne by customers).</w:t>
        <w:br/>
        <w:t>Pl. refer Gen. Notes after Add-On covers. Also can refer Exclusions from the Clause or U/W office.</w:t>
        <w:br/>
        <w:t>Contact details: M/s. Roadzen Assistance India Pvt. Ltd. is Vendor for Roadside Assistance. E.mail - rsa@roadzenassistance.com &amp; yogender.v@roadzenassistance.com (M) 9971166618-8287258709-9953749644.</w:t>
      </w:r>
    </w:p>
    <w:p>
      <w:pPr>
        <w:pStyle w:val="Heading2"/>
        <w:keepNext/>
        <w:spacing w:before="240" w:after="120"/>
      </w:pPr>
      <w:r>
        <w:rPr>
          <w:rFonts w:ascii="Calibri" w:hAnsi="Calibri"/>
          <w:color w:val="003366"/>
        </w:rPr>
        <w:t>(14) "Hybrid Protect" cover for Hybrid Vehicles (for Battery etc.)</w:t>
      </w:r>
    </w:p>
    <w:p>
      <w:r>
        <w:t>Circular: Cir. 07-NIA-MTD-ADMN: 815 dt. 23-7-2023</w:t>
        <w:br/>
        <w:t>Eligibility/applicability: Hybrid Protect Add On Cover shall be provided only if opted at the time of taking the Private Car Insurance Policy (applicable also to Pay as You Drive Policy).</w:t>
        <w:br/>
        <w:br/>
        <w:t>2 Coverages Under This Add-on:</w:t>
        <w:br/>
        <w:t>Basic Cover - The company will pay for repair and/or replacement for the consequential loss or damage to the Electric Battery and / or Electric Motor and / or differential and Transmission Units and / or related HEV systems in case of: (1) Short Circuit / Unexpected power surge while charging. (2) Mechanical shock to the Lithium-ion Battery or HEV systems resulting from accidental collision, or impact damage. (3) Water ingress or moisture build-up within the electric battery or the HEV system due to submergence in water following a Flood and or inundation. (4) Water ingress into electric motor, differential or transmission units. (5) Under carriage damage to electric battery / motor parts. (6) Damage to electric battery and or electric motor and/or differential and transmission units and or related HEV systems due to leakage/ingression of lubricating oil and/or coolant arising out of damage caused by accidental external means.</w:t>
        <w:br/>
        <w:t>Comprehensive Cover - In addition to the Basic cover, Company undertakes to indemnify the Insured for expenses incurred in repair or replacement due to Consequential Damages arising out of water ingression/Leakage of Lubricating oil or Coolant and damage to vehicle's under carriage arising out of any accidental external means, leading to loss or damage to Engine and Engine Parts, Transmission or Differential Parts Assembly and Parts and Gear Box and Gear Box Parts of the Insured's vehicle.</w:t>
        <w:br/>
        <w:t>Pl. refer Gen. Notes after Add-On covers. Also to refer Exclusions from the Clause or U/W office.</w:t>
      </w:r>
    </w:p>
    <w:p>
      <w:pPr>
        <w:pStyle w:val="Heading3"/>
        <w:keepNext/>
        <w:spacing w:before="240" w:after="120"/>
      </w:pPr>
      <w:r>
        <w:rPr>
          <w:rFonts w:ascii="Calibri" w:hAnsi="Calibri"/>
          <w:color w:val="003366"/>
        </w:rPr>
        <w:t>PREMIUM RATES FOR HYBRID VEHICLES (Up to 3 years of age of vehicle)</w:t>
      </w:r>
    </w:p>
    <w:tbl>
      <w:tblPr>
        <w:tblW w:type="auto" w:w="0"/>
        <w:jc w:val="center"/>
        <w:tblLook w:firstColumn="1" w:firstRow="1" w:lastColumn="0" w:lastRow="0" w:noHBand="0" w:noVBand="1" w:val="04A0"/>
      </w:tblPr>
      <w:tblGrid>
        <w:gridCol w:w="3120"/>
        <w:gridCol w:w="3120"/>
        <w:gridCol w:w="3120"/>
      </w:tblGrid>
      <w:tr>
        <w:tc>
          <w:tcPr>
            <w:tcW w:type="dxa" w:w="3120"/>
            <w:shd w:fill="003366"/>
            <w:tcMar>
              <w:top w:w="80" w:type="dxa"/>
              <w:bottom w:w="80" w:type="dxa"/>
              <w:left w:w="120" w:type="dxa"/>
              <w:right w:w="120" w:type="dxa"/>
            </w:tcMar>
          </w:tcPr>
          <w:p>
            <w:r>
              <w:rPr>
                <w:b/>
                <w:color w:val="FFFFFF"/>
              </w:rPr>
              <w:t>AGE OF THE CAR</w:t>
            </w:r>
          </w:p>
        </w:tc>
        <w:tc>
          <w:tcPr>
            <w:tcW w:type="dxa" w:w="3120"/>
            <w:shd w:fill="003366"/>
            <w:tcMar>
              <w:top w:w="80" w:type="dxa"/>
              <w:bottom w:w="80" w:type="dxa"/>
              <w:left w:w="120" w:type="dxa"/>
              <w:right w:w="120" w:type="dxa"/>
            </w:tcMar>
          </w:tcPr>
          <w:p>
            <w:r>
              <w:rPr>
                <w:b/>
                <w:color w:val="FFFFFF"/>
              </w:rPr>
              <w:t>Premium Rate as % of IDV for Basic Cover</w:t>
            </w:r>
          </w:p>
        </w:tc>
        <w:tc>
          <w:tcPr>
            <w:tcW w:type="dxa" w:w="3120"/>
            <w:shd w:fill="003366"/>
            <w:tcMar>
              <w:top w:w="80" w:type="dxa"/>
              <w:bottom w:w="80" w:type="dxa"/>
              <w:left w:w="120" w:type="dxa"/>
              <w:right w:w="120" w:type="dxa"/>
            </w:tcMar>
          </w:tcPr>
          <w:p>
            <w:r>
              <w:rPr>
                <w:b/>
                <w:color w:val="FFFFFF"/>
              </w:rPr>
              <w:t>Premium Rate as % of IDV for Comprehensive Cover</w:t>
            </w:r>
          </w:p>
        </w:tc>
      </w:tr>
      <w:tr>
        <w:tc>
          <w:tcPr>
            <w:tcW w:type="dxa" w:w="3120"/>
            <w:tcMar>
              <w:top w:w="80" w:type="dxa"/>
              <w:bottom w:w="80" w:type="dxa"/>
              <w:left w:w="120" w:type="dxa"/>
              <w:right w:w="120" w:type="dxa"/>
            </w:tcMar>
          </w:tcPr>
          <w:p>
            <w:r>
              <w:t>First Year (Brand new and up to 1 year)</w:t>
            </w:r>
          </w:p>
        </w:tc>
        <w:tc>
          <w:tcPr>
            <w:tcW w:type="dxa" w:w="3120"/>
            <w:tcMar>
              <w:top w:w="80" w:type="dxa"/>
              <w:bottom w:w="80" w:type="dxa"/>
              <w:left w:w="120" w:type="dxa"/>
              <w:right w:w="120" w:type="dxa"/>
            </w:tcMar>
          </w:tcPr>
          <w:p>
            <w:r>
              <w:t>0.20%</w:t>
            </w:r>
          </w:p>
        </w:tc>
        <w:tc>
          <w:tcPr>
            <w:tcW w:type="dxa" w:w="3120"/>
            <w:tcMar>
              <w:top w:w="80" w:type="dxa"/>
              <w:bottom w:w="80" w:type="dxa"/>
              <w:left w:w="120" w:type="dxa"/>
              <w:right w:w="120" w:type="dxa"/>
            </w:tcMar>
          </w:tcPr>
          <w:p>
            <w:r>
              <w:t>0.43%</w:t>
            </w:r>
          </w:p>
        </w:tc>
      </w:tr>
      <w:tr>
        <w:tc>
          <w:tcPr>
            <w:tcW w:type="dxa" w:w="3120"/>
            <w:tcMar>
              <w:top w:w="80" w:type="dxa"/>
              <w:bottom w:w="80" w:type="dxa"/>
              <w:left w:w="120" w:type="dxa"/>
              <w:right w:w="120" w:type="dxa"/>
            </w:tcMar>
          </w:tcPr>
          <w:p>
            <w:r>
              <w:t>Second Year (Above 1 year up to 2 years)</w:t>
            </w:r>
          </w:p>
        </w:tc>
        <w:tc>
          <w:tcPr>
            <w:tcW w:type="dxa" w:w="3120"/>
            <w:tcMar>
              <w:top w:w="80" w:type="dxa"/>
              <w:bottom w:w="80" w:type="dxa"/>
              <w:left w:w="120" w:type="dxa"/>
              <w:right w:w="120" w:type="dxa"/>
            </w:tcMar>
          </w:tcPr>
          <w:p>
            <w:r>
              <w:t>0.25%</w:t>
            </w:r>
          </w:p>
        </w:tc>
        <w:tc>
          <w:tcPr>
            <w:tcW w:type="dxa" w:w="3120"/>
            <w:tcMar>
              <w:top w:w="80" w:type="dxa"/>
              <w:bottom w:w="80" w:type="dxa"/>
              <w:left w:w="120" w:type="dxa"/>
              <w:right w:w="120" w:type="dxa"/>
            </w:tcMar>
          </w:tcPr>
          <w:p>
            <w:r>
              <w:t>0.50%</w:t>
            </w:r>
          </w:p>
        </w:tc>
      </w:tr>
      <w:tr>
        <w:tc>
          <w:tcPr>
            <w:tcW w:type="dxa" w:w="3120"/>
            <w:tcMar>
              <w:top w:w="80" w:type="dxa"/>
              <w:bottom w:w="80" w:type="dxa"/>
              <w:left w:w="120" w:type="dxa"/>
              <w:right w:w="120" w:type="dxa"/>
            </w:tcMar>
          </w:tcPr>
          <w:p>
            <w:r>
              <w:t>Third Year (Above 2 years up to 3 years)</w:t>
            </w:r>
          </w:p>
        </w:tc>
        <w:tc>
          <w:tcPr>
            <w:tcW w:type="dxa" w:w="3120"/>
            <w:tcMar>
              <w:top w:w="80" w:type="dxa"/>
              <w:bottom w:w="80" w:type="dxa"/>
              <w:left w:w="120" w:type="dxa"/>
              <w:right w:w="120" w:type="dxa"/>
            </w:tcMar>
          </w:tcPr>
          <w:p>
            <w:r>
              <w:t>0.30%</w:t>
            </w:r>
          </w:p>
        </w:tc>
        <w:tc>
          <w:tcPr>
            <w:tcW w:type="dxa" w:w="3120"/>
            <w:tcMar>
              <w:top w:w="80" w:type="dxa"/>
              <w:bottom w:w="80" w:type="dxa"/>
              <w:left w:w="120" w:type="dxa"/>
              <w:right w:w="120" w:type="dxa"/>
            </w:tcMar>
          </w:tcPr>
          <w:p>
            <w:r>
              <w:t>0.57%</w:t>
            </w:r>
          </w:p>
        </w:tc>
      </w:tr>
    </w:tbl>
    <w:p>
      <w:r>
        <w:t>Excess: There is no additional Excess for this add on cover. Only compulsory excess as per standard policy shall be deducted.</w:t>
      </w:r>
    </w:p>
    <w:p>
      <w:pPr>
        <w:pStyle w:val="Heading2"/>
        <w:keepNext/>
        <w:spacing w:before="240" w:after="120"/>
      </w:pPr>
      <w:r>
        <w:rPr>
          <w:rFonts w:ascii="Calibri" w:hAnsi="Calibri"/>
          <w:color w:val="003366"/>
        </w:rPr>
        <w:t>(15) Battery Protect Cover (Electric Vehicle) - Pvt. Car up to 3 years</w:t>
      </w:r>
    </w:p>
    <w:p>
      <w:r>
        <w:t>Circular: Cir. No. 09-NIA-IBD-888 dtd. 27-5-2024</w:t>
        <w:br/>
        <w:t>Scope of Cover: This Add On covers repair or replacement due to consequential damages arising out of water ingression/moisture build up/ short circuit leading to loss or damage to battery, drive Motor/Electric Motor, Battery Management System, Other Battery Electric Vehicle (BEV) systems, short circuit/ unexpected power surge while charging the battery leading to damage to battery, motor or BEV systems. In addition to this, the damage to or Theft of the charging cable while charging, which is attached to the vehicle or inside the vehicle will also be covered. Further transportation charges up to Rs. 5,000/- are also covered. The Insured can also opt to cover wall mounted charger supplied by OEM with insured vehicle due to loss by burglary, housebreaking or theft only, by charging additional premium of 5% of Basic OD premium. The coverages under this add on are applicable within Indian territory only.</w:t>
        <w:br/>
        <w:t>NB: To be taken at the time of taking the policy. Pl. refer Exclusions etc. from the Clause or U/W office.</w:t>
      </w:r>
    </w:p>
    <w:p>
      <w:pPr>
        <w:pStyle w:val="Heading3"/>
        <w:keepNext/>
        <w:spacing w:before="240" w:after="120"/>
      </w:pPr>
      <w:r>
        <w:rPr>
          <w:rFonts w:ascii="Calibri" w:hAnsi="Calibri"/>
          <w:color w:val="003366"/>
        </w:rPr>
        <w:t>PREMIUM RATES FOR BATTERY PROTECT - EL. VEHICLES</w:t>
      </w:r>
    </w:p>
    <w:tbl>
      <w:tblPr>
        <w:tblW w:type="auto" w:w="0"/>
        <w:jc w:val="center"/>
        <w:tblLook w:firstColumn="1" w:firstRow="1" w:lastColumn="0" w:lastRow="0" w:noHBand="0" w:noVBand="1" w:val="04A0"/>
      </w:tblPr>
      <w:tblGrid>
        <w:gridCol w:w="4680"/>
        <w:gridCol w:w="4680"/>
      </w:tblGrid>
      <w:tr>
        <w:tc>
          <w:tcPr>
            <w:tcW w:type="dxa" w:w="4680"/>
            <w:shd w:fill="003366"/>
            <w:tcMar>
              <w:top w:w="80" w:type="dxa"/>
              <w:bottom w:w="80" w:type="dxa"/>
              <w:left w:w="120" w:type="dxa"/>
              <w:right w:w="120" w:type="dxa"/>
            </w:tcMar>
          </w:tcPr>
          <w:p>
            <w:r>
              <w:rPr>
                <w:b/>
                <w:color w:val="FFFFFF"/>
              </w:rPr>
              <w:t>AGE OF THE CAR</w:t>
            </w:r>
          </w:p>
        </w:tc>
        <w:tc>
          <w:tcPr>
            <w:tcW w:type="dxa" w:w="4680"/>
            <w:shd w:fill="003366"/>
            <w:tcMar>
              <w:top w:w="80" w:type="dxa"/>
              <w:bottom w:w="80" w:type="dxa"/>
              <w:left w:w="120" w:type="dxa"/>
              <w:right w:w="120" w:type="dxa"/>
            </w:tcMar>
          </w:tcPr>
          <w:p>
            <w:r>
              <w:rPr>
                <w:b/>
                <w:color w:val="FFFFFF"/>
              </w:rPr>
              <w:t>Premium Rate as % of IDV for Electric Vehicles</w:t>
            </w:r>
          </w:p>
        </w:tc>
      </w:tr>
      <w:tr>
        <w:tc>
          <w:tcPr>
            <w:tcW w:type="dxa" w:w="4680"/>
            <w:tcMar>
              <w:top w:w="80" w:type="dxa"/>
              <w:bottom w:w="80" w:type="dxa"/>
              <w:left w:w="120" w:type="dxa"/>
              <w:right w:w="120" w:type="dxa"/>
            </w:tcMar>
          </w:tcPr>
          <w:p>
            <w:r>
              <w:t>FIRST YEAR (Brand new and up to 1 year)</w:t>
            </w:r>
          </w:p>
        </w:tc>
        <w:tc>
          <w:tcPr>
            <w:tcW w:type="dxa" w:w="4680"/>
            <w:tcMar>
              <w:top w:w="80" w:type="dxa"/>
              <w:bottom w:w="80" w:type="dxa"/>
              <w:left w:w="120" w:type="dxa"/>
              <w:right w:w="120" w:type="dxa"/>
            </w:tcMar>
          </w:tcPr>
          <w:p>
            <w:r>
              <w:t>0.27%</w:t>
            </w:r>
          </w:p>
        </w:tc>
      </w:tr>
      <w:tr>
        <w:tc>
          <w:tcPr>
            <w:tcW w:type="dxa" w:w="4680"/>
            <w:tcMar>
              <w:top w:w="80" w:type="dxa"/>
              <w:bottom w:w="80" w:type="dxa"/>
              <w:left w:w="120" w:type="dxa"/>
              <w:right w:w="120" w:type="dxa"/>
            </w:tcMar>
          </w:tcPr>
          <w:p>
            <w:r>
              <w:t>SECOND YEAR (Above 1 year old up to 2 years)</w:t>
            </w:r>
          </w:p>
        </w:tc>
        <w:tc>
          <w:tcPr>
            <w:tcW w:type="dxa" w:w="4680"/>
            <w:tcMar>
              <w:top w:w="80" w:type="dxa"/>
              <w:bottom w:w="80" w:type="dxa"/>
              <w:left w:w="120" w:type="dxa"/>
              <w:right w:w="120" w:type="dxa"/>
            </w:tcMar>
          </w:tcPr>
          <w:p>
            <w:r>
              <w:t>0.29%</w:t>
            </w:r>
          </w:p>
        </w:tc>
      </w:tr>
      <w:tr>
        <w:tc>
          <w:tcPr>
            <w:tcW w:type="dxa" w:w="4680"/>
            <w:tcMar>
              <w:top w:w="80" w:type="dxa"/>
              <w:bottom w:w="80" w:type="dxa"/>
              <w:left w:w="120" w:type="dxa"/>
              <w:right w:w="120" w:type="dxa"/>
            </w:tcMar>
          </w:tcPr>
          <w:p>
            <w:r>
              <w:t>THIRD YEAR (Above 2 years old up to 3 years)</w:t>
            </w:r>
          </w:p>
        </w:tc>
        <w:tc>
          <w:tcPr>
            <w:tcW w:type="dxa" w:w="4680"/>
            <w:tcMar>
              <w:top w:w="80" w:type="dxa"/>
              <w:bottom w:w="80" w:type="dxa"/>
              <w:left w:w="120" w:type="dxa"/>
              <w:right w:w="120" w:type="dxa"/>
            </w:tcMar>
          </w:tcPr>
          <w:p>
            <w:r>
              <w:t>0.31%</w:t>
            </w:r>
          </w:p>
        </w:tc>
      </w:tr>
    </w:tbl>
    <w:p>
      <w:pPr>
        <w:pStyle w:val="Heading2"/>
        <w:keepNext/>
        <w:spacing w:before="240" w:after="120"/>
      </w:pPr>
      <w:r>
        <w:rPr>
          <w:rFonts w:ascii="Calibri" w:hAnsi="Calibri"/>
          <w:color w:val="003366"/>
        </w:rPr>
        <w:t>(16) Inconvenience Cover: Details awaited</w:t>
      </w:r>
    </w:p>
    <w:p>
      <w:pPr>
        <w:pStyle w:val="Heading2"/>
        <w:keepNext/>
        <w:spacing w:before="240" w:after="120"/>
      </w:pPr>
      <w:r>
        <w:rPr>
          <w:rFonts w:ascii="Calibri" w:hAnsi="Calibri"/>
          <w:color w:val="003366"/>
        </w:rPr>
        <w:t>Gen. Notes Applicable for all Add on cover - Pvt. Car</w:t>
      </w:r>
    </w:p>
    <w:p>
      <w:r>
        <w:t>(1) Passenger carrying capacity should be maximum 9+1 for all Add-on. (However, in Road Side Assistance it is not reflected).</w:t>
        <w:br/>
        <w:t>(2) All Add on for Package policy only &amp; the vehicle has to be Registered as Private Car.</w:t>
        <w:br/>
        <w:t>(3) Coverage within India only.</w:t>
        <w:br/>
        <w:t>(4) Minimum Premium Rate as above for all Add On Covers to be charged (without any reduction of Rate/premium &amp; also no NCB Prem. deduction from Nil Dep. Premium.</w:t>
        <w:br/>
        <w:t>(5) For imported vehicle / Sports Racer Car, refer HO.</w:t>
        <w:br/>
        <w:t>(6) If the OD Claim under the package policy not payable, then this cover claim is also not payable.</w:t>
        <w:br/>
        <w:t>(7) No claim shall be payable for any extra fitting and/or any internal improvements in the 4 wheeler other than provided by the Manufacturer in the vehicle originally.</w:t>
        <w:br/>
        <w:t>(8) No Mid-term coverage for all Add on cover.</w:t>
        <w:br/>
        <w:t>(9) Other company's renewal in time having/with Nil Depreciation cover can be accepted without inspection, If gap or earlier policy without Nil Depreciation cover, inspection of vehicle is required. (Cir. No. H.O.- Nil, dt. 4-3-2014).</w:t>
        <w:br/>
        <w:t>(10) Same Claim Form for these covers.</w:t>
        <w:br/>
        <w:t>(11) Even Claims relating to accidents in extended Geographical area even if geographical extensions is taken for the basic motor policy, not covered.</w:t>
        <w:br/>
        <w:t>(12) Add on covers from Sr. No. 2 to 10 added for Pvt. Car Package policy as per Cir. No. NIA - MTD - OD - 2016 - MKT - IBD - ADMN - 295, Dt.6-4-2016 &amp; Revised Cir. of NIA No.19-Mktg.503 Dt. 20-11-2018.</w:t>
        <w:br/>
        <w:t>(13) Sports Car, Racer Cars &amp; Private Cars with carrying capacity exceeding 1+9 have been removed from Declined Risk.</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