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연도별 기술통계량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961"/>
        <w:gridCol w:w="1842"/>
        <w:gridCol w:w="1842"/>
        <w:gridCol w:w="1842"/>
        <w:gridCol w:w="1842"/>
        <w:gridCol w:w="1842"/>
        <w:gridCol w:w="1842"/>
        <w:gridCol w:w="1842"/>
        <w:gridCol w:w="1132"/>
      </w:tblGrid>
      <w:tr>
        <w:trPr>
          <w:cantSplit/>
          <w:trHeight w:val="548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해당연도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변수명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2009, N = 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2010, N = 236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2011, N = 223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2012, N = 234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2013, N = 243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2014, N = 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2015, N = 240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Q_PHX_DX_STK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Q_SMK_YN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(159, 171)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(159, 171)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(157, 171)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(159, 172)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(159, 171)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(158, 172)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(158, 172)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(55,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(56, 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(56,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(57, 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(57,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(56,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(57, 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TOT_CHOL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(170, 216)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(168, 220)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(168, 214)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(173, 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(168, 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(171, 216)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 (171, 217)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(71, 148)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(70, 158)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(74, 164)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(69, 164)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(76, 160)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(75, 162)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(71, 167)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Median(IQR) 또는 Frequency(%)로 표기하였음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test; Pearson's Chi-squared test; Kruskal-Wallis rank sum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2022-02-27T19:21:05Z</dcterms:modified>
  <cp:category/>
</cp:coreProperties>
</file>