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3A5F"/>
          <w:sz w:val="36"/>
          <w:szCs w:val="36"/>
        </w:rPr>
        <w:t xml:space="preserve">CREDIT INFORMATION MEMORANDUM</w:t>
      </w:r>
    </w:p>
    <w:p>
      <w:pPr>
        <w:spacing w:after="60"/>
        <w:jc w:val="center"/>
      </w:pPr>
      <w:r>
        <w:rPr>
          <w:rFonts w:ascii="Arial" w:cs="Arial" w:eastAsia="Arial" w:hAnsi="Arial"/>
          <w:color w:val="555555"/>
          <w:sz w:val="22"/>
          <w:szCs w:val="22"/>
        </w:rPr>
        <w:t xml:space="preserve">Singapore Corporate Banking — SME Credit</w:t>
      </w:r>
    </w:p>
    <w:p>
      <w:pPr>
        <w:spacing w:after="400"/>
        <w:jc w:val="center"/>
      </w:pPr>
      <w:r>
        <w:rPr>
          <w:rFonts w:ascii="Arial" w:cs="Arial" w:eastAsia="Arial" w:hAnsi="Arial"/>
          <w:i/>
          <w:iCs/>
          <w:color w:val="777777"/>
          <w:sz w:val="18"/>
          <w:szCs w:val="18"/>
        </w:rPr>
        <w:t xml:space="preserve">Strictly confidential — for internal credit committee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Borrower</w:t>
            </w:r>
          </w:p>
        </w:tc>
        <w:tc>
          <w:tcPr>
            <w:tcW w:type="dxa" w:w="6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GoImpact Capital Partners (Singapore) Pte. Ltd.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UEN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202037175R</w:t>
            </w:r>
          </w:p>
        </w:tc>
      </w:tr>
      <w:tr>
        <w:tc>
          <w:tcPr>
            <w:tcW w:type="dxa" w:w="3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Segment</w:t>
            </w:r>
          </w:p>
        </w:tc>
        <w:tc>
          <w:tcPr>
            <w:tcW w:type="dxa" w:w="6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SME — Singapore-incorporated subsidiary of HK parent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Industry (SSIC)</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85409 — Training courses n.e.c. (ESG / Sustainable-Finance education)</w:t>
            </w:r>
          </w:p>
        </w:tc>
      </w:tr>
      <w:tr>
        <w:tc>
          <w:tcPr>
            <w:tcW w:type="dxa" w:w="3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Facility under review</w:t>
            </w:r>
          </w:p>
        </w:tc>
        <w:tc>
          <w:tcPr>
            <w:tcW w:type="dxa" w:w="6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Working Capital Loan — S$500,000 (12 months, SORA-linked) — unsolicited request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Period reviewed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FY2022 — FY2024 (3 financial years to 31 Dec 2024)</w:t>
            </w:r>
          </w:p>
        </w:tc>
      </w:tr>
      <w:tr>
        <w:tc>
          <w:tcPr>
            <w:tcW w:type="dxa" w:w="3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Prepared by / Date</w:t>
            </w:r>
          </w:p>
        </w:tc>
        <w:tc>
          <w:tcPr>
            <w:tcW w:type="dxa" w:w="6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Senior Credit Analyst, SME Credit (Singapore) — June 2026</w:t>
            </w:r>
          </w:p>
        </w:tc>
      </w:tr>
      <w:tr>
        <w:tc>
          <w:tcPr>
            <w:tcW w:type="dxa" w:w="3000"/>
            <w:tcBorders>
              <w:top w:val="single" w:color="BFBFBF" w:sz="4"/>
              <w:left w:val="single" w:color="BFBFBF" w:sz="4"/>
              <w:bottom w:val="single" w:color="BFBFBF" w:sz="4"/>
              <w:right w:val="single" w:color="BFBFBF" w:sz="4"/>
            </w:tcBorders>
            <w:shd w:fill="FCE4E4" w:val="clear"/>
            <w:tcMar>
              <w:top w:type="dxa" w:w="60"/>
              <w:left w:type="dxa" w:w="100"/>
              <w:bottom w:type="dxa" w:w="60"/>
              <w:right w:type="dxa" w:w="100"/>
            </w:tcMar>
          </w:tcPr>
          <w:p>
            <w:pPr>
              <w:jc w:val="left"/>
            </w:pPr>
            <w:r>
              <w:rPr>
                <w:rFonts w:ascii="Arial" w:cs="Arial" w:eastAsia="Arial" w:hAnsi="Arial"/>
                <w:b/>
                <w:bCs/>
                <w:sz w:val="18"/>
                <w:szCs w:val="18"/>
              </w:rPr>
              <w:t xml:space="preserve">Recommendation</w:t>
            </w:r>
          </w:p>
        </w:tc>
        <w:tc>
          <w:tcPr>
            <w:tcW w:type="dxa" w:w="6360"/>
            <w:tcBorders>
              <w:top w:val="single" w:color="BFBFBF" w:sz="4"/>
              <w:left w:val="single" w:color="BFBFBF" w:sz="4"/>
              <w:bottom w:val="single" w:color="BFBFBF" w:sz="4"/>
              <w:right w:val="single" w:color="BFBFBF" w:sz="4"/>
            </w:tcBorders>
            <w:shd w:fill="FCE4E4"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DECLINE on the requested basis — see §10 for structured alternatives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Internal grade indication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MAS 612: Substandard | SFRS(I) 9 ECL Stage 2 (significant increase in credit risk)</w:t>
            </w:r>
          </w:p>
        </w:tc>
      </w:tr>
    </w:tbl>
    <w:p>
      <w:r>
        <w:br w:type="page"/>
      </w:r>
    </w:p>
    <w:p>
      <w:pPr>
        <w:pStyle w:val="Heading1"/>
        <w:spacing w:after="120" w:before="240"/>
      </w:pPr>
      <w:r>
        <w:rPr>
          <w:rFonts w:ascii="Arial" w:cs="Arial" w:eastAsia="Arial" w:hAnsi="Arial"/>
          <w:b/>
          <w:bCs/>
          <w:color w:val="1F3A5F"/>
          <w:sz w:val="30"/>
          <w:szCs w:val="30"/>
        </w:rPr>
        <w:t xml:space="preserve">1. Executive summary</w:t>
      </w:r>
    </w:p>
    <w:p>
      <w:pPr>
        <w:spacing w:after="80" w:before="0"/>
      </w:pPr>
      <w:r>
        <w:rPr>
          <w:rFonts w:ascii="Arial" w:cs="Arial" w:eastAsia="Arial" w:hAnsi="Arial"/>
          <w:sz w:val="20"/>
          <w:szCs w:val="20"/>
        </w:rPr>
        <w:t xml:space="preserve">GoImpact Capital Partners (Singapore) Pte. Ltd. ("GoImpact SG" or "the Borrower") is the Singapore-incorporated subsidiary of GoImpact Capital Partners Limited (Hong Kong, "GoImpact HK", the ultimate holding company). The group is a Sustainable Finance and ESG education platform whose flagship offerings include executive and investor courses, a deal-flow platform ("GoInvest"), and an advocacy network ("GoNetwork"). It has cultivated high-quality partnerships with Temasek Foundation, UNDP, the Financial Times and Bloomberg, and is led by co-founder Helene Li (ex-J.P. Morgan, BNP Paribas, Lombard Odier, BCG; General Manager, FinTech Association of Hong Kong).</w:t>
      </w:r>
    </w:p>
    <w:p>
      <w:pPr>
        <w:spacing w:after="80" w:before="0"/>
      </w:pPr>
      <w:r>
        <w:rPr>
          <w:rFonts w:ascii="Arial" w:cs="Arial" w:eastAsia="Arial" w:hAnsi="Arial"/>
          <w:sz w:val="20"/>
          <w:szCs w:val="20"/>
        </w:rPr>
        <w:t xml:space="preserve">From a credit standpoint, however, the standalone Singapore entity does not currently support an unsecured working-capital facility. The picture from the audited-but-unaudited (small-company-exempt) financials for FY2022–FY2024 is one of a sub-scale, persistently loss-making business with deteriorating top-line, an eroding equity cushion and an acute liquidity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4F7"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Revenue YoY (FY23→24)</w:t>
            </w:r>
          </w:p>
          <w:p>
            <w:pPr>
              <w:jc w:val="center"/>
            </w:pPr>
            <w:r>
              <w:rPr>
                <w:rFonts w:ascii="Arial" w:cs="Arial" w:eastAsia="Arial" w:hAnsi="Arial"/>
                <w:b/>
                <w:bCs/>
                <w:color w:val="B71C1C"/>
                <w:sz w:val="22"/>
                <w:szCs w:val="22"/>
              </w:rPr>
              <w:t xml:space="preserve">-38%</w:t>
            </w:r>
          </w:p>
        </w:tc>
        <w:tc>
          <w:tcPr>
            <w:tcW w:type="dxa" w:w="2340"/>
            <w:tcBorders>
              <w:top w:val="single" w:color="BFBFBF" w:sz="4"/>
              <w:left w:val="single" w:color="BFBFBF" w:sz="4"/>
              <w:bottom w:val="single" w:color="BFBFBF" w:sz="4"/>
              <w:right w:val="single" w:color="BFBFBF" w:sz="4"/>
            </w:tcBorders>
            <w:shd w:fill="F2F4F7"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Cash balance</w:t>
            </w:r>
          </w:p>
          <w:p>
            <w:pPr>
              <w:jc w:val="center"/>
            </w:pPr>
            <w:r>
              <w:rPr>
                <w:rFonts w:ascii="Arial" w:cs="Arial" w:eastAsia="Arial" w:hAnsi="Arial"/>
                <w:b/>
                <w:bCs/>
                <w:color w:val="B71C1C"/>
                <w:sz w:val="22"/>
                <w:szCs w:val="22"/>
              </w:rPr>
              <w:t xml:space="preserve">S$490,541</w:t>
            </w:r>
          </w:p>
        </w:tc>
        <w:tc>
          <w:tcPr>
            <w:tcW w:type="dxa" w:w="2340"/>
            <w:tcBorders>
              <w:top w:val="single" w:color="BFBFBF" w:sz="4"/>
              <w:left w:val="single" w:color="BFBFBF" w:sz="4"/>
              <w:bottom w:val="single" w:color="BFBFBF" w:sz="4"/>
              <w:right w:val="single" w:color="BFBFBF" w:sz="4"/>
            </w:tcBorders>
            <w:shd w:fill="F2F4F7"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Cash runway</w:t>
            </w:r>
          </w:p>
          <w:p>
            <w:pPr>
              <w:jc w:val="center"/>
            </w:pPr>
            <w:r>
              <w:rPr>
                <w:rFonts w:ascii="Arial" w:cs="Arial" w:eastAsia="Arial" w:hAnsi="Arial"/>
                <w:b/>
                <w:bCs/>
                <w:color w:val="B71C1C"/>
                <w:sz w:val="22"/>
                <w:szCs w:val="22"/>
              </w:rPr>
              <w:t xml:space="preserve">5.5 months</w:t>
            </w:r>
          </w:p>
        </w:tc>
        <w:tc>
          <w:tcPr>
            <w:tcW w:type="dxa" w:w="2340"/>
            <w:tcBorders>
              <w:top w:val="single" w:color="BFBFBF" w:sz="4"/>
              <w:left w:val="single" w:color="BFBFBF" w:sz="4"/>
              <w:bottom w:val="single" w:color="BFBFBF" w:sz="4"/>
              <w:right w:val="single" w:color="BFBFBF" w:sz="4"/>
            </w:tcBorders>
            <w:shd w:fill="F2F4F7"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Equity / TA</w:t>
            </w:r>
          </w:p>
          <w:p>
            <w:pPr>
              <w:jc w:val="center"/>
            </w:pPr>
            <w:r>
              <w:rPr>
                <w:rFonts w:ascii="Arial" w:cs="Arial" w:eastAsia="Arial" w:hAnsi="Arial"/>
                <w:b/>
                <w:bCs/>
                <w:color w:val="B26500"/>
                <w:sz w:val="22"/>
                <w:szCs w:val="22"/>
              </w:rPr>
              <w:t xml:space="preserve">31%</w:t>
            </w:r>
          </w:p>
        </w:tc>
      </w:tr>
    </w:tbl>
    <w:p>
      <w:pPr>
        <w:spacing w:before="120"/>
      </w:pP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Revenue contracted 38% YoY in FY2024 (Group: S$583k → S$363k) following a +41% expansion the year prior.</w:t>
      </w:r>
    </w:p>
    <w:p>
      <w:pPr>
        <w:pStyle w:val="ListParagraph"/>
        <w:numPr>
          <w:ilvl w:val="0"/>
          <w:numId w:val="2"/>
        </w:numPr>
        <w:spacing w:after="60"/>
      </w:pPr>
      <w:r>
        <w:rPr>
          <w:rFonts w:ascii="Arial" w:cs="Arial" w:eastAsia="Arial" w:hAnsi="Arial"/>
          <w:sz w:val="20"/>
          <w:szCs w:val="20"/>
        </w:rPr>
        <w:t xml:space="preserve">The Group has burned cash every year of its existence; FY2024 operating cash outflow of S$1.08M consumed two-thirds of opening cash with no offsetting financing inflow.</w:t>
      </w:r>
    </w:p>
    <w:p>
      <w:pPr>
        <w:pStyle w:val="ListParagraph"/>
        <w:numPr>
          <w:ilvl w:val="0"/>
          <w:numId w:val="2"/>
        </w:numPr>
        <w:spacing w:after="60"/>
      </w:pPr>
      <w:r>
        <w:rPr>
          <w:rFonts w:ascii="Arial" w:cs="Arial" w:eastAsia="Arial" w:hAnsi="Arial"/>
          <w:sz w:val="20"/>
          <w:szCs w:val="20"/>
        </w:rPr>
        <w:t xml:space="preserve">Equity collapsed from S$1.47M (FY2023) to S$250k (FY2024) — equivalent to 30.6% of total assets vs 78.8% the year before — and accumulated losses now stand at 93.5% of paid-up share capital (S$3.78M vs S$4.04M).</w:t>
      </w:r>
    </w:p>
    <w:p>
      <w:pPr>
        <w:pStyle w:val="ListParagraph"/>
        <w:numPr>
          <w:ilvl w:val="0"/>
          <w:numId w:val="2"/>
        </w:numPr>
        <w:spacing w:after="60"/>
      </w:pPr>
      <w:r>
        <w:rPr>
          <w:rFonts w:ascii="Arial" w:cs="Arial" w:eastAsia="Arial" w:hAnsi="Arial"/>
          <w:sz w:val="20"/>
          <w:szCs w:val="20"/>
        </w:rPr>
        <w:t xml:space="preserve">Cash on hand of S$490k against an annualised cash burn of ~S$1.08M implies ~5.5 months of runway absent fresh equity from parent or material revenue recovery.</w:t>
      </w:r>
    </w:p>
    <w:p>
      <w:pPr>
        <w:pStyle w:val="ListParagraph"/>
        <w:numPr>
          <w:ilvl w:val="0"/>
          <w:numId w:val="2"/>
        </w:numPr>
        <w:spacing w:after="60"/>
      </w:pPr>
      <w:r>
        <w:rPr>
          <w:rFonts w:ascii="Arial" w:cs="Arial" w:eastAsia="Arial" w:hAnsi="Arial"/>
          <w:sz w:val="20"/>
          <w:szCs w:val="20"/>
        </w:rPr>
        <w:t xml:space="preserve">There is no financial debt on balance sheet; the lone ACRA-registered charge (C202204733, HSBC, 10 Oct 2010) pre-dates incorporation by ~10 years and is presumed legacy / dormant — confirmation required at sanction.</w:t>
      </w:r>
    </w:p>
    <w:p>
      <w:pPr>
        <w:spacing w:after="80" w:before="0"/>
      </w:pPr>
      <w:r>
        <w:rPr>
          <w:rFonts w:ascii="Arial" w:cs="Arial" w:eastAsia="Arial" w:hAnsi="Arial"/>
          <w:sz w:val="20"/>
          <w:szCs w:val="20"/>
        </w:rPr>
        <w:t xml:space="preserve">Mitigants — none of which are sufficient to support an unsecured exposure but which support a structured engagement: (i) a credible, well-networked founder team and brand equity in a thematic growth segment; (ii) named institutional partners (Temasek Foundation, UNDP); (iii) zero existing financial leverage; (iv) a Hong Kong parent that has historically funded the Singapore entity via share issuance (S$2.70M in FY2022, S$1.34M in FY2023, nil in FY2024 — itself a red flag).</w:t>
      </w:r>
    </w:p>
    <w:p>
      <w:pPr>
        <w:spacing w:after="80" w:before="0"/>
      </w:pPr>
      <w:r>
        <w:rPr>
          <w:rFonts w:ascii="Arial" w:cs="Arial" w:eastAsia="Arial" w:hAnsi="Arial"/>
          <w:b/>
          <w:bCs/>
          <w:sz w:val="20"/>
          <w:szCs w:val="20"/>
        </w:rPr>
        <w:t xml:space="preserve">Recommendation: DECLINE on an unsecured / clean basis. The Bank may consider participation only on a cash-secured / parent-credit-supported basis (see §10).</w:t>
      </w:r>
    </w:p>
    <w:p>
      <w:r>
        <w:br w:type="page"/>
      </w:r>
    </w:p>
    <w:p>
      <w:pPr>
        <w:pStyle w:val="Heading1"/>
        <w:spacing w:after="120" w:before="240"/>
      </w:pPr>
      <w:r>
        <w:rPr>
          <w:rFonts w:ascii="Arial" w:cs="Arial" w:eastAsia="Arial" w:hAnsi="Arial"/>
          <w:b/>
          <w:bCs/>
          <w:color w:val="1F3A5F"/>
          <w:sz w:val="30"/>
          <w:szCs w:val="30"/>
        </w:rPr>
        <w:t xml:space="preserve">2. Borrower profile</w:t>
      </w:r>
    </w:p>
    <w:p>
      <w:pPr>
        <w:pStyle w:val="Heading2"/>
        <w:spacing w:after="80" w:before="200"/>
      </w:pPr>
      <w:r>
        <w:rPr>
          <w:rFonts w:ascii="Arial" w:cs="Arial" w:eastAsia="Arial" w:hAnsi="Arial"/>
          <w:b/>
          <w:bCs/>
          <w:color w:val="1F3A5F"/>
          <w:sz w:val="24"/>
          <w:szCs w:val="24"/>
        </w:rPr>
        <w:t xml:space="preserve">2.1 Corporate identity (ACRA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Registered name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GOIMPACT CAPITAL PARTNERS (SINGAPORE) PTE. LTD.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UEN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202037175R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Date of incorporation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 November 2020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Entity type / status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Local Company — Live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Company type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Private Company Limited by Shares (Exempt)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Financial year end</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31 December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Primary SSIC</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85409 — Training courses n.e.c.</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Reporting framework</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Singapore Financial Reporting Standards (SFRS) — Unaudited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Audit-exemption status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Yes — Small Company under s.205C, Thirteenth Schedule, Companies Act 1967</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Registered office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 Temasek Boulevard, #32-01 Suntec Tower One, Singapore 038987</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Paid-up capital</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S$4,750 (Ordinary)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Holding company</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GoImpact Capital Partners Limited (Hong Kong; incorporated 19 Sep 2018)</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Subsidiary</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Added FY2023 — consolidation perimeter changed from Company-only in FY2022</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Registered charges (ACRA)</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 active — C202204733 dated 10 Oct 2010 in favour of The Hongkong and Shanghai Banking Corporation Limited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Auditor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Deloitte &amp; Touche LLP (Singapore) — listed in BizFile; FS unaudited under small-co exemption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AGM (FY2024 cycle)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Held 30 June 2025</w:t>
            </w:r>
          </w:p>
        </w:tc>
      </w:tr>
    </w:tbl>
    <w:p>
      <w:pPr>
        <w:pStyle w:val="Heading2"/>
        <w:spacing w:after="80" w:before="200"/>
      </w:pPr>
      <w:r>
        <w:rPr>
          <w:rFonts w:ascii="Arial" w:cs="Arial" w:eastAsia="Arial" w:hAnsi="Arial"/>
          <w:b/>
          <w:bCs/>
          <w:color w:val="1F3A5F"/>
          <w:sz w:val="24"/>
          <w:szCs w:val="24"/>
        </w:rPr>
        <w:t xml:space="preserve">2.2 Group structure</w:t>
      </w:r>
    </w:p>
    <w:p>
      <w:pPr>
        <w:spacing w:after="80" w:before="0"/>
      </w:pPr>
      <w:r>
        <w:rPr>
          <w:rFonts w:ascii="Arial" w:cs="Arial" w:eastAsia="Arial" w:hAnsi="Arial"/>
          <w:sz w:val="20"/>
          <w:szCs w:val="20"/>
        </w:rPr>
        <w:t xml:space="preserve">The Borrower is a wholly-owned subsidiary of GoImpact Capital Partners Limited (Hong Kong, incorporated 19 September 2018). The Singapore entity itself acquired one subsidiary during FY2023, the identity of which is masked in the unaudited FS as the investment is recorded at less than S$1 ("denotes less than S$1" footnote). FY2022 figures are therefore Company-only and not strictly like-for-like with FY2023/FY2024 Group figures.</w:t>
      </w:r>
    </w:p>
    <w:p>
      <w:pPr>
        <w:spacing w:after="80" w:before="0"/>
      </w:pPr>
      <w:r>
        <w:rPr>
          <w:rFonts w:ascii="Arial" w:cs="Arial" w:eastAsia="Arial" w:hAnsi="Arial"/>
          <w:sz w:val="20"/>
          <w:szCs w:val="20"/>
        </w:rPr>
        <w:t xml:space="preserve">Senior management is shared with the Hong Kong parent: Helene Li (Co-founder &amp; CEO), Yu Chiu Andy Ann and Clarence T'ao are directors; corporate secretary Neoh Hooi Ming. The ESOP scheme grants outstanding at FY2023 totalled 1,053 options (≈ 2% of issued shares) — material to the equity story given the share-based-payment reserve was reversed in FY2024 (S$232k credit to P&amp;L).</w:t>
      </w:r>
    </w:p>
    <w:p>
      <w:pPr>
        <w:pStyle w:val="Heading2"/>
        <w:spacing w:after="80" w:before="200"/>
      </w:pPr>
      <w:r>
        <w:rPr>
          <w:rFonts w:ascii="Arial" w:cs="Arial" w:eastAsia="Arial" w:hAnsi="Arial"/>
          <w:b/>
          <w:bCs/>
          <w:color w:val="1F3A5F"/>
          <w:sz w:val="24"/>
          <w:szCs w:val="24"/>
        </w:rPr>
        <w:t xml:space="preserve">2.3 Business model &amp; revenue mix</w:t>
      </w:r>
    </w:p>
    <w:p>
      <w:pPr>
        <w:spacing w:after="80" w:before="0"/>
      </w:pPr>
      <w:r>
        <w:rPr>
          <w:rFonts w:ascii="Arial" w:cs="Arial" w:eastAsia="Arial" w:hAnsi="Arial"/>
          <w:sz w:val="20"/>
          <w:szCs w:val="20"/>
        </w:rPr>
        <w:t xml:space="preserve">The group operates three pillars under the GoImpact brand:</w:t>
      </w:r>
    </w:p>
    <w:p>
      <w:pPr>
        <w:pStyle w:val="ListParagraph"/>
        <w:numPr>
          <w:ilvl w:val="0"/>
          <w:numId w:val="2"/>
        </w:numPr>
        <w:spacing w:after="60"/>
      </w:pPr>
      <w:r>
        <w:rPr>
          <w:rFonts w:ascii="Arial" w:cs="Arial" w:eastAsia="Arial" w:hAnsi="Arial"/>
          <w:sz w:val="20"/>
          <w:szCs w:val="20"/>
        </w:rPr>
        <w:t xml:space="preserve">GoLearn — executive education and corporate training in ESG and Sustainable Finance, both synchronous (workshops, seminars) and asynchronous (online modules) — the principal revenue driver. SSIC 85409 ("Training courses n.e.c.") applies.</w:t>
      </w:r>
    </w:p>
    <w:p>
      <w:pPr>
        <w:pStyle w:val="ListParagraph"/>
        <w:numPr>
          <w:ilvl w:val="0"/>
          <w:numId w:val="2"/>
        </w:numPr>
        <w:spacing w:after="60"/>
      </w:pPr>
      <w:r>
        <w:rPr>
          <w:rFonts w:ascii="Arial" w:cs="Arial" w:eastAsia="Arial" w:hAnsi="Arial"/>
          <w:sz w:val="20"/>
          <w:szCs w:val="20"/>
        </w:rPr>
        <w:t xml:space="preserve">GoNetwork — convening and advocacy via flagship events such as the ESG Impact Summit Singapore — supports brand and lead-gen rather than direct revenue.</w:t>
      </w:r>
    </w:p>
    <w:p>
      <w:pPr>
        <w:pStyle w:val="ListParagraph"/>
        <w:numPr>
          <w:ilvl w:val="0"/>
          <w:numId w:val="2"/>
        </w:numPr>
        <w:spacing w:after="60"/>
      </w:pPr>
      <w:r>
        <w:rPr>
          <w:rFonts w:ascii="Arial" w:cs="Arial" w:eastAsia="Arial" w:hAnsi="Arial"/>
          <w:sz w:val="20"/>
          <w:szCs w:val="20"/>
        </w:rPr>
        <w:t xml:space="preserve">GoInvest — a deal-flow platform connecting institutional investors with sustainable-investment opportunities — early-stage, contribution not separately disclosed.</w:t>
      </w:r>
    </w:p>
    <w:p>
      <w:pPr>
        <w:spacing w:after="80" w:before="0"/>
      </w:pPr>
      <w:r>
        <w:rPr>
          <w:rFonts w:ascii="Arial" w:cs="Arial" w:eastAsia="Arial" w:hAnsi="Arial"/>
          <w:sz w:val="20"/>
          <w:szCs w:val="20"/>
        </w:rPr>
        <w:t xml:space="preserve">Regulatory note: SSIC 85409 falls outside the Private Education Act's mandatory CPE registration so long as courses are part-time and below 50 hours per programme; the Borrower's offering is consistent with this exemption. EduTrust certification has not been pursued and is not required for current programme structure.</w:t>
      </w:r>
    </w:p>
    <w:p>
      <w:r>
        <w:br w:type="page"/>
      </w:r>
    </w:p>
    <w:p>
      <w:pPr>
        <w:pStyle w:val="Heading1"/>
        <w:spacing w:after="120" w:before="240"/>
      </w:pPr>
      <w:r>
        <w:rPr>
          <w:rFonts w:ascii="Arial" w:cs="Arial" w:eastAsia="Arial" w:hAnsi="Arial"/>
          <w:b/>
          <w:bCs/>
          <w:color w:val="1F3A5F"/>
          <w:sz w:val="30"/>
          <w:szCs w:val="30"/>
        </w:rPr>
        <w:t xml:space="preserve">3. Industry &amp; market view</w:t>
      </w:r>
    </w:p>
    <w:p>
      <w:pPr>
        <w:spacing w:after="80" w:before="0"/>
      </w:pPr>
      <w:r>
        <w:rPr>
          <w:rFonts w:ascii="Arial" w:cs="Arial" w:eastAsia="Arial" w:hAnsi="Arial"/>
          <w:sz w:val="20"/>
          <w:szCs w:val="20"/>
        </w:rPr>
        <w:t xml:space="preserve">The Borrower sits at the intersection of two structurally growing Singapore markets — corporate / executive education and ESG / sustainability training:</w:t>
      </w:r>
    </w:p>
    <w:p>
      <w:pPr>
        <w:pStyle w:val="ListParagraph"/>
        <w:numPr>
          <w:ilvl w:val="0"/>
          <w:numId w:val="2"/>
        </w:numPr>
        <w:spacing w:after="60"/>
      </w:pPr>
      <w:r>
        <w:rPr>
          <w:rFonts w:ascii="Arial" w:cs="Arial" w:eastAsia="Arial" w:hAnsi="Arial"/>
          <w:sz w:val="20"/>
          <w:szCs w:val="20"/>
        </w:rPr>
        <w:t xml:space="preserve">Singapore's corporate-training and upskilling market is estimated at ~US$4 billion (executive-education slice ~S$500M), underpinned by SkillsFuture subsidies, digital-transformation demand and the MAS-driven push for green-finance capabilities at financial institutions.</w:t>
      </w:r>
    </w:p>
    <w:p>
      <w:pPr>
        <w:pStyle w:val="ListParagraph"/>
        <w:numPr>
          <w:ilvl w:val="0"/>
          <w:numId w:val="2"/>
        </w:numPr>
        <w:spacing w:after="60"/>
      </w:pPr>
      <w:r>
        <w:rPr>
          <w:rFonts w:ascii="Arial" w:cs="Arial" w:eastAsia="Arial" w:hAnsi="Arial"/>
          <w:sz w:val="20"/>
          <w:szCs w:val="20"/>
        </w:rPr>
        <w:t xml:space="preserve">Demand for ESG-specific training has been a clear tailwind since MAS's Green Finance Action Plan and the rollout of the Singapore Green Plan 2030; SGX-listed companies now report under the SGX Sustainability Reporting framework, and the FI workforce requires accreditation pathways.</w:t>
      </w:r>
    </w:p>
    <w:p>
      <w:pPr>
        <w:pStyle w:val="ListParagraph"/>
        <w:numPr>
          <w:ilvl w:val="0"/>
          <w:numId w:val="2"/>
        </w:numPr>
        <w:spacing w:after="60"/>
      </w:pPr>
      <w:r>
        <w:rPr>
          <w:rFonts w:ascii="Arial" w:cs="Arial" w:eastAsia="Arial" w:hAnsi="Arial"/>
          <w:sz w:val="20"/>
          <w:szCs w:val="20"/>
        </w:rPr>
        <w:t xml:space="preserve">Competition is fragmented but intensifying: SGS Academy, Big-4 training arms (Deloitte, EY, PwC, KPMG), CFA Institute (Climate &amp; Investing certificate), and university-linked programmes (NUS, SMU, INSEAD).</w:t>
      </w:r>
    </w:p>
    <w:p>
      <w:pPr>
        <w:spacing w:after="80" w:before="0"/>
      </w:pPr>
      <w:r>
        <w:rPr>
          <w:rFonts w:ascii="Arial" w:cs="Arial" w:eastAsia="Arial" w:hAnsi="Arial"/>
          <w:sz w:val="20"/>
          <w:szCs w:val="20"/>
        </w:rPr>
        <w:t xml:space="preserve">Despite this favourable backdrop, the Borrower's own revenue contracted 38% in FY2024. Plausible explanations to validate at sanction: (i) one-off events / contracts in FY2023 that did not recur, (ii) churn of corporate clients post-pandemic catch-up budgets, (iii) a deliberate pivot from sponsored events to subscription content. The Borrower's management should be challenged to disaggregate FY2024 revenue by product line, customer concentration and forward order-book.</w:t>
      </w:r>
    </w:p>
    <w:p>
      <w:pPr>
        <w:pStyle w:val="Heading1"/>
        <w:spacing w:after="120" w:before="240"/>
      </w:pPr>
      <w:r>
        <w:rPr>
          <w:rFonts w:ascii="Arial" w:cs="Arial" w:eastAsia="Arial" w:hAnsi="Arial"/>
          <w:b/>
          <w:bCs/>
          <w:color w:val="1F3A5F"/>
          <w:sz w:val="30"/>
          <w:szCs w:val="30"/>
        </w:rPr>
        <w:t xml:space="preserve">4. Financial analysis</w:t>
      </w:r>
    </w:p>
    <w:p>
      <w:pPr>
        <w:spacing w:after="80" w:before="0"/>
      </w:pPr>
      <w:r>
        <w:rPr>
          <w:rFonts w:ascii="Arial" w:cs="Arial" w:eastAsia="Arial" w:hAnsi="Arial"/>
          <w:sz w:val="20"/>
          <w:szCs w:val="20"/>
        </w:rPr>
        <w:t xml:space="preserve">All figures are in SGD and drawn directly from the z124 XBRL renderings of the FY2022 and FY2023 filings and the FY2024 Unaudited Full Set (UFS) PDF lodged with ACRA. FY2022 reflects Company standalone (no subsidiary that year); FY2023 and FY2024 are Group consolidated.</w:t>
      </w:r>
    </w:p>
    <w:p>
      <w:pPr>
        <w:pStyle w:val="Heading3"/>
        <w:spacing w:after="60" w:before="160"/>
      </w:pPr>
      <w:r>
        <w:rPr>
          <w:rFonts w:ascii="Arial" w:cs="Arial" w:eastAsia="Arial" w:hAnsi="Arial"/>
          <w:b/>
          <w:bCs/>
          <w:sz w:val="22"/>
          <w:szCs w:val="22"/>
        </w:rPr>
        <w:t xml:space="preserve">4.1 Income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 ’000s (actual S$)</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FY2022 (Co.)</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FY2023 (Grp)</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FY2024 (Grp)</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Revenue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414,943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583,626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362,570</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Other income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38,719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87,193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67,113</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Employee benefits expense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778,604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1,203,830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826,894</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Professional fees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240,407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294,360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181,220</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Service fees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631,349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107,602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Rental expense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53,869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128,343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89,191</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Other operating expenses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147,360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164,383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316,043</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Foreign exchange (loss) / gain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36,700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Loss before income tax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(1,404,517)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(1,264,399)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(983,684)</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Loss for the year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(1,404,517)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(1,264,399)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(983,684)</w:t>
            </w:r>
          </w:p>
        </w:tc>
      </w:tr>
    </w:tbl>
    <w:p>
      <w:pPr>
        <w:spacing w:after="80" w:before="0"/>
      </w:pPr>
      <w:r>
        <w:rPr>
          <w:rFonts w:ascii="Arial" w:cs="Arial" w:eastAsia="Arial" w:hAnsi="Arial"/>
          <w:sz w:val="20"/>
          <w:szCs w:val="20"/>
        </w:rPr>
        <w:t xml:space="preserve">Observations:</w:t>
      </w:r>
    </w:p>
    <w:p>
      <w:pPr>
        <w:pStyle w:val="ListParagraph"/>
        <w:numPr>
          <w:ilvl w:val="0"/>
          <w:numId w:val="2"/>
        </w:numPr>
        <w:spacing w:after="60"/>
      </w:pPr>
      <w:r>
        <w:rPr>
          <w:rFonts w:ascii="Arial" w:cs="Arial" w:eastAsia="Arial" w:hAnsi="Arial"/>
          <w:sz w:val="20"/>
          <w:szCs w:val="20"/>
        </w:rPr>
        <w:t xml:space="preserve">Revenue trajectory is volatile: +41% YoY in FY2023 (S$415k → S$584k) then -38% in FY2024 (S$584k → S$363k). On a 3-year CAGR basis revenue is broadly flat (-3.4%) despite the group consolidating a new subsidiary in FY2023.</w:t>
      </w:r>
    </w:p>
    <w:p>
      <w:pPr>
        <w:pStyle w:val="ListParagraph"/>
        <w:numPr>
          <w:ilvl w:val="0"/>
          <w:numId w:val="2"/>
        </w:numPr>
        <w:spacing w:after="60"/>
      </w:pPr>
      <w:r>
        <w:rPr>
          <w:rFonts w:ascii="Arial" w:cs="Arial" w:eastAsia="Arial" w:hAnsi="Arial"/>
          <w:sz w:val="20"/>
          <w:szCs w:val="20"/>
        </w:rPr>
        <w:t xml:space="preserve">Cost base contracted in line with revenue in FY2024 — employee expense down 31% (S$1.20M → S$0.83M, suggesting headcount reduction) and professional fees down 38%. Management have evidently exercised cost discipline.</w:t>
      </w:r>
    </w:p>
    <w:p>
      <w:pPr>
        <w:pStyle w:val="ListParagraph"/>
        <w:numPr>
          <w:ilvl w:val="0"/>
          <w:numId w:val="2"/>
        </w:numPr>
        <w:spacing w:after="60"/>
      </w:pPr>
      <w:r>
        <w:rPr>
          <w:rFonts w:ascii="Arial" w:cs="Arial" w:eastAsia="Arial" w:hAnsi="Arial"/>
          <w:sz w:val="20"/>
          <w:szCs w:val="20"/>
        </w:rPr>
        <w:t xml:space="preserve">Other operating expenses, however, nearly doubled (S$164k → S$316k); the absence of disclosure breakdown is a quality-of-earnings flag.</w:t>
      </w:r>
    </w:p>
    <w:p>
      <w:pPr>
        <w:pStyle w:val="ListParagraph"/>
        <w:numPr>
          <w:ilvl w:val="0"/>
          <w:numId w:val="2"/>
        </w:numPr>
        <w:spacing w:after="60"/>
      </w:pPr>
      <w:r>
        <w:rPr>
          <w:rFonts w:ascii="Arial" w:cs="Arial" w:eastAsia="Arial" w:hAnsi="Arial"/>
          <w:sz w:val="20"/>
          <w:szCs w:val="20"/>
        </w:rPr>
        <w:t xml:space="preserve">The FY2024 reversal of the share-based-payment reserve (S$232k) flatters reported loss by ~24% versus a clean comparable.</w:t>
      </w:r>
    </w:p>
    <w:p>
      <w:pPr>
        <w:pStyle w:val="ListParagraph"/>
        <w:numPr>
          <w:ilvl w:val="0"/>
          <w:numId w:val="2"/>
        </w:numPr>
        <w:spacing w:after="60"/>
      </w:pPr>
      <w:r>
        <w:rPr>
          <w:rFonts w:ascii="Arial" w:cs="Arial" w:eastAsia="Arial" w:hAnsi="Arial"/>
          <w:sz w:val="20"/>
          <w:szCs w:val="20"/>
        </w:rPr>
        <w:t xml:space="preserve">No income-tax expense in any FY — consistent with cumulative losses; deferred tax asset not recognised under prudent application of SFRS(I) 12.</w:t>
      </w:r>
    </w:p>
    <w:p>
      <w:pPr>
        <w:pStyle w:val="Heading3"/>
        <w:spacing w:after="60" w:before="160"/>
      </w:pPr>
      <w:r>
        <w:rPr>
          <w:rFonts w:ascii="Arial" w:cs="Arial" w:eastAsia="Arial" w:hAnsi="Arial"/>
          <w:b/>
          <w:bCs/>
          <w:sz w:val="22"/>
          <w:szCs w:val="22"/>
        </w:rPr>
        <w:t xml:space="preserve">4.2 Statement of financial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 ’000s (actual S$)</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FY2022 (Co.)</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FY2023 (Grp)</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FY2024 (Grp)</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Cash and cash equivalents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1,345,811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1,566,827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490,541</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Trade and other receivables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150,526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272,994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318,517</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Prepayments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19,675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27,842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8,916</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Total current assets / Total assets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1,516,012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1,867,663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817,974</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Trade and other payables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228,771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395,071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564,454</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Withholding tax payable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3,472</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Total current / Total liabilities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228,771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395,071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567,926</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Share capital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2,700,090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4,042,290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4,042,290</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Capital reserve (share-based pmt)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119,989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232,468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Translation 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(4,929)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(11,321)</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Accumulated losses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(1,532,838)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(2,797,237)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(3,780,921)</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Total equity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1,287,241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1,472,592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250,048</w:t>
            </w:r>
          </w:p>
        </w:tc>
      </w:tr>
    </w:tbl>
    <w:p>
      <w:pPr>
        <w:spacing w:after="80" w:before="0"/>
      </w:pPr>
      <w:r>
        <w:rPr>
          <w:rFonts w:ascii="Arial" w:cs="Arial" w:eastAsia="Arial" w:hAnsi="Arial"/>
          <w:sz w:val="20"/>
          <w:szCs w:val="20"/>
        </w:rPr>
        <w:t xml:space="preserve">Observations:</w:t>
      </w:r>
    </w:p>
    <w:p>
      <w:pPr>
        <w:pStyle w:val="ListParagraph"/>
        <w:numPr>
          <w:ilvl w:val="0"/>
          <w:numId w:val="2"/>
        </w:numPr>
        <w:spacing w:after="60"/>
      </w:pPr>
      <w:r>
        <w:rPr>
          <w:rFonts w:ascii="Arial" w:cs="Arial" w:eastAsia="Arial" w:hAnsi="Arial"/>
          <w:sz w:val="20"/>
          <w:szCs w:val="20"/>
        </w:rPr>
        <w:t xml:space="preserve">Balance sheet is effectively all-current — no PP&amp;E, no right-of-use asset, no intangibles beyond the masked subsidiary investment. The business has minimal capital intensity.</w:t>
      </w:r>
    </w:p>
    <w:p>
      <w:pPr>
        <w:pStyle w:val="ListParagraph"/>
        <w:numPr>
          <w:ilvl w:val="0"/>
          <w:numId w:val="2"/>
        </w:numPr>
        <w:spacing w:after="60"/>
      </w:pPr>
      <w:r>
        <w:rPr>
          <w:rFonts w:ascii="Arial" w:cs="Arial" w:eastAsia="Arial" w:hAnsi="Arial"/>
          <w:sz w:val="20"/>
          <w:szCs w:val="20"/>
        </w:rPr>
        <w:t xml:space="preserve">Trade and other receivables grew 17% in a year revenue contracted 38% — implied DSO has ballooned from 171 days (FY2023) to 321 days (FY2024). Either (i) collection performance has deteriorated sharply, or (ii) "other receivables" embed inter-company / non-trade balances with the HK parent. This is the single most important diligence question (§7 below).</w:t>
      </w:r>
    </w:p>
    <w:p>
      <w:pPr>
        <w:pStyle w:val="ListParagraph"/>
        <w:numPr>
          <w:ilvl w:val="0"/>
          <w:numId w:val="2"/>
        </w:numPr>
        <w:spacing w:after="60"/>
      </w:pPr>
      <w:r>
        <w:rPr>
          <w:rFonts w:ascii="Arial" w:cs="Arial" w:eastAsia="Arial" w:hAnsi="Arial"/>
          <w:sz w:val="20"/>
          <w:szCs w:val="20"/>
        </w:rPr>
        <w:t xml:space="preserve">Trade and other payables grew 43% in FY2024 — the working-capital benefit (+S$173k operating-cash adjustment) is real but not sustainable as a funding source.</w:t>
      </w:r>
    </w:p>
    <w:p>
      <w:pPr>
        <w:pStyle w:val="ListParagraph"/>
        <w:numPr>
          <w:ilvl w:val="0"/>
          <w:numId w:val="2"/>
        </w:numPr>
        <w:spacing w:after="60"/>
      </w:pPr>
      <w:r>
        <w:rPr>
          <w:rFonts w:ascii="Arial" w:cs="Arial" w:eastAsia="Arial" w:hAnsi="Arial"/>
          <w:sz w:val="20"/>
          <w:szCs w:val="20"/>
        </w:rPr>
        <w:t xml:space="preserve">Equity erosion is severe: total equity fell 83% YoY (S$1.47M → S$0.25M). Accumulated losses (S$3.78M) now stand at 93.5% of share capital — the business is one further loss-making FY away from technical capital impairment.</w:t>
      </w:r>
    </w:p>
    <w:p>
      <w:pPr>
        <w:pStyle w:val="Heading3"/>
        <w:spacing w:after="60" w:before="160"/>
      </w:pPr>
      <w:r>
        <w:rPr>
          <w:rFonts w:ascii="Arial" w:cs="Arial" w:eastAsia="Arial" w:hAnsi="Arial"/>
          <w:b/>
          <w:bCs/>
          <w:sz w:val="22"/>
          <w:szCs w:val="22"/>
        </w:rPr>
        <w:t xml:space="preserve">4.3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 ’000s (actual S$)</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FY2022 (Co.)</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FY2023 (Grp)</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FY2024 (Grp)</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Operating cash flow</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(3,941,028)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(1,121,184)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(1,076,286)</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Financing cash flow</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2,700,089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1,342,200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Net change in cash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(1,240,939)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221,016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(1,076,286)</w:t>
            </w:r>
          </w:p>
        </w:tc>
      </w:tr>
    </w:tbl>
    <w:p>
      <w:pPr>
        <w:spacing w:after="80" w:before="0"/>
      </w:pPr>
      <w:r>
        <w:rPr>
          <w:rFonts w:ascii="Arial" w:cs="Arial" w:eastAsia="Arial" w:hAnsi="Arial"/>
          <w:sz w:val="20"/>
          <w:szCs w:val="20"/>
        </w:rPr>
        <w:t xml:space="preserve">The cash-flow statement is the most concerning view of the business. Cumulative operating cash outflow over the three years observed is approximately S$6.1M, against cumulative equity injections of S$4.04M from the parent. The S$2M gap has been bridged by opening cash and accruals.</w:t>
      </w:r>
    </w:p>
    <w:p>
      <w:pPr>
        <w:spacing w:after="80" w:before="0"/>
      </w:pPr>
      <w:r>
        <w:rPr>
          <w:rFonts w:ascii="Arial" w:cs="Arial" w:eastAsia="Arial" w:hAnsi="Arial"/>
          <w:sz w:val="20"/>
          <w:szCs w:val="20"/>
        </w:rPr>
        <w:t xml:space="preserve">FY2024 had zero financing inflow — i.e. the parent did not inject equity for the first time since incorporation. This is a structural credit signal and must be diligenced (§7).</w:t>
      </w:r>
    </w:p>
    <w:p>
      <w:pPr>
        <w:pStyle w:val="Heading1"/>
        <w:spacing w:after="120" w:before="240"/>
      </w:pPr>
      <w:r>
        <w:rPr>
          <w:rFonts w:ascii="Arial" w:cs="Arial" w:eastAsia="Arial" w:hAnsi="Arial"/>
          <w:b/>
          <w:bCs/>
          <w:color w:val="1F3A5F"/>
          <w:sz w:val="30"/>
          <w:szCs w:val="30"/>
        </w:rPr>
        <w:t xml:space="preserve">5. Ratio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 Ratio</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FY2022 (Co.)</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FY2023 (Grp)</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FY2024 (Grp)</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Current ratio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6.63x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4.73x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1.44x</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Quick ratio (cash + AR / CL)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6.54x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4.66x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1.42x</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Cash / current liabilities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5.88x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3.97x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0.86x</w:t>
            </w:r>
          </w:p>
        </w:tc>
      </w:tr>
      <w:tr>
        <w:tc>
          <w:tcPr>
            <w:tcW w:type="dxa" w:w="3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Net margin (PAT / revenue)</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-338%</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-217%</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-271%</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Implied DSO (AR / revenue × 365)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132 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171 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321 d</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Equity / total assets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31%</w:t>
            </w:r>
          </w:p>
        </w:tc>
      </w:tr>
      <w:tr>
        <w:tc>
          <w:tcPr>
            <w:tcW w:type="dxa" w:w="3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Accumulated losses / share cap.</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57%</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69%</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94%</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Annual operating cash burn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S$3,941,028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S$1,121,184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S$1,076,286</w:t>
            </w:r>
          </w:p>
        </w:tc>
      </w:tr>
      <w:tr>
        <w:tc>
          <w:tcPr>
            <w:tcW w:type="dxa" w:w="3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Cash runway @ current burn</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4.1 mo</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16.8 mo</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5.5 mo</w:t>
            </w:r>
          </w:p>
        </w:tc>
      </w:tr>
    </w:tbl>
    <w:p>
      <w:pPr>
        <w:spacing w:after="80" w:before="0"/>
      </w:pPr>
      <w:r>
        <w:rPr>
          <w:rFonts w:ascii="Arial" w:cs="Arial" w:eastAsia="Arial" w:hAnsi="Arial"/>
          <w:sz w:val="20"/>
          <w:szCs w:val="20"/>
        </w:rPr>
        <w:t xml:space="preserve">Read-through: the headline current ratio of 1.44x is misleadingly comfortable because (i) receivables are of questionable quality, and (ii) the entity has no debt-service obligations to cover. The real liquidity ratio of relevance — cash / current liabilities — has fallen below 1.0x for the first time, meaning even a moderate creditor squeeze (e.g. holding off paying suppliers becoming impossible) would push the entity into a wind-down trajectory.</w:t>
      </w:r>
    </w:p>
    <w:p>
      <w:r>
        <w:br w:type="page"/>
      </w:r>
    </w:p>
    <w:p>
      <w:pPr>
        <w:pStyle w:val="Heading1"/>
        <w:spacing w:after="120" w:before="240"/>
      </w:pPr>
      <w:r>
        <w:rPr>
          <w:rFonts w:ascii="Arial" w:cs="Arial" w:eastAsia="Arial" w:hAnsi="Arial"/>
          <w:b/>
          <w:bCs/>
          <w:color w:val="1F3A5F"/>
          <w:sz w:val="30"/>
          <w:szCs w:val="30"/>
        </w:rPr>
        <w:t xml:space="preserve">6. Liquidity &amp; runway analysis</w:t>
      </w:r>
    </w:p>
    <w:p>
      <w:pPr>
        <w:spacing w:after="80" w:before="0"/>
      </w:pPr>
      <w:r>
        <w:rPr>
          <w:rFonts w:ascii="Arial" w:cs="Arial" w:eastAsia="Arial" w:hAnsi="Arial"/>
          <w:sz w:val="20"/>
          <w:szCs w:val="20"/>
        </w:rPr>
        <w:t xml:space="preserve">Stress scenarios were modelled against FY2024 closing cash of S$490k: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Scenario</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Monthly burn</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Months to S$0 cash</w:t>
            </w:r>
          </w:p>
        </w:tc>
        <w:tc>
          <w:tcPr>
            <w:tcW w:type="dxa" w:w="23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Implication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Base: FY2024 run-rate burn S$1.08M / yr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S$90k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5.5</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Cash exhausted by mid-FY2025 absent parent injection or revenue rebound.</w:t>
            </w:r>
          </w:p>
        </w:tc>
      </w:tr>
      <w:tr>
        <w:tc>
          <w:tcPr>
            <w:tcW w:type="dxa" w:w="3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Mild: 15% cost cut + flat revenue</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S$76k</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6.5</w:t>
            </w:r>
          </w:p>
        </w:tc>
        <w:tc>
          <w:tcPr>
            <w:tcW w:type="dxa" w:w="2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Buys ~1 additional month; not credit-meaningful.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Severe: -25% further revenue, costs flat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S$120k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4.1</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Capital impairment by FY2025 close; auditor going-concern caveat probable if FS audited.</w:t>
            </w:r>
          </w:p>
        </w:tc>
      </w:tr>
      <w:tr>
        <w:tc>
          <w:tcPr>
            <w:tcW w:type="dxa" w:w="3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Recovery: revenue +20% YoY, costs flat</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S$84k</w:t>
            </w:r>
          </w:p>
        </w:tc>
        <w:tc>
          <w:tcPr>
            <w:tcW w:type="dxa" w:w="20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5.8</w:t>
            </w:r>
          </w:p>
        </w:tc>
        <w:tc>
          <w:tcPr>
            <w:tcW w:type="dxa" w:w="23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Marginal — still requires parent capital to clear FY2025.</w:t>
            </w:r>
          </w:p>
        </w:tc>
      </w:tr>
    </w:tbl>
    <w:p>
      <w:pPr>
        <w:pStyle w:val="Heading2"/>
        <w:spacing w:after="80" w:before="200"/>
      </w:pPr>
      <w:r>
        <w:rPr>
          <w:rFonts w:ascii="Arial" w:cs="Arial" w:eastAsia="Arial" w:hAnsi="Arial"/>
          <w:b/>
          <w:bCs/>
          <w:color w:val="1F3A5F"/>
          <w:sz w:val="24"/>
          <w:szCs w:val="24"/>
        </w:rPr>
        <w:t xml:space="preserve">6.1 MAS Notice 612 grading and SFRS(I) 9 ECL</w:t>
      </w:r>
    </w:p>
    <w:p>
      <w:pPr>
        <w:spacing w:after="80" w:before="0"/>
      </w:pPr>
      <w:r>
        <w:rPr>
          <w:rFonts w:ascii="Arial" w:cs="Arial" w:eastAsia="Arial" w:hAnsi="Arial"/>
          <w:sz w:val="20"/>
          <w:szCs w:val="20"/>
        </w:rPr>
        <w:t xml:space="preserve">Under MAS Notice 612 (Credit Files, Grading and Provisioning):</w:t>
      </w:r>
    </w:p>
    <w:p>
      <w:pPr>
        <w:pStyle w:val="ListParagraph"/>
        <w:numPr>
          <w:ilvl w:val="0"/>
          <w:numId w:val="2"/>
        </w:numPr>
        <w:spacing w:after="60"/>
      </w:pPr>
      <w:r>
        <w:rPr>
          <w:rFonts w:ascii="Arial" w:cs="Arial" w:eastAsia="Arial" w:hAnsi="Arial"/>
          <w:sz w:val="20"/>
          <w:szCs w:val="20"/>
        </w:rPr>
        <w:t xml:space="preserve">Classification on standalone obligor basis: Substandard — well-defined weaknesses (loss-making, eroded capital, deteriorating revenue, cash runway &lt; 12 months).</w:t>
      </w:r>
    </w:p>
    <w:p>
      <w:pPr>
        <w:pStyle w:val="ListParagraph"/>
        <w:numPr>
          <w:ilvl w:val="0"/>
          <w:numId w:val="2"/>
        </w:numPr>
        <w:spacing w:after="60"/>
      </w:pPr>
      <w:r>
        <w:rPr>
          <w:rFonts w:ascii="Arial" w:cs="Arial" w:eastAsia="Arial" w:hAnsi="Arial"/>
          <w:sz w:val="20"/>
          <w:szCs w:val="20"/>
        </w:rPr>
        <w:t xml:space="preserve">If a Hong Kong parent guarantee is provided with audited parent FS demonstrating capacity, classification could be elevated to Special Mention pending guarantor diligence.</w:t>
      </w:r>
    </w:p>
    <w:p>
      <w:pPr>
        <w:pStyle w:val="ListParagraph"/>
        <w:numPr>
          <w:ilvl w:val="0"/>
          <w:numId w:val="2"/>
        </w:numPr>
        <w:spacing w:after="60"/>
      </w:pPr>
      <w:r>
        <w:rPr>
          <w:rFonts w:ascii="Arial" w:cs="Arial" w:eastAsia="Arial" w:hAnsi="Arial"/>
          <w:sz w:val="20"/>
          <w:szCs w:val="20"/>
        </w:rPr>
        <w:t xml:space="preserve">SFRS(I) 9 ECL stage: Stage 2 (significant increase in credit risk since origination) under both Bank and counterparty perspectives. Lifetime ECL would apply on any new facility.</w:t>
      </w:r>
    </w:p>
    <w:p>
      <w:r>
        <w:br w:type="page"/>
      </w:r>
    </w:p>
    <w:p>
      <w:pPr>
        <w:pStyle w:val="Heading1"/>
        <w:spacing w:after="120" w:before="240"/>
      </w:pPr>
      <w:r>
        <w:rPr>
          <w:rFonts w:ascii="Arial" w:cs="Arial" w:eastAsia="Arial" w:hAnsi="Arial"/>
          <w:b/>
          <w:bCs/>
          <w:color w:val="1F3A5F"/>
          <w:sz w:val="30"/>
          <w:szCs w:val="30"/>
        </w:rPr>
        <w:t xml:space="preserve">7. Quality of earnings — diligence questions</w:t>
      </w:r>
    </w:p>
    <w:p>
      <w:pPr>
        <w:spacing w:after="80" w:before="0"/>
      </w:pPr>
      <w:r>
        <w:rPr>
          <w:rFonts w:ascii="Arial" w:cs="Arial" w:eastAsia="Arial" w:hAnsi="Arial"/>
          <w:sz w:val="20"/>
          <w:szCs w:val="20"/>
        </w:rPr>
        <w:t xml:space="preserve">The following items must be resolved before any credit decision (positive or negative):</w:t>
      </w:r>
    </w:p>
    <w:p>
      <w:pPr>
        <w:pStyle w:val="ListParagraph"/>
        <w:numPr>
          <w:ilvl w:val="0"/>
          <w:numId w:val="2"/>
        </w:numPr>
        <w:spacing w:after="60"/>
      </w:pPr>
      <w:r>
        <w:rPr>
          <w:rFonts w:ascii="Arial" w:cs="Arial" w:eastAsia="Arial" w:hAnsi="Arial"/>
          <w:sz w:val="20"/>
          <w:szCs w:val="20"/>
        </w:rPr>
        <w:t xml:space="preserve">Breakdown of "Trade and other receivables" S$318,517 (FY2024) — split trade vs other vs related-party; aged debtor listing; identity of top 3 debtors and their FY2024 / YTD payment behaviour.</w:t>
      </w:r>
    </w:p>
    <w:p>
      <w:pPr>
        <w:pStyle w:val="ListParagraph"/>
        <w:numPr>
          <w:ilvl w:val="0"/>
          <w:numId w:val="2"/>
        </w:numPr>
        <w:spacing w:after="60"/>
      </w:pPr>
      <w:r>
        <w:rPr>
          <w:rFonts w:ascii="Arial" w:cs="Arial" w:eastAsia="Arial" w:hAnsi="Arial"/>
          <w:sz w:val="20"/>
          <w:szCs w:val="20"/>
        </w:rPr>
        <w:t xml:space="preserve">Confirmation that the S$0.55M trade and other payables and S$3.5k withholding tax do not embed any overdue PAYE, CPF or GST obligations to IRAS / CPF Board.</w:t>
      </w:r>
    </w:p>
    <w:p>
      <w:pPr>
        <w:pStyle w:val="ListParagraph"/>
        <w:numPr>
          <w:ilvl w:val="0"/>
          <w:numId w:val="2"/>
        </w:numPr>
        <w:spacing w:after="60"/>
      </w:pPr>
      <w:r>
        <w:rPr>
          <w:rFonts w:ascii="Arial" w:cs="Arial" w:eastAsia="Arial" w:hAnsi="Arial"/>
          <w:sz w:val="20"/>
          <w:szCs w:val="20"/>
        </w:rPr>
        <w:t xml:space="preserve">Rationale for the reversal of the S$232k capital reserve (share-based payment) in FY2024 — was this a forfeiture of options on staff exits, and does it foreshadow further departures?</w:t>
      </w:r>
    </w:p>
    <w:p>
      <w:pPr>
        <w:pStyle w:val="ListParagraph"/>
        <w:numPr>
          <w:ilvl w:val="0"/>
          <w:numId w:val="2"/>
        </w:numPr>
        <w:spacing w:after="60"/>
      </w:pPr>
      <w:r>
        <w:rPr>
          <w:rFonts w:ascii="Arial" w:cs="Arial" w:eastAsia="Arial" w:hAnsi="Arial"/>
          <w:sz w:val="20"/>
          <w:szCs w:val="20"/>
        </w:rPr>
        <w:t xml:space="preserve">Drivers of "other operating expenses" near-doubling from S$164k to S$316k — one-offs (legal, restructuring, event-cancellation provisions) vs run-rate.</w:t>
      </w:r>
    </w:p>
    <w:p>
      <w:pPr>
        <w:pStyle w:val="ListParagraph"/>
        <w:numPr>
          <w:ilvl w:val="0"/>
          <w:numId w:val="2"/>
        </w:numPr>
        <w:spacing w:after="60"/>
      </w:pPr>
      <w:r>
        <w:rPr>
          <w:rFonts w:ascii="Arial" w:cs="Arial" w:eastAsia="Arial" w:hAnsi="Arial"/>
          <w:sz w:val="20"/>
          <w:szCs w:val="20"/>
        </w:rPr>
        <w:t xml:space="preserve">Forward order book / signed contracts for FY2025 and pipeline conversion rate; customer concentration (top-5 customers as % of revenue).</w:t>
      </w:r>
    </w:p>
    <w:p>
      <w:pPr>
        <w:pStyle w:val="ListParagraph"/>
        <w:numPr>
          <w:ilvl w:val="0"/>
          <w:numId w:val="2"/>
        </w:numPr>
        <w:spacing w:after="60"/>
      </w:pPr>
      <w:r>
        <w:rPr>
          <w:rFonts w:ascii="Arial" w:cs="Arial" w:eastAsia="Arial" w:hAnsi="Arial"/>
          <w:sz w:val="20"/>
          <w:szCs w:val="20"/>
        </w:rPr>
        <w:t xml:space="preserve">Status of registered charge C202204733 (HSBC, 10 Oct 2010) — letter of release from chargee or a re-confirmation of nil drawn balances. Pre-dates incorporation of the borrower by ~10 years, suggesting filing relates to a related entity historically; ACRA charge filings can carry over with name changes.</w:t>
      </w:r>
    </w:p>
    <w:p>
      <w:pPr>
        <w:pStyle w:val="ListParagraph"/>
        <w:numPr>
          <w:ilvl w:val="0"/>
          <w:numId w:val="2"/>
        </w:numPr>
        <w:spacing w:after="60"/>
      </w:pPr>
      <w:r>
        <w:rPr>
          <w:rFonts w:ascii="Arial" w:cs="Arial" w:eastAsia="Arial" w:hAnsi="Arial"/>
          <w:sz w:val="20"/>
          <w:szCs w:val="20"/>
        </w:rPr>
        <w:t xml:space="preserve">Hong Kong parent capacity — last 3 years' audited consolidated FS of GoImpact HK; cash position and forward funding commitment in writing; standing of parent in HKMA / SFC registries.</w:t>
      </w:r>
    </w:p>
    <w:p>
      <w:pPr>
        <w:pStyle w:val="ListParagraph"/>
        <w:numPr>
          <w:ilvl w:val="0"/>
          <w:numId w:val="2"/>
        </w:numPr>
        <w:spacing w:after="60"/>
      </w:pPr>
      <w:r>
        <w:rPr>
          <w:rFonts w:ascii="Arial" w:cs="Arial" w:eastAsia="Arial" w:hAnsi="Arial"/>
          <w:sz w:val="20"/>
          <w:szCs w:val="20"/>
        </w:rPr>
        <w:t xml:space="preserve">Group ESOP outstanding (1,053 options as at FY2023) — exercise price (currently nil), dilution mechanics and whether parent will service them.</w:t>
      </w:r>
    </w:p>
    <w:p>
      <w:pPr>
        <w:pStyle w:val="Heading1"/>
        <w:spacing w:after="120" w:before="240"/>
      </w:pPr>
      <w:r>
        <w:rPr>
          <w:rFonts w:ascii="Arial" w:cs="Arial" w:eastAsia="Arial" w:hAnsi="Arial"/>
          <w:b/>
          <w:bCs/>
          <w:color w:val="1F3A5F"/>
          <w:sz w:val="30"/>
          <w:szCs w:val="30"/>
        </w:rPr>
        <w:t xml:space="preserve">8. Qualitative &amp; management assessment</w:t>
      </w:r>
    </w:p>
    <w:p>
      <w:pPr>
        <w:pStyle w:val="Heading2"/>
        <w:spacing w:after="80" w:before="200"/>
      </w:pPr>
      <w:r>
        <w:rPr>
          <w:rFonts w:ascii="Arial" w:cs="Arial" w:eastAsia="Arial" w:hAnsi="Arial"/>
          <w:b/>
          <w:bCs/>
          <w:color w:val="1F3A5F"/>
          <w:sz w:val="24"/>
          <w:szCs w:val="24"/>
        </w:rPr>
        <w:t xml:space="preserve">8.1 Management</w:t>
      </w:r>
    </w:p>
    <w:p>
      <w:pPr>
        <w:spacing w:after="80" w:before="0"/>
      </w:pPr>
      <w:r>
        <w:rPr>
          <w:rFonts w:ascii="Arial" w:cs="Arial" w:eastAsia="Arial" w:hAnsi="Arial"/>
          <w:sz w:val="20"/>
          <w:szCs w:val="20"/>
        </w:rPr>
        <w:t xml:space="preserve">The management bench is unusually strong for a sub-S$1M revenue business. Co-founder &amp; CEO Helene Li has held senior roles at J.P. Morgan, BNP Paribas, Lombard Odier and BCG / Willis Towers Watson; she is concurrently General Manager of the FinTech Association of Hong Kong and an Adjunct Professor in Sustainable Finance &amp; Wealth Management. The wider team includes Wai Pok Helene Li, Yu Chiu Andy Ann and Clarence T'ao as directors — typical "founder-led" governance, with limited independence on the board.</w:t>
      </w:r>
    </w:p>
    <w:p>
      <w:pPr>
        <w:spacing w:after="80" w:before="0"/>
      </w:pPr>
      <w:r>
        <w:rPr>
          <w:rFonts w:ascii="Arial" w:cs="Arial" w:eastAsia="Arial" w:hAnsi="Arial"/>
          <w:sz w:val="20"/>
          <w:szCs w:val="20"/>
        </w:rPr>
        <w:t xml:space="preserve">This pedigree explains the brand traction and partnership roster (Temasek Foundation, UNDP, FT, Bloomberg) but it does not by itself underwrite a credit decision. The business has been operating since November 2020 and has yet to demonstrate a scaled, profitable revenue base.</w:t>
      </w:r>
    </w:p>
    <w:p>
      <w:pPr>
        <w:pStyle w:val="Heading2"/>
        <w:spacing w:after="80" w:before="200"/>
      </w:pPr>
      <w:r>
        <w:rPr>
          <w:rFonts w:ascii="Arial" w:cs="Arial" w:eastAsia="Arial" w:hAnsi="Arial"/>
          <w:b/>
          <w:bCs/>
          <w:color w:val="1F3A5F"/>
          <w:sz w:val="24"/>
          <w:szCs w:val="24"/>
        </w:rPr>
        <w:t xml:space="preserve">8.2 Reputational / ESG</w:t>
      </w:r>
    </w:p>
    <w:p>
      <w:pPr>
        <w:spacing w:after="80" w:before="0"/>
      </w:pPr>
      <w:r>
        <w:rPr>
          <w:rFonts w:ascii="Arial" w:cs="Arial" w:eastAsia="Arial" w:hAnsi="Arial"/>
          <w:sz w:val="20"/>
          <w:szCs w:val="20"/>
        </w:rPr>
        <w:t xml:space="preserve">The Borrower is an ESG-positive name in a market segment the Bank is actively encouraged to support under MAS's Green Finance Action Plan and the Bank's own sustainability commitments. There is meaningful franchise / reputational value in supporting the customer notwithstanding the standalone credit weakness — this informs the structured-alternative recommendation in §10.</w:t>
      </w:r>
    </w:p>
    <w:p>
      <w:pPr>
        <w:pStyle w:val="Heading2"/>
        <w:spacing w:after="80" w:before="200"/>
      </w:pPr>
      <w:r>
        <w:rPr>
          <w:rFonts w:ascii="Arial" w:cs="Arial" w:eastAsia="Arial" w:hAnsi="Arial"/>
          <w:b/>
          <w:bCs/>
          <w:color w:val="1F3A5F"/>
          <w:sz w:val="24"/>
          <w:szCs w:val="24"/>
        </w:rPr>
        <w:t xml:space="preserve">8.3 Reputational / AML</w:t>
      </w:r>
    </w:p>
    <w:p>
      <w:pPr>
        <w:spacing w:after="80" w:before="0"/>
      </w:pPr>
      <w:r>
        <w:rPr>
          <w:rFonts w:ascii="Arial" w:cs="Arial" w:eastAsia="Arial" w:hAnsi="Arial"/>
          <w:sz w:val="20"/>
          <w:szCs w:val="20"/>
        </w:rPr>
        <w:t xml:space="preserve">No adverse-media findings during open-source review (June 2026). UN / OFAC / EU sanctions and PEP screening to be completed at onboarding under MAS Notice 626. UBO is GoImpact HK; Hong Kong-incorporated parents require enhanced source-of-funds documentation per the Bank's AML policy.</w:t>
      </w:r>
    </w:p>
    <w:p>
      <w:r>
        <w:br w:type="page"/>
      </w:r>
    </w:p>
    <w:p>
      <w:pPr>
        <w:pStyle w:val="Heading1"/>
        <w:spacing w:after="120" w:before="240"/>
      </w:pPr>
      <w:r>
        <w:rPr>
          <w:rFonts w:ascii="Arial" w:cs="Arial" w:eastAsia="Arial" w:hAnsi="Arial"/>
          <w:b/>
          <w:bCs/>
          <w:color w:val="1F3A5F"/>
          <w:sz w:val="30"/>
          <w:szCs w:val="30"/>
        </w:rPr>
        <w:t xml:space="preserve">9. Risks &amp;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Risk</w:t>
            </w:r>
          </w:p>
        </w:tc>
        <w:tc>
          <w:tcPr>
            <w:tcW w:type="dxa" w:w="51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Mitigant / Treatment</w:t>
            </w:r>
          </w:p>
        </w:tc>
      </w:tr>
      <w:tr>
        <w:tc>
          <w:tcPr>
            <w:tcW w:type="dxa" w:w="42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Going-concern: 5.5-month cash runway; FY2024 zero financing inflow from parent</w:t>
            </w:r>
          </w:p>
        </w:tc>
        <w:tc>
          <w:tcPr>
            <w:tcW w:type="dxa" w:w="51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Require parent funding undertaking; cap exposure to cash-margin facilities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Receivables quality: DSO 321 days, undisclosed split, possible related-party content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Aged debtor schedule with top-3 names; restrict invoice-financing to confirmed, non-related obligors</w:t>
            </w:r>
          </w:p>
        </w:tc>
      </w:tr>
      <w:tr>
        <w:tc>
          <w:tcPr>
            <w:tcW w:type="dxa" w:w="42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Revenue concentration &amp; volatility (FY2024 −38%)</w:t>
            </w:r>
          </w:p>
        </w:tc>
        <w:tc>
          <w:tcPr>
            <w:tcW w:type="dxa" w:w="51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Top-5 customer schedule; order-book validation; covenant on quarterly revenue floor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Eroded equity cushion (TE/TA 31%, accumulated losses 93.5% of share cap.)</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Negative covenant on dividends / capital returns; financial-information covenants (quarterly mgmt accounts)</w:t>
            </w:r>
          </w:p>
        </w:tc>
      </w:tr>
      <w:tr>
        <w:tc>
          <w:tcPr>
            <w:tcW w:type="dxa" w:w="42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Legacy ACRA charge (HSBC, 2010)</w:t>
            </w:r>
          </w:p>
        </w:tc>
        <w:tc>
          <w:tcPr>
            <w:tcW w:type="dxa" w:w="51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Pre-CP: letter of release or confirmation of nil balance; if active, negative-pledge override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Cross-border parent exposure (HK)</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Parent FS, source-of-funds, PDPA cross-border transfer assessment; AML enhanced due diligence</w:t>
            </w:r>
          </w:p>
        </w:tc>
      </w:tr>
      <w:tr>
        <w:tc>
          <w:tcPr>
            <w:tcW w:type="dxa" w:w="420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left"/>
            </w:pPr>
            <w:r>
              <w:rPr>
                <w:rFonts w:ascii="Arial" w:cs="Arial" w:eastAsia="Arial" w:hAnsi="Arial"/>
                <w:b/>
                <w:bCs/>
                <w:sz w:val="18"/>
                <w:szCs w:val="18"/>
              </w:rPr>
              <w:t xml:space="preserve">Audit-exemption FS — limited assurance</w:t>
            </w:r>
          </w:p>
        </w:tc>
        <w:tc>
          <w:tcPr>
            <w:tcW w:type="dxa" w:w="5160"/>
            <w:tcBorders>
              <w:top w:val="single" w:color="BFBFBF" w:sz="4"/>
              <w:left w:val="single" w:color="BFBFBF" w:sz="4"/>
              <w:bottom w:val="single" w:color="BFBFBF" w:sz="4"/>
              <w:right w:val="single" w:color="BFBFBF" w:sz="4"/>
            </w:tcBorders>
            <w:shd w:fill="F2F4F7"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Require management representation letter; reservation of right to procure independent agreed-upon procedures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bCs/>
                <w:sz w:val="18"/>
                <w:szCs w:val="18"/>
              </w:rPr>
              <w:t xml:space="preserve">Reputational / ESG positive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Supports franchise rationale for structured engagement</w:t>
            </w:r>
          </w:p>
        </w:tc>
      </w:tr>
    </w:tbl>
    <w:p>
      <w:pPr>
        <w:pStyle w:val="Heading1"/>
        <w:spacing w:after="120" w:before="240"/>
      </w:pPr>
      <w:r>
        <w:rPr>
          <w:rFonts w:ascii="Arial" w:cs="Arial" w:eastAsia="Arial" w:hAnsi="Arial"/>
          <w:b/>
          <w:bCs/>
          <w:color w:val="1F3A5F"/>
          <w:sz w:val="30"/>
          <w:szCs w:val="30"/>
        </w:rPr>
        <w:t xml:space="preserve">10. Recommendation &amp; proposed structure</w:t>
      </w:r>
    </w:p>
    <w:p>
      <w:pPr>
        <w:spacing w:after="80" w:before="0"/>
      </w:pPr>
      <w:r>
        <w:rPr>
          <w:rFonts w:ascii="Arial" w:cs="Arial" w:eastAsia="Arial" w:hAnsi="Arial"/>
          <w:b/>
          <w:bCs/>
          <w:sz w:val="20"/>
          <w:szCs w:val="20"/>
        </w:rPr>
        <w:t xml:space="preserve">A clean, unsecured Working Capital Loan to the Singapore entity is DECLINED. The Borrower does not satisfy the Bank's SME credit-policy minimums on profitability (cumulative loss-making, no PAT in any FY observed), capital adequacy (TE/TA 30.6% on small base, accumulated losses 93.5% of share capital) or debt-service capacity (zero EBITDA, negative operating cash flow).</w:t>
      </w:r>
    </w:p>
    <w:p>
      <w:pPr>
        <w:spacing w:after="80" w:before="0"/>
      </w:pPr>
      <w:r>
        <w:rPr>
          <w:rFonts w:ascii="Arial" w:cs="Arial" w:eastAsia="Arial" w:hAnsi="Arial"/>
          <w:sz w:val="20"/>
          <w:szCs w:val="20"/>
        </w:rPr>
        <w:t xml:space="preserve">The Bank may, however, preserve and develop the relationship through one or more of the following structured options:</w:t>
      </w:r>
    </w:p>
    <w:p>
      <w:pPr>
        <w:pStyle w:val="Heading3"/>
        <w:spacing w:after="60" w:before="160"/>
      </w:pPr>
      <w:r>
        <w:rPr>
          <w:rFonts w:ascii="Arial" w:cs="Arial" w:eastAsia="Arial" w:hAnsi="Arial"/>
          <w:b/>
          <w:bCs/>
          <w:sz w:val="22"/>
          <w:szCs w:val="22"/>
        </w:rPr>
        <w:t xml:space="preserve">Option A — Cash-margined trade-finance line</w:t>
      </w:r>
    </w:p>
    <w:p>
      <w:pPr>
        <w:pStyle w:val="ListParagraph"/>
        <w:numPr>
          <w:ilvl w:val="0"/>
          <w:numId w:val="2"/>
        </w:numPr>
        <w:spacing w:after="60"/>
      </w:pPr>
      <w:r>
        <w:rPr>
          <w:rFonts w:ascii="Arial" w:cs="Arial" w:eastAsia="Arial" w:hAnsi="Arial"/>
          <w:sz w:val="20"/>
          <w:szCs w:val="20"/>
        </w:rPr>
        <w:t xml:space="preserve">Facility: S$300k Bank Guarantee / Letter of Credit line for event-related performance / supplier obligations.</w:t>
      </w:r>
    </w:p>
    <w:p>
      <w:pPr>
        <w:pStyle w:val="ListParagraph"/>
        <w:numPr>
          <w:ilvl w:val="0"/>
          <w:numId w:val="2"/>
        </w:numPr>
        <w:spacing w:after="60"/>
      </w:pPr>
      <w:r>
        <w:rPr>
          <w:rFonts w:ascii="Arial" w:cs="Arial" w:eastAsia="Arial" w:hAnsi="Arial"/>
          <w:sz w:val="20"/>
          <w:szCs w:val="20"/>
        </w:rPr>
        <w:t xml:space="preserve">Security: 110% cash margin from the Borrower or the HK parent into a fixed-deposit pledged to the Bank.</w:t>
      </w:r>
    </w:p>
    <w:p>
      <w:pPr>
        <w:pStyle w:val="ListParagraph"/>
        <w:numPr>
          <w:ilvl w:val="0"/>
          <w:numId w:val="2"/>
        </w:numPr>
        <w:spacing w:after="60"/>
      </w:pPr>
      <w:r>
        <w:rPr>
          <w:rFonts w:ascii="Arial" w:cs="Arial" w:eastAsia="Arial" w:hAnsi="Arial"/>
          <w:sz w:val="20"/>
          <w:szCs w:val="20"/>
        </w:rPr>
        <w:t xml:space="preserve">Pricing: Reference SORA + 200 bps on cash margin; BG / LC commission per Bank tariff.</w:t>
      </w:r>
    </w:p>
    <w:p>
      <w:pPr>
        <w:pStyle w:val="ListParagraph"/>
        <w:numPr>
          <w:ilvl w:val="0"/>
          <w:numId w:val="2"/>
        </w:numPr>
        <w:spacing w:after="60"/>
      </w:pPr>
      <w:r>
        <w:rPr>
          <w:rFonts w:ascii="Arial" w:cs="Arial" w:eastAsia="Arial" w:hAnsi="Arial"/>
          <w:sz w:val="20"/>
          <w:szCs w:val="20"/>
        </w:rPr>
        <w:t xml:space="preserve">MAS 612 / ECL: Pass / Stage 1 (fully cash-collateralised).</w:t>
      </w:r>
    </w:p>
    <w:p>
      <w:pPr>
        <w:pStyle w:val="Heading3"/>
        <w:spacing w:after="60" w:before="160"/>
      </w:pPr>
      <w:r>
        <w:rPr>
          <w:rFonts w:ascii="Arial" w:cs="Arial" w:eastAsia="Arial" w:hAnsi="Arial"/>
          <w:b/>
          <w:bCs/>
          <w:sz w:val="22"/>
          <w:szCs w:val="22"/>
        </w:rPr>
        <w:t xml:space="preserve">Option B — Parent-guaranteed Working Capital Loan</w:t>
      </w:r>
    </w:p>
    <w:p>
      <w:pPr>
        <w:pStyle w:val="ListParagraph"/>
        <w:numPr>
          <w:ilvl w:val="0"/>
          <w:numId w:val="2"/>
        </w:numPr>
        <w:spacing w:after="60"/>
      </w:pPr>
      <w:r>
        <w:rPr>
          <w:rFonts w:ascii="Arial" w:cs="Arial" w:eastAsia="Arial" w:hAnsi="Arial"/>
          <w:sz w:val="20"/>
          <w:szCs w:val="20"/>
        </w:rPr>
        <w:t xml:space="preserve">Facility: S$500k 12-month WCL.</w:t>
      </w:r>
    </w:p>
    <w:p>
      <w:pPr>
        <w:pStyle w:val="ListParagraph"/>
        <w:numPr>
          <w:ilvl w:val="0"/>
          <w:numId w:val="2"/>
        </w:numPr>
        <w:spacing w:after="60"/>
      </w:pPr>
      <w:r>
        <w:rPr>
          <w:rFonts w:ascii="Arial" w:cs="Arial" w:eastAsia="Arial" w:hAnsi="Arial"/>
          <w:sz w:val="20"/>
          <w:szCs w:val="20"/>
        </w:rPr>
        <w:t xml:space="preserve">Security: Unconditional and irrevocable corporate guarantee from GoImpact Capital Partners Limited (HK), supported by 3 years' audited parent FS evidencing minimum tangible net worth of S$5M and unencumbered cash of ≥ 2× exposure.</w:t>
      </w:r>
    </w:p>
    <w:p>
      <w:pPr>
        <w:pStyle w:val="ListParagraph"/>
        <w:numPr>
          <w:ilvl w:val="0"/>
          <w:numId w:val="2"/>
        </w:numPr>
        <w:spacing w:after="60"/>
      </w:pPr>
      <w:r>
        <w:rPr>
          <w:rFonts w:ascii="Arial" w:cs="Arial" w:eastAsia="Arial" w:hAnsi="Arial"/>
          <w:sz w:val="20"/>
          <w:szCs w:val="20"/>
        </w:rPr>
        <w:t xml:space="preserve">Pricing: SORA + 350–450 bps.</w:t>
      </w:r>
    </w:p>
    <w:p>
      <w:pPr>
        <w:pStyle w:val="ListParagraph"/>
        <w:numPr>
          <w:ilvl w:val="0"/>
          <w:numId w:val="2"/>
        </w:numPr>
        <w:spacing w:after="60"/>
      </w:pPr>
      <w:r>
        <w:rPr>
          <w:rFonts w:ascii="Arial" w:cs="Arial" w:eastAsia="Arial" w:hAnsi="Arial"/>
          <w:sz w:val="20"/>
          <w:szCs w:val="20"/>
        </w:rPr>
        <w:t xml:space="preserve">Covenants (Borrower-level, tested quarterly): minimum cash balance ≥ S$300k; maximum quarterly net loss ≤ S$300k; no dividend / capital return; cross-default to parent.</w:t>
      </w:r>
    </w:p>
    <w:p>
      <w:pPr>
        <w:pStyle w:val="ListParagraph"/>
        <w:numPr>
          <w:ilvl w:val="0"/>
          <w:numId w:val="2"/>
        </w:numPr>
        <w:spacing w:after="60"/>
      </w:pPr>
      <w:r>
        <w:rPr>
          <w:rFonts w:ascii="Arial" w:cs="Arial" w:eastAsia="Arial" w:hAnsi="Arial"/>
          <w:sz w:val="20"/>
          <w:szCs w:val="20"/>
        </w:rPr>
        <w:t xml:space="preserve">Conditions precedent: parent FS, letter of release on charge C202204733, AML / EDD clearance, board resolutions.</w:t>
      </w:r>
    </w:p>
    <w:p>
      <w:pPr>
        <w:pStyle w:val="ListParagraph"/>
        <w:numPr>
          <w:ilvl w:val="0"/>
          <w:numId w:val="2"/>
        </w:numPr>
        <w:spacing w:after="60"/>
      </w:pPr>
      <w:r>
        <w:rPr>
          <w:rFonts w:ascii="Arial" w:cs="Arial" w:eastAsia="Arial" w:hAnsi="Arial"/>
          <w:sz w:val="20"/>
          <w:szCs w:val="20"/>
        </w:rPr>
        <w:t xml:space="preserve">MAS 612 / ECL: Special Mention / Stage 2 — guarantor-credit-substitution analysis required.</w:t>
      </w:r>
    </w:p>
    <w:p>
      <w:pPr>
        <w:pStyle w:val="Heading3"/>
        <w:spacing w:after="60" w:before="160"/>
      </w:pPr>
      <w:r>
        <w:rPr>
          <w:rFonts w:ascii="Arial" w:cs="Arial" w:eastAsia="Arial" w:hAnsi="Arial"/>
          <w:b/>
          <w:bCs/>
          <w:sz w:val="22"/>
          <w:szCs w:val="22"/>
        </w:rPr>
        <w:t xml:space="preserve">Option C — Receivables-financing (invoice discounting), confirmed-debtor basis only</w:t>
      </w:r>
    </w:p>
    <w:p>
      <w:pPr>
        <w:pStyle w:val="ListParagraph"/>
        <w:numPr>
          <w:ilvl w:val="0"/>
          <w:numId w:val="2"/>
        </w:numPr>
        <w:spacing w:after="60"/>
      </w:pPr>
      <w:r>
        <w:rPr>
          <w:rFonts w:ascii="Arial" w:cs="Arial" w:eastAsia="Arial" w:hAnsi="Arial"/>
          <w:sz w:val="20"/>
          <w:szCs w:val="20"/>
        </w:rPr>
        <w:t xml:space="preserve">Facility: up to S$150k revolving against eligible invoices.</w:t>
      </w:r>
    </w:p>
    <w:p>
      <w:pPr>
        <w:pStyle w:val="ListParagraph"/>
        <w:numPr>
          <w:ilvl w:val="0"/>
          <w:numId w:val="2"/>
        </w:numPr>
        <w:spacing w:after="60"/>
      </w:pPr>
      <w:r>
        <w:rPr>
          <w:rFonts w:ascii="Arial" w:cs="Arial" w:eastAsia="Arial" w:hAnsi="Arial"/>
          <w:sz w:val="20"/>
          <w:szCs w:val="20"/>
        </w:rPr>
        <w:t xml:space="preserve">Eligibility: non-related-party invoices ≤ 60 days outstanding from named A-rated counterparties (e.g. Temasek Foundation, listed FIs).</w:t>
      </w:r>
    </w:p>
    <w:p>
      <w:pPr>
        <w:pStyle w:val="ListParagraph"/>
        <w:numPr>
          <w:ilvl w:val="0"/>
          <w:numId w:val="2"/>
        </w:numPr>
        <w:spacing w:after="60"/>
      </w:pPr>
      <w:r>
        <w:rPr>
          <w:rFonts w:ascii="Arial" w:cs="Arial" w:eastAsia="Arial" w:hAnsi="Arial"/>
          <w:sz w:val="20"/>
          <w:szCs w:val="20"/>
        </w:rPr>
        <w:t xml:space="preserve">Advance rate: 70%; concentration limit 30% per debtor.</w:t>
      </w:r>
    </w:p>
    <w:p>
      <w:pPr>
        <w:pStyle w:val="ListParagraph"/>
        <w:numPr>
          <w:ilvl w:val="0"/>
          <w:numId w:val="2"/>
        </w:numPr>
        <w:spacing w:after="60"/>
      </w:pPr>
      <w:r>
        <w:rPr>
          <w:rFonts w:ascii="Arial" w:cs="Arial" w:eastAsia="Arial" w:hAnsi="Arial"/>
          <w:sz w:val="20"/>
          <w:szCs w:val="20"/>
        </w:rPr>
        <w:t xml:space="preserve">Pricing: SORA + 300 bps + facility fee.</w:t>
      </w:r>
    </w:p>
    <w:p>
      <w:pPr>
        <w:pStyle w:val="ListParagraph"/>
        <w:numPr>
          <w:ilvl w:val="0"/>
          <w:numId w:val="2"/>
        </w:numPr>
        <w:spacing w:after="60"/>
      </w:pPr>
      <w:r>
        <w:rPr>
          <w:rFonts w:ascii="Arial" w:cs="Arial" w:eastAsia="Arial" w:hAnsi="Arial"/>
          <w:sz w:val="20"/>
          <w:szCs w:val="20"/>
        </w:rPr>
        <w:t xml:space="preserve">Notification: notification basis (chargee notice to debtors).</w:t>
      </w:r>
    </w:p>
    <w:p>
      <w:pPr>
        <w:pStyle w:val="Heading3"/>
        <w:spacing w:after="60" w:before="160"/>
      </w:pPr>
      <w:r>
        <w:rPr>
          <w:rFonts w:ascii="Arial" w:cs="Arial" w:eastAsia="Arial" w:hAnsi="Arial"/>
          <w:b/>
          <w:bCs/>
          <w:sz w:val="22"/>
          <w:szCs w:val="22"/>
        </w:rPr>
        <w:t xml:space="preserve">Option D — Enterprise Singapore EFS-WCL (risk-share)</w:t>
      </w:r>
    </w:p>
    <w:p>
      <w:pPr>
        <w:pStyle w:val="ListParagraph"/>
        <w:numPr>
          <w:ilvl w:val="0"/>
          <w:numId w:val="2"/>
        </w:numPr>
        <w:spacing w:after="60"/>
      </w:pPr>
      <w:r>
        <w:rPr>
          <w:rFonts w:ascii="Arial" w:cs="Arial" w:eastAsia="Arial" w:hAnsi="Arial"/>
          <w:sz w:val="20"/>
          <w:szCs w:val="20"/>
        </w:rPr>
        <w:t xml:space="preserve">Facility: SME Working Capital Loan under Enterprise Singapore's EFS scheme, up to S$500k, 5-year tenor.</w:t>
      </w:r>
    </w:p>
    <w:p>
      <w:pPr>
        <w:pStyle w:val="ListParagraph"/>
        <w:numPr>
          <w:ilvl w:val="0"/>
          <w:numId w:val="2"/>
        </w:numPr>
        <w:spacing w:after="60"/>
      </w:pPr>
      <w:r>
        <w:rPr>
          <w:rFonts w:ascii="Arial" w:cs="Arial" w:eastAsia="Arial" w:hAnsi="Arial"/>
          <w:sz w:val="20"/>
          <w:szCs w:val="20"/>
        </w:rPr>
        <w:t xml:space="preserve">Risk-share: 50% of credit risk borne by Enterprise Singapore (or 70% for Young Enterprises / Underserved categories).</w:t>
      </w:r>
    </w:p>
    <w:p>
      <w:pPr>
        <w:pStyle w:val="ListParagraph"/>
        <w:numPr>
          <w:ilvl w:val="0"/>
          <w:numId w:val="2"/>
        </w:numPr>
        <w:spacing w:after="60"/>
      </w:pPr>
      <w:r>
        <w:rPr>
          <w:rFonts w:ascii="Arial" w:cs="Arial" w:eastAsia="Arial" w:hAnsi="Arial"/>
          <w:sz w:val="20"/>
          <w:szCs w:val="20"/>
        </w:rPr>
        <w:t xml:space="preserve">Eligibility check required: SG-registered, ≥ 30% local shareholding, group annual sales ≤ S$100M and group employee size ≤ 200 — Borrower clears the size test but the 30% local-shareholding test must be verified given HK parent ownership.</w:t>
      </w:r>
    </w:p>
    <w:p>
      <w:pPr>
        <w:pStyle w:val="ListParagraph"/>
        <w:numPr>
          <w:ilvl w:val="0"/>
          <w:numId w:val="2"/>
        </w:numPr>
        <w:spacing w:after="60"/>
      </w:pPr>
      <w:r>
        <w:rPr>
          <w:rFonts w:ascii="Arial" w:cs="Arial" w:eastAsia="Arial" w:hAnsi="Arial"/>
          <w:sz w:val="20"/>
          <w:szCs w:val="20"/>
        </w:rPr>
        <w:t xml:space="preserve">If eligible, this is the most policy-friendly route and significantly reduces Bank-level capital consumption.</w:t>
      </w:r>
    </w:p>
    <w:p>
      <w:pPr>
        <w:pStyle w:val="Heading2"/>
        <w:spacing w:after="80" w:before="200"/>
      </w:pPr>
      <w:r>
        <w:rPr>
          <w:rFonts w:ascii="Arial" w:cs="Arial" w:eastAsia="Arial" w:hAnsi="Arial"/>
          <w:b/>
          <w:bCs/>
          <w:color w:val="1F3A5F"/>
          <w:sz w:val="24"/>
          <w:szCs w:val="24"/>
        </w:rPr>
        <w:t xml:space="preserve">10.1 Final view</w:t>
      </w:r>
    </w:p>
    <w:p>
      <w:pPr>
        <w:spacing w:after="80" w:before="0"/>
      </w:pPr>
      <w:r>
        <w:rPr>
          <w:rFonts w:ascii="Arial" w:cs="Arial" w:eastAsia="Arial" w:hAnsi="Arial"/>
          <w:sz w:val="20"/>
          <w:szCs w:val="20"/>
        </w:rPr>
        <w:t xml:space="preserve">Lead with Option A (cash-margined trade-finance) as the relationship anchor — minimal credit consumption, immediate franchise return, and a basis on which to build a track record. Pursue Option D (EFS-WCL) in parallel subject to local-shareholding clearance; this is the only route to delivering a working-capital line that meaningfully helps the Borrower while staying within credit policy. Decline Option B unless parent FS and guarantor diligence land convincingly within 30 days. Re-review the relationship in 6 months against the FY2025 H1 management accounts.</w:t>
      </w:r>
    </w:p>
    <w:p>
      <w:r>
        <w:br w:type="page"/>
      </w:r>
    </w:p>
    <w:p>
      <w:pPr>
        <w:pStyle w:val="Heading1"/>
        <w:spacing w:after="120" w:before="240"/>
      </w:pPr>
      <w:r>
        <w:rPr>
          <w:rFonts w:ascii="Arial" w:cs="Arial" w:eastAsia="Arial" w:hAnsi="Arial"/>
          <w:b/>
          <w:bCs/>
          <w:color w:val="1F3A5F"/>
          <w:sz w:val="30"/>
          <w:szCs w:val="30"/>
        </w:rPr>
        <w:t xml:space="preserve">Appendix A — Sources and ingestion log</w:t>
      </w:r>
    </w:p>
    <w:p>
      <w:pPr>
        <w:spacing w:after="80" w:before="0"/>
      </w:pPr>
      <w:r>
        <w:rPr>
          <w:rFonts w:ascii="Arial" w:cs="Arial" w:eastAsia="Arial" w:hAnsi="Arial"/>
          <w:sz w:val="20"/>
          <w:szCs w:val="20"/>
        </w:rPr>
        <w:t xml:space="preserve">Primary documents (input/financials/):</w:t>
      </w:r>
    </w:p>
    <w:p>
      <w:pPr>
        <w:pStyle w:val="ListParagraph"/>
        <w:numPr>
          <w:ilvl w:val="0"/>
          <w:numId w:val="2"/>
        </w:numPr>
        <w:spacing w:after="60"/>
      </w:pPr>
      <w:r>
        <w:rPr>
          <w:rFonts w:ascii="Arial" w:cs="Arial" w:eastAsia="Arial" w:hAnsi="Arial"/>
          <w:sz w:val="20"/>
          <w:szCs w:val="20"/>
        </w:rPr>
        <w:t xml:space="preserve">FY2022 / EXT_202037175R_C230774815_C223_1.pdf — ACRA Form C223 Annual Return for FYE 31 Dec 2022.</w:t>
      </w:r>
    </w:p>
    <w:p>
      <w:pPr>
        <w:pStyle w:val="ListParagraph"/>
        <w:numPr>
          <w:ilvl w:val="0"/>
          <w:numId w:val="2"/>
        </w:numPr>
        <w:spacing w:after="60"/>
      </w:pPr>
      <w:r>
        <w:rPr>
          <w:rFonts w:ascii="Arial" w:cs="Arial" w:eastAsia="Arial" w:hAnsi="Arial"/>
          <w:sz w:val="20"/>
          <w:szCs w:val="20"/>
        </w:rPr>
        <w:t xml:space="preserve">FY2022 / c230774815_z124_1.pdf — z124 XBRL→PDF rendering of FY2022 unaudited financial statements (Company standalone).</w:t>
      </w:r>
    </w:p>
    <w:p>
      <w:pPr>
        <w:pStyle w:val="ListParagraph"/>
        <w:numPr>
          <w:ilvl w:val="0"/>
          <w:numId w:val="2"/>
        </w:numPr>
        <w:spacing w:after="60"/>
      </w:pPr>
      <w:r>
        <w:rPr>
          <w:rFonts w:ascii="Arial" w:cs="Arial" w:eastAsia="Arial" w:hAnsi="Arial"/>
          <w:sz w:val="20"/>
          <w:szCs w:val="20"/>
        </w:rPr>
        <w:t xml:space="preserve">FY2023 / EXT_202037175R_C240763134_C223_1.pdf — ACRA Form C223 Annual Return for FYE 31 Dec 2023.</w:t>
      </w:r>
    </w:p>
    <w:p>
      <w:pPr>
        <w:pStyle w:val="ListParagraph"/>
        <w:numPr>
          <w:ilvl w:val="0"/>
          <w:numId w:val="2"/>
        </w:numPr>
        <w:spacing w:after="60"/>
      </w:pPr>
      <w:r>
        <w:rPr>
          <w:rFonts w:ascii="Arial" w:cs="Arial" w:eastAsia="Arial" w:hAnsi="Arial"/>
          <w:sz w:val="20"/>
          <w:szCs w:val="20"/>
        </w:rPr>
        <w:t xml:space="preserve">FY2023 / c240763134_z124_1.pdf — z124 XBRL→PDF rendering of FY2023 unaudited consolidated financial statements (Group, first inclusion of subsidiary).</w:t>
      </w:r>
    </w:p>
    <w:p>
      <w:pPr>
        <w:pStyle w:val="ListParagraph"/>
        <w:numPr>
          <w:ilvl w:val="0"/>
          <w:numId w:val="2"/>
        </w:numPr>
        <w:spacing w:after="60"/>
      </w:pPr>
      <w:r>
        <w:rPr>
          <w:rFonts w:ascii="Arial" w:cs="Arial" w:eastAsia="Arial" w:hAnsi="Arial"/>
          <w:sz w:val="20"/>
          <w:szCs w:val="20"/>
        </w:rPr>
        <w:t xml:space="preserve">FY2024 / EXT_202037175R_T250939906_BM42A_1.pdf — ACRA BM42A annual filing cover sheet declaring small-company audit exemption and AGM on 30 June 2025.</w:t>
      </w:r>
    </w:p>
    <w:p>
      <w:pPr>
        <w:pStyle w:val="ListParagraph"/>
        <w:numPr>
          <w:ilvl w:val="0"/>
          <w:numId w:val="2"/>
        </w:numPr>
        <w:spacing w:after="60"/>
      </w:pPr>
      <w:r>
        <w:rPr>
          <w:rFonts w:ascii="Arial" w:cs="Arial" w:eastAsia="Arial" w:hAnsi="Arial"/>
          <w:sz w:val="20"/>
          <w:szCs w:val="20"/>
        </w:rPr>
        <w:t xml:space="preserve">_Archives / ACRA260520004459.zip → ".. UFS - FYE 31 Dec 2024.pdf" — image-only Unaudited Full Set for FY2024, recovered via OCR (tesseract @ 200 dpi); group cash, equity and loss figures cross-validated against the FY2023 z124 comparative.</w:t>
      </w:r>
    </w:p>
    <w:p>
      <w:pPr>
        <w:spacing w:after="80" w:before="0"/>
      </w:pPr>
      <w:r>
        <w:rPr>
          <w:rFonts w:ascii="Arial" w:cs="Arial" w:eastAsia="Arial" w:hAnsi="Arial"/>
          <w:sz w:val="20"/>
          <w:szCs w:val="20"/>
        </w:rPr>
        <w:t xml:space="preserve">Open-source references (June 2026):</w:t>
      </w:r>
    </w:p>
    <w:p>
      <w:pPr>
        <w:pStyle w:val="ListParagraph"/>
        <w:numPr>
          <w:ilvl w:val="0"/>
          <w:numId w:val="2"/>
        </w:numPr>
        <w:spacing w:after="60"/>
      </w:pPr>
      <w:r>
        <w:rPr>
          <w:rFonts w:ascii="Arial" w:cs="Arial" w:eastAsia="Arial" w:hAnsi="Arial"/>
          <w:sz w:val="20"/>
          <w:szCs w:val="20"/>
        </w:rPr>
        <w:t xml:space="preserve">GoImpact Capital Partners — corporate site (goimpact.today): business pillars, partnerships.</w:t>
      </w:r>
    </w:p>
    <w:p>
      <w:pPr>
        <w:pStyle w:val="ListParagraph"/>
        <w:numPr>
          <w:ilvl w:val="0"/>
          <w:numId w:val="2"/>
        </w:numPr>
        <w:spacing w:after="60"/>
      </w:pPr>
      <w:r>
        <w:rPr>
          <w:rFonts w:ascii="Arial" w:cs="Arial" w:eastAsia="Arial" w:hAnsi="Arial"/>
          <w:sz w:val="20"/>
          <w:szCs w:val="20"/>
        </w:rPr>
        <w:t xml:space="preserve">LinkedIn (sg.linkedin.com/company/goimpact) — corporate profile and headcount signals.</w:t>
      </w:r>
    </w:p>
    <w:p>
      <w:pPr>
        <w:pStyle w:val="ListParagraph"/>
        <w:numPr>
          <w:ilvl w:val="0"/>
          <w:numId w:val="2"/>
        </w:numPr>
        <w:spacing w:after="60"/>
      </w:pPr>
      <w:r>
        <w:rPr>
          <w:rFonts w:ascii="Arial" w:cs="Arial" w:eastAsia="Arial" w:hAnsi="Arial"/>
          <w:sz w:val="20"/>
          <w:szCs w:val="20"/>
        </w:rPr>
        <w:t xml:space="preserve">SGPBusiness.com / ACRA BizFile+ — entity profile, UEN 202037175R.</w:t>
      </w:r>
    </w:p>
    <w:p>
      <w:pPr>
        <w:pStyle w:val="ListParagraph"/>
        <w:numPr>
          <w:ilvl w:val="0"/>
          <w:numId w:val="2"/>
        </w:numPr>
        <w:spacing w:after="60"/>
      </w:pPr>
      <w:r>
        <w:rPr>
          <w:rFonts w:ascii="Arial" w:cs="Arial" w:eastAsia="Arial" w:hAnsi="Arial"/>
          <w:sz w:val="20"/>
          <w:szCs w:val="20"/>
        </w:rPr>
        <w:t xml:space="preserve">Hong Kong Business Directory (hkgbusiness.com) — GoImpact Capital Partners Limited (HK CR 2747439, incorporated 19 Sep 2018).</w:t>
      </w:r>
    </w:p>
    <w:p>
      <w:pPr>
        <w:pStyle w:val="ListParagraph"/>
        <w:numPr>
          <w:ilvl w:val="0"/>
          <w:numId w:val="2"/>
        </w:numPr>
        <w:spacing w:after="60"/>
      </w:pPr>
      <w:r>
        <w:rPr>
          <w:rFonts w:ascii="Arial" w:cs="Arial" w:eastAsia="Arial" w:hAnsi="Arial"/>
          <w:sz w:val="20"/>
          <w:szCs w:val="20"/>
        </w:rPr>
        <w:t xml:space="preserve">UN Global Compact participant page — confirms GoImpact SG participation status.</w:t>
      </w:r>
    </w:p>
    <w:p>
      <w:pPr>
        <w:pStyle w:val="ListParagraph"/>
        <w:numPr>
          <w:ilvl w:val="0"/>
          <w:numId w:val="2"/>
        </w:numPr>
        <w:spacing w:after="60"/>
      </w:pPr>
      <w:r>
        <w:rPr>
          <w:rFonts w:ascii="Arial" w:cs="Arial" w:eastAsia="Arial" w:hAnsi="Arial"/>
          <w:sz w:val="20"/>
          <w:szCs w:val="20"/>
        </w:rPr>
        <w:t xml:space="preserve">Helene Li speaker bios (ASIFMA, FCCIHK, Eco-Business) — management background.</w:t>
      </w:r>
    </w:p>
    <w:p>
      <w:pPr>
        <w:pStyle w:val="ListParagraph"/>
        <w:numPr>
          <w:ilvl w:val="0"/>
          <w:numId w:val="2"/>
        </w:numPr>
        <w:spacing w:after="60"/>
      </w:pPr>
      <w:r>
        <w:rPr>
          <w:rFonts w:ascii="Arial" w:cs="Arial" w:eastAsia="Arial" w:hAnsi="Arial"/>
          <w:sz w:val="20"/>
          <w:szCs w:val="20"/>
        </w:rPr>
        <w:t xml:space="preserve">Ken Research / Research &amp; Markets — Singapore corporate education and ESG-training market sizing.</w:t>
      </w:r>
    </w:p>
    <w:p>
      <w:pPr>
        <w:pStyle w:val="ListParagraph"/>
        <w:numPr>
          <w:ilvl w:val="0"/>
          <w:numId w:val="2"/>
        </w:numPr>
        <w:spacing w:after="60"/>
      </w:pPr>
      <w:r>
        <w:rPr>
          <w:rFonts w:ascii="Arial" w:cs="Arial" w:eastAsia="Arial" w:hAnsi="Arial"/>
          <w:sz w:val="20"/>
          <w:szCs w:val="20"/>
        </w:rPr>
        <w:t xml:space="preserve">MAS Notice 612 (Credit Files, Grading and Provisioning); MAS Notice 626 (AML / CFT); SFRS(I) 9 Financial Instruments — applied frameworks.</w:t>
      </w:r>
    </w:p>
    <w:p>
      <w:pPr>
        <w:pStyle w:val="Heading1"/>
        <w:spacing w:after="120" w:before="240"/>
      </w:pPr>
      <w:r>
        <w:rPr>
          <w:rFonts w:ascii="Arial" w:cs="Arial" w:eastAsia="Arial" w:hAnsi="Arial"/>
          <w:b/>
          <w:bCs/>
          <w:color w:val="1F3A5F"/>
          <w:sz w:val="30"/>
          <w:szCs w:val="30"/>
        </w:rPr>
        <w:t xml:space="preserve">Appendix B — Data quality &amp; limitations</w:t>
      </w:r>
    </w:p>
    <w:p>
      <w:pPr>
        <w:pStyle w:val="ListParagraph"/>
        <w:numPr>
          <w:ilvl w:val="0"/>
          <w:numId w:val="2"/>
        </w:numPr>
        <w:spacing w:after="60"/>
      </w:pPr>
      <w:r>
        <w:rPr>
          <w:rFonts w:ascii="Arial" w:cs="Arial" w:eastAsia="Arial" w:hAnsi="Arial"/>
          <w:sz w:val="20"/>
          <w:szCs w:val="20"/>
        </w:rPr>
        <w:t xml:space="preserve">FY2022 figures are Company standalone; FY2023 and FY2024 are Group consolidated. Like-for-like comparison is therefore imperfect; the FY2023 z124 file includes restated FY2022 comparatives that align closely (±2%).</w:t>
      </w:r>
    </w:p>
    <w:p>
      <w:pPr>
        <w:pStyle w:val="ListParagraph"/>
        <w:numPr>
          <w:ilvl w:val="0"/>
          <w:numId w:val="2"/>
        </w:numPr>
        <w:spacing w:after="60"/>
      </w:pPr>
      <w:r>
        <w:rPr>
          <w:rFonts w:ascii="Arial" w:cs="Arial" w:eastAsia="Arial" w:hAnsi="Arial"/>
          <w:sz w:val="20"/>
          <w:szCs w:val="20"/>
        </w:rPr>
        <w:t xml:space="preserve">All three years are unaudited under the small-company exemption (s.205C, Companies Act 1967). The Bank has no auditor's opinion to rely on; figures are management-prepared.</w:t>
      </w:r>
    </w:p>
    <w:p>
      <w:pPr>
        <w:pStyle w:val="ListParagraph"/>
        <w:numPr>
          <w:ilvl w:val="0"/>
          <w:numId w:val="2"/>
        </w:numPr>
        <w:spacing w:after="60"/>
      </w:pPr>
      <w:r>
        <w:rPr>
          <w:rFonts w:ascii="Arial" w:cs="Arial" w:eastAsia="Arial" w:hAnsi="Arial"/>
          <w:sz w:val="20"/>
          <w:szCs w:val="20"/>
        </w:rPr>
        <w:t xml:space="preserve">The FY2024 UFS was filed as an image-only PDF; numbers in this memo are OCR-derived and have been line-by-line cross-checked against the FY2023 comparative column. Material divergences (&gt;S$1k) were not observed in the line items used for analysis.</w:t>
      </w:r>
    </w:p>
    <w:p>
      <w:pPr>
        <w:pStyle w:val="ListParagraph"/>
        <w:numPr>
          <w:ilvl w:val="0"/>
          <w:numId w:val="2"/>
        </w:numPr>
        <w:spacing w:after="60"/>
      </w:pPr>
      <w:r>
        <w:rPr>
          <w:rFonts w:ascii="Arial" w:cs="Arial" w:eastAsia="Arial" w:hAnsi="Arial"/>
          <w:sz w:val="20"/>
          <w:szCs w:val="20"/>
        </w:rPr>
        <w:t xml:space="preserve">No GST F5, IRAS Notice of Assessment, CPF contribution history, or bank statements have been reviewed at memorandum stage; these are pre-sanction CPs.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6"/>
        <w:szCs w:val="16"/>
      </w:rPr>
      <w:t xml:space="preserve">CIM — GoImpact SG (UEN 202037175R)</w:t>
    </w:r>
    <w:r>
      <w:rPr>
        <w:rFonts w:ascii="Arial" w:cs="Arial" w:eastAsia="Arial" w:hAnsi="Arial"/>
        <w:i/>
        <w:iCs/>
        <w:color w:val="666666"/>
        <w:sz w:val="16"/>
        <w:szCs w:val="16"/>
      </w:rPr>
      <w:t xml:space="preserve">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sz w:val="20"/>
        <w:szCs w:val="20"/>
      </w:rPr>
    </w:lvl>
    <w:lvl w:ilvl="1" w15:tentative="1">
      <w:start w:val="1"/>
      <w:numFmt w:val="bullet"/>
      <w:lvlText w:val="–"/>
      <w:lvlJc w:val="left"/>
      <w:pPr>
        <w:ind w:left="90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A5F"/>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Information Memorandum — GoImpact Capital Partners (Singapore) Pte. Ltd.</dc:title>
  <dc:creator>Senior Credit Analyst, SME Credit (Singapore)</dc:creator>
  <dc:description>CIM for Singapore SME credit review, FY2022–FY2024.</dc:description>
  <cp:lastModifiedBy>Un-named</cp:lastModifiedBy>
  <cp:revision>1</cp:revision>
  <dcterms:created xsi:type="dcterms:W3CDTF">2026-06-13T08:22:59.399Z</dcterms:created>
  <dcterms:modified xsi:type="dcterms:W3CDTF">2026-06-13T08:22:59.399Z</dcterms:modified>
</cp:coreProperties>
</file>

<file path=docProps/custom.xml><?xml version="1.0" encoding="utf-8"?>
<Properties xmlns="http://schemas.openxmlformats.org/officeDocument/2006/custom-properties" xmlns:vt="http://schemas.openxmlformats.org/officeDocument/2006/docPropsVTypes"/>
</file>