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redit-analysis-report"/>
    <w:p>
      <w:pPr>
        <w:pStyle w:val="Heading1"/>
      </w:pPr>
      <w:r>
        <w:t xml:space="preserve">Credit Analysis Report</w:t>
      </w:r>
    </w:p>
    <w:bookmarkStart w:id="23" w:name="Xe2c2a9d2621aaf6e8f4fd2a2a00dd1944554dfb"/>
    <w:p>
      <w:pPr>
        <w:pStyle w:val="Heading2"/>
      </w:pPr>
      <w:r>
        <w:t xml:space="preserve">GoImpact Capital Partners (Singapore) Pte. Ltd. and Subsidiary</w:t>
      </w:r>
    </w:p>
    <w:bookmarkStart w:id="20" w:name="X20e23a6bdcd4caa02dd6405532b179b87e1d638"/>
    <w:p>
      <w:pPr>
        <w:pStyle w:val="Heading3"/>
      </w:pPr>
      <w:r>
        <w:t xml:space="preserve">Financial Years Reviewed: FY2022, FY2023 and FY2024</w:t>
      </w:r>
    </w:p>
    <w:bookmarkEnd w:id="20"/>
    <w:bookmarkStart w:id="21" w:name="X01c9289c3d62017d52dfae2cdab11579c17a3cc"/>
    <w:p>
      <w:pPr>
        <w:pStyle w:val="Heading3"/>
      </w:pPr>
      <w:r>
        <w:t xml:space="preserve">Prepared for: Senior Management / Credit Approval Committee</w:t>
      </w:r>
    </w:p>
    <w:bookmarkEnd w:id="21"/>
    <w:bookmarkStart w:id="22" w:name="X98d36828b8933e6cfc0d82118fea790ff0cf2b5"/>
    <w:p>
      <w:pPr>
        <w:pStyle w:val="Heading3"/>
      </w:pPr>
      <w:r>
        <w:t xml:space="preserve">Analyst View: High Credit Risk / Watchlist / Not suitable for unsecured working capital lending without strong mitigants</w:t>
      </w:r>
    </w:p>
    <w:p>
      <w:r>
        <w:pict>
          <v:rect style="width:0;height:1.5pt" o:hralign="center" o:hrstd="t" o:hr="t"/>
        </w:pict>
      </w:r>
    </w:p>
    <w:bookmarkEnd w:id="22"/>
    <w:bookmarkEnd w:id="23"/>
    <w:bookmarkStart w:id="24" w:name="executive-credit-view"/>
    <w:p>
      <w:pPr>
        <w:pStyle w:val="Heading2"/>
      </w:pPr>
      <w:r>
        <w:t xml:space="preserve">1. Executive Credit View</w:t>
      </w:r>
    </w:p>
    <w:p>
      <w:pPr>
        <w:pStyle w:val="FirstParagraph"/>
      </w:pPr>
      <w:r>
        <w:t xml:space="preserve">GoImpact Capital Partners (Singapore) Pte. Ltd. is a Singapore-incorporated private company engaged in training and educational courses, with a Hong Kong subsidiary consolidated from FY2023. The company appears to be an early-stage, service-led business with limited asset backing, no meaningful fixed asset base, and operating performance that remains structurally loss-making.</w:t>
      </w:r>
    </w:p>
    <w:p>
      <w:pPr>
        <w:pStyle w:val="BodyText"/>
      </w:pPr>
      <w:r>
        <w:t xml:space="preserve">The company has demonstrated revenue generation capability, but the financial profile remains weak. Revenue grew in FY2023 but contracted significantly in FY2024. The group has incurred losses in each year reviewed, with cumulative losses materially eroding equity. Liquidity has deteriorated sharply in FY2024, driven by operating cash burn and a fall in cash balances. While the balance sheet had earlier been supported by shareholder capital injections, the FY2024 position shows reduced financial flexibility and materially weaker shock absorption capacity.</w:t>
      </w:r>
    </w:p>
    <w:p>
      <w:pPr>
        <w:pStyle w:val="BodyText"/>
      </w:pPr>
      <w:r>
        <w:t xml:space="preserve">From a lender’s perspective, the primary concerns are persistent operating losses, high cash burn, declining liquidity, thin residual equity, absence of debt service capacity, related-party receivable/payable exposure, limited tangible security, and dependence on future revenue recovery or shareholder support.</w:t>
      </w:r>
    </w:p>
    <w:p>
      <w:pPr>
        <w:pStyle w:val="BodyText"/>
      </w:pPr>
      <w:r>
        <w:rPr>
          <w:b/>
          <w:bCs/>
        </w:rPr>
        <w:t xml:space="preserve">Recommendation:</w:t>
      </w:r>
      <w:r>
        <w:t xml:space="preserve"> </w:t>
      </w:r>
      <w:r>
        <w:t xml:space="preserve">Do not approve any unsecured term loan or clean working capital facility at this stage. Any credit exposure should be considered only on a tightly controlled basis, preferably cash-collateralized, receivables-backed against confirmed invoices, or supported by sponsor/parent undertaking, personal/corporate guarantee, and evidence of committed equity or funding support.</w:t>
      </w:r>
    </w:p>
    <w:p>
      <w:r>
        <w:pict>
          <v:rect style="width:0;height:1.5pt" o:hralign="center" o:hrstd="t" o:hr="t"/>
        </w:pict>
      </w:r>
    </w:p>
    <w:bookmarkEnd w:id="24"/>
    <w:bookmarkStart w:id="25" w:name="borrower-and-business-profile"/>
    <w:p>
      <w:pPr>
        <w:pStyle w:val="Heading2"/>
      </w:pPr>
      <w:r>
        <w:t xml:space="preserve">2. Borrower and Business Profile</w:t>
      </w:r>
    </w:p>
    <w:p>
      <w:pPr>
        <w:pStyle w:val="FirstParagraph"/>
      </w:pPr>
      <w:r>
        <w:rPr>
          <w:b/>
          <w:bCs/>
        </w:rPr>
        <w:t xml:space="preserve">Borrower:</w:t>
      </w:r>
      <w:r>
        <w:t xml:space="preserve"> </w:t>
      </w:r>
      <w:r>
        <w:t xml:space="preserve">GoImpact Capital Partners (Singapore) Pte. Ltd.</w:t>
      </w:r>
      <w:r>
        <w:br/>
      </w:r>
      <w:r>
        <w:rPr>
          <w:b/>
          <w:bCs/>
        </w:rPr>
        <w:t xml:space="preserve">Registration number:</w:t>
      </w:r>
      <w:r>
        <w:t xml:space="preserve"> </w:t>
      </w:r>
      <w:r>
        <w:t xml:space="preserve">202037175R</w:t>
      </w:r>
      <w:r>
        <w:br/>
      </w:r>
      <w:r>
        <w:rPr>
          <w:b/>
          <w:bCs/>
        </w:rPr>
        <w:t xml:space="preserve">Country:</w:t>
      </w:r>
      <w:r>
        <w:t xml:space="preserve"> </w:t>
      </w:r>
      <w:r>
        <w:t xml:space="preserve">Singapore</w:t>
      </w:r>
      <w:r>
        <w:br/>
      </w:r>
      <w:r>
        <w:rPr>
          <w:b/>
          <w:bCs/>
        </w:rPr>
        <w:t xml:space="preserve">Business activity:</w:t>
      </w:r>
      <w:r>
        <w:t xml:space="preserve"> </w:t>
      </w:r>
      <w:r>
        <w:t xml:space="preserve">Training and educational courses</w:t>
      </w:r>
      <w:r>
        <w:br/>
      </w:r>
      <w:r>
        <w:rPr>
          <w:b/>
          <w:bCs/>
        </w:rPr>
        <w:t xml:space="preserve">Group structure:</w:t>
      </w:r>
      <w:r>
        <w:t xml:space="preserve"> </w:t>
      </w:r>
      <w:r>
        <w:t xml:space="preserve">From FY2023, the financials include a wholly owned Hong Kong subsidiary.</w:t>
      </w:r>
      <w:r>
        <w:br/>
      </w:r>
      <w:r>
        <w:rPr>
          <w:b/>
          <w:bCs/>
        </w:rPr>
        <w:t xml:space="preserve">Management / directors:</w:t>
      </w:r>
      <w:r>
        <w:t xml:space="preserve"> </w:t>
      </w:r>
      <w:r>
        <w:t xml:space="preserve">Wai Pok Helene Li, Yu Chiu Andy Ann and Clarence T’ao are listed as directors in the financial statements.</w:t>
      </w:r>
    </w:p>
    <w:p>
      <w:pPr>
        <w:pStyle w:val="BodyText"/>
      </w:pPr>
      <w:r>
        <w:t xml:space="preserve">The business appears to operate in professional education / ESG / executive education. This is typically a low fixed-asset, high human-capital business model. Revenue quality depends on client acquisition, repeat institutional relationships, programme pipeline, faculty/consultant delivery capacity, and brand credibility. The positive aspect is that the model does not require heavy plant or capex. The negative aspect is that cash flow can be volatile, dependent on project timing, and difficult to finance using conventional asset-backed lending.</w:t>
      </w:r>
    </w:p>
    <w:p>
      <w:r>
        <w:pict>
          <v:rect style="width:0;height:1.5pt" o:hralign="center" o:hrstd="t" o:hr="t"/>
        </w:pict>
      </w:r>
    </w:p>
    <w:bookmarkEnd w:id="25"/>
    <w:bookmarkStart w:id="26" w:name="Xbaa27fbae3021f5124391f78c75535788fd1488"/>
    <w:p>
      <w:pPr>
        <w:pStyle w:val="Heading2"/>
      </w:pPr>
      <w:r>
        <w:t xml:space="preserve">3. Facility Context and Underwriting Limitation</w:t>
      </w:r>
    </w:p>
    <w:p>
      <w:pPr>
        <w:pStyle w:val="FirstParagraph"/>
      </w:pPr>
      <w:r>
        <w:t xml:space="preserve">No specific credit facility amount, purpose, tenor, security package, bank statements, GST/IRAS records, debtor ageing, contracts, order book, or management projections have been provided. Therefore, this note should be treated as a</w:t>
      </w:r>
      <w:r>
        <w:t xml:space="preserve"> </w:t>
      </w:r>
      <w:r>
        <w:rPr>
          <w:b/>
          <w:bCs/>
        </w:rPr>
        <w:t xml:space="preserve">financial-statement-based pre-screening credit view</w:t>
      </w:r>
      <w:r>
        <w:t xml:space="preserve">, not a final sanction memo.</w:t>
      </w:r>
    </w:p>
    <w:p>
      <w:pPr>
        <w:pStyle w:val="BodyText"/>
      </w:pPr>
      <w:r>
        <w:t xml:space="preserve">For final approval, the lender should obtain:</w:t>
      </w:r>
    </w:p>
    <w:p>
      <w:pPr>
        <w:pStyle w:val="Compact"/>
        <w:numPr>
          <w:ilvl w:val="0"/>
          <w:numId w:val="1001"/>
        </w:numPr>
      </w:pPr>
      <w:r>
        <w:t xml:space="preserve">Latest management accounts.</w:t>
      </w:r>
    </w:p>
    <w:p>
      <w:pPr>
        <w:pStyle w:val="Compact"/>
        <w:numPr>
          <w:ilvl w:val="0"/>
          <w:numId w:val="1001"/>
        </w:numPr>
      </w:pPr>
      <w:r>
        <w:t xml:space="preserve">12-month bank statements for all operating accounts.</w:t>
      </w:r>
    </w:p>
    <w:p>
      <w:pPr>
        <w:pStyle w:val="Compact"/>
        <w:numPr>
          <w:ilvl w:val="0"/>
          <w:numId w:val="1001"/>
        </w:numPr>
      </w:pPr>
      <w:r>
        <w:t xml:space="preserve">Debtor ageing and top customer concentration.</w:t>
      </w:r>
    </w:p>
    <w:p>
      <w:pPr>
        <w:pStyle w:val="Compact"/>
        <w:numPr>
          <w:ilvl w:val="0"/>
          <w:numId w:val="1001"/>
        </w:numPr>
      </w:pPr>
      <w:r>
        <w:t xml:space="preserve">Signed contracts / invoices supporting receivables.</w:t>
      </w:r>
    </w:p>
    <w:p>
      <w:pPr>
        <w:pStyle w:val="Compact"/>
        <w:numPr>
          <w:ilvl w:val="0"/>
          <w:numId w:val="1001"/>
        </w:numPr>
      </w:pPr>
      <w:r>
        <w:t xml:space="preserve">FY2025 revenue pipeline and cash-flow forecast.</w:t>
      </w:r>
    </w:p>
    <w:p>
      <w:pPr>
        <w:pStyle w:val="Compact"/>
        <w:numPr>
          <w:ilvl w:val="0"/>
          <w:numId w:val="1001"/>
        </w:numPr>
      </w:pPr>
      <w:r>
        <w:t xml:space="preserve">Evidence of committed shareholder or parent support.</w:t>
      </w:r>
    </w:p>
    <w:p>
      <w:pPr>
        <w:pStyle w:val="Compact"/>
        <w:numPr>
          <w:ilvl w:val="0"/>
          <w:numId w:val="1001"/>
        </w:numPr>
      </w:pPr>
      <w:r>
        <w:t xml:space="preserve">Details of related-party balances and settlement terms.</w:t>
      </w:r>
    </w:p>
    <w:p>
      <w:pPr>
        <w:pStyle w:val="Compact"/>
        <w:numPr>
          <w:ilvl w:val="0"/>
          <w:numId w:val="1001"/>
        </w:numPr>
      </w:pPr>
      <w:r>
        <w:t xml:space="preserve">Bureau checks, litigation checks and ACRA charge search.</w:t>
      </w:r>
    </w:p>
    <w:p>
      <w:r>
        <w:pict>
          <v:rect style="width:0;height:1.5pt" o:hralign="center" o:hrstd="t" o:hr="t"/>
        </w:pict>
      </w:r>
    </w:p>
    <w:bookmarkEnd w:id="26"/>
    <w:bookmarkStart w:id="27" w:name="financial-snapshot"/>
    <w:p>
      <w:pPr>
        <w:pStyle w:val="Heading2"/>
      </w:pPr>
      <w:r>
        <w:t xml:space="preserve">4. Financial Snapshot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w:t>
            </w:r>
          </w:p>
        </w:tc>
        <w:tc>
          <w:tcPr/>
          <w:p>
            <w:pPr>
              <w:pStyle w:val="Compact"/>
              <w:jc w:val="right"/>
            </w:pPr>
            <w:r>
              <w:t xml:space="preserve">FY2022</w:t>
            </w:r>
          </w:p>
        </w:tc>
        <w:tc>
          <w:tcPr/>
          <w:p>
            <w:pPr>
              <w:pStyle w:val="Compact"/>
              <w:jc w:val="right"/>
            </w:pPr>
            <w:r>
              <w:t xml:space="preserve">FY2023 Group</w:t>
            </w:r>
          </w:p>
        </w:tc>
        <w:tc>
          <w:tcPr/>
          <w:p>
            <w:pPr>
              <w:pStyle w:val="Compact"/>
              <w:jc w:val="right"/>
            </w:pPr>
            <w:r>
              <w:t xml:space="preserve">FY2024 Group</w:t>
            </w:r>
          </w:p>
        </w:tc>
      </w:tr>
      <w:tr>
        <w:tc>
          <w:tcPr/>
          <w:p>
            <w:pPr>
              <w:pStyle w:val="Compact"/>
            </w:pPr>
            <w:r>
              <w:t xml:space="preserve">Revenue</w:t>
            </w:r>
          </w:p>
        </w:tc>
        <w:tc>
          <w:tcPr/>
          <w:p>
            <w:pPr>
              <w:pStyle w:val="Compact"/>
              <w:jc w:val="right"/>
            </w:pPr>
            <w:r>
              <w:t xml:space="preserve">414,943</w:t>
            </w:r>
          </w:p>
        </w:tc>
        <w:tc>
          <w:tcPr/>
          <w:p>
            <w:pPr>
              <w:pStyle w:val="Compact"/>
              <w:jc w:val="right"/>
            </w:pPr>
            <w:r>
              <w:t xml:space="preserve">583,626</w:t>
            </w:r>
          </w:p>
        </w:tc>
        <w:tc>
          <w:tcPr/>
          <w:p>
            <w:pPr>
              <w:pStyle w:val="Compact"/>
              <w:jc w:val="right"/>
            </w:pPr>
            <w:r>
              <w:t xml:space="preserve">362,570</w:t>
            </w:r>
          </w:p>
        </w:tc>
      </w:tr>
      <w:tr>
        <w:tc>
          <w:tcPr/>
          <w:p>
            <w:pPr>
              <w:pStyle w:val="Compact"/>
            </w:pPr>
            <w:r>
              <w:t xml:space="preserve">Loss before tax</w:t>
            </w:r>
          </w:p>
        </w:tc>
        <w:tc>
          <w:tcPr/>
          <w:p>
            <w:pPr>
              <w:pStyle w:val="Compact"/>
              <w:jc w:val="right"/>
            </w:pPr>
            <w:r>
              <w:t xml:space="preserve">-1,404,517</w:t>
            </w:r>
          </w:p>
        </w:tc>
        <w:tc>
          <w:tcPr/>
          <w:p>
            <w:pPr>
              <w:pStyle w:val="Compact"/>
              <w:jc w:val="right"/>
            </w:pPr>
            <w:r>
              <w:t xml:space="preserve">-1,264,399</w:t>
            </w:r>
          </w:p>
        </w:tc>
        <w:tc>
          <w:tcPr/>
          <w:p>
            <w:pPr>
              <w:pStyle w:val="Compact"/>
              <w:jc w:val="right"/>
            </w:pPr>
            <w:r>
              <w:t xml:space="preserve">-983,684</w:t>
            </w:r>
          </w:p>
        </w:tc>
      </w:tr>
      <w:tr>
        <w:tc>
          <w:tcPr/>
          <w:p>
            <w:pPr>
              <w:pStyle w:val="Compact"/>
            </w:pPr>
            <w:r>
              <w:t xml:space="preserve">Cash and cash equivalents</w:t>
            </w:r>
          </w:p>
        </w:tc>
        <w:tc>
          <w:tcPr/>
          <w:p>
            <w:pPr>
              <w:pStyle w:val="Compact"/>
              <w:jc w:val="right"/>
            </w:pPr>
            <w:r>
              <w:t xml:space="preserve">1,345,811</w:t>
            </w:r>
          </w:p>
        </w:tc>
        <w:tc>
          <w:tcPr/>
          <w:p>
            <w:pPr>
              <w:pStyle w:val="Compact"/>
              <w:jc w:val="right"/>
            </w:pPr>
            <w:r>
              <w:t xml:space="preserve">1,566,827</w:t>
            </w:r>
          </w:p>
        </w:tc>
        <w:tc>
          <w:tcPr/>
          <w:p>
            <w:pPr>
              <w:pStyle w:val="Compact"/>
              <w:jc w:val="right"/>
            </w:pPr>
            <w:r>
              <w:t xml:space="preserve">490,541</w:t>
            </w:r>
          </w:p>
        </w:tc>
      </w:tr>
      <w:tr>
        <w:tc>
          <w:tcPr/>
          <w:p>
            <w:pPr>
              <w:pStyle w:val="Compact"/>
            </w:pPr>
            <w:r>
              <w:t xml:space="preserve">Total current assets</w:t>
            </w:r>
          </w:p>
        </w:tc>
        <w:tc>
          <w:tcPr/>
          <w:p>
            <w:pPr>
              <w:pStyle w:val="Compact"/>
              <w:jc w:val="right"/>
            </w:pPr>
            <w:r>
              <w:t xml:space="preserve">1,506,012</w:t>
            </w:r>
          </w:p>
        </w:tc>
        <w:tc>
          <w:tcPr/>
          <w:p>
            <w:pPr>
              <w:pStyle w:val="Compact"/>
              <w:jc w:val="right"/>
            </w:pPr>
            <w:r>
              <w:t xml:space="preserve">1,867,663</w:t>
            </w:r>
          </w:p>
        </w:tc>
        <w:tc>
          <w:tcPr/>
          <w:p>
            <w:pPr>
              <w:pStyle w:val="Compact"/>
              <w:jc w:val="right"/>
            </w:pPr>
            <w:r>
              <w:t xml:space="preserve">817,974</w:t>
            </w:r>
          </w:p>
        </w:tc>
      </w:tr>
      <w:tr>
        <w:tc>
          <w:tcPr/>
          <w:p>
            <w:pPr>
              <w:pStyle w:val="Compact"/>
            </w:pPr>
            <w:r>
              <w:t xml:space="preserve">Current liabilities</w:t>
            </w:r>
          </w:p>
        </w:tc>
        <w:tc>
          <w:tcPr/>
          <w:p>
            <w:pPr>
              <w:pStyle w:val="Compact"/>
              <w:jc w:val="right"/>
            </w:pPr>
            <w:r>
              <w:t xml:space="preserve">218,771</w:t>
            </w:r>
          </w:p>
        </w:tc>
        <w:tc>
          <w:tcPr/>
          <w:p>
            <w:pPr>
              <w:pStyle w:val="Compact"/>
              <w:jc w:val="right"/>
            </w:pPr>
            <w:r>
              <w:t xml:space="preserve">395,071</w:t>
            </w:r>
          </w:p>
        </w:tc>
        <w:tc>
          <w:tcPr/>
          <w:p>
            <w:pPr>
              <w:pStyle w:val="Compact"/>
              <w:jc w:val="right"/>
            </w:pPr>
            <w:r>
              <w:t xml:space="preserve">567,926</w:t>
            </w:r>
          </w:p>
        </w:tc>
      </w:tr>
      <w:tr>
        <w:tc>
          <w:tcPr/>
          <w:p>
            <w:pPr>
              <w:pStyle w:val="Compact"/>
            </w:pPr>
            <w:r>
              <w:t xml:space="preserve">Net assets / equity</w:t>
            </w:r>
          </w:p>
        </w:tc>
        <w:tc>
          <w:tcPr/>
          <w:p>
            <w:pPr>
              <w:pStyle w:val="Compact"/>
              <w:jc w:val="right"/>
            </w:pPr>
            <w:r>
              <w:t xml:space="preserve">1,287,241</w:t>
            </w:r>
          </w:p>
        </w:tc>
        <w:tc>
          <w:tcPr/>
          <w:p>
            <w:pPr>
              <w:pStyle w:val="Compact"/>
              <w:jc w:val="right"/>
            </w:pPr>
            <w:r>
              <w:t xml:space="preserve">1,472,592</w:t>
            </w:r>
          </w:p>
        </w:tc>
        <w:tc>
          <w:tcPr/>
          <w:p>
            <w:pPr>
              <w:pStyle w:val="Compact"/>
              <w:jc w:val="right"/>
            </w:pPr>
            <w:r>
              <w:t xml:space="preserve">250,048</w:t>
            </w:r>
          </w:p>
        </w:tc>
      </w:tr>
      <w:tr>
        <w:tc>
          <w:tcPr/>
          <w:p>
            <w:pPr>
              <w:pStyle w:val="Compact"/>
            </w:pPr>
            <w:r>
              <w:t xml:space="preserve">Accumulated losses</w:t>
            </w:r>
          </w:p>
        </w:tc>
        <w:tc>
          <w:tcPr/>
          <w:p>
            <w:pPr>
              <w:pStyle w:val="Compact"/>
              <w:jc w:val="right"/>
            </w:pPr>
            <w:r>
              <w:t xml:space="preserve">-1,532,838</w:t>
            </w:r>
          </w:p>
        </w:tc>
        <w:tc>
          <w:tcPr/>
          <w:p>
            <w:pPr>
              <w:pStyle w:val="Compact"/>
              <w:jc w:val="right"/>
            </w:pPr>
            <w:r>
              <w:t xml:space="preserve">-2,797,237</w:t>
            </w:r>
          </w:p>
        </w:tc>
        <w:tc>
          <w:tcPr/>
          <w:p>
            <w:pPr>
              <w:pStyle w:val="Compact"/>
              <w:jc w:val="right"/>
            </w:pPr>
            <w:r>
              <w:t xml:space="preserve">-3,780,921</w:t>
            </w:r>
          </w:p>
        </w:tc>
      </w:tr>
      <w:tr>
        <w:tc>
          <w:tcPr/>
          <w:p>
            <w:pPr>
              <w:pStyle w:val="Compact"/>
            </w:pPr>
            <w:r>
              <w:t xml:space="preserve">Net operating cash flow</w:t>
            </w:r>
          </w:p>
        </w:tc>
        <w:tc>
          <w:tcPr/>
          <w:p>
            <w:pPr>
              <w:pStyle w:val="Compact"/>
              <w:jc w:val="right"/>
            </w:pPr>
            <w:r>
              <w:t xml:space="preserve">-3,941,028</w:t>
            </w:r>
          </w:p>
        </w:tc>
        <w:tc>
          <w:tcPr/>
          <w:p>
            <w:pPr>
              <w:pStyle w:val="Compact"/>
              <w:jc w:val="right"/>
            </w:pPr>
            <w:r>
              <w:t xml:space="preserve">-1,121,184</w:t>
            </w:r>
          </w:p>
        </w:tc>
        <w:tc>
          <w:tcPr/>
          <w:p>
            <w:pPr>
              <w:pStyle w:val="Compact"/>
              <w:jc w:val="right"/>
            </w:pPr>
            <w:r>
              <w:t xml:space="preserve">-1,076,286</w:t>
            </w:r>
          </w:p>
        </w:tc>
      </w:tr>
    </w:tbl>
    <w:p>
      <w:pPr>
        <w:pStyle w:val="BodyText"/>
      </w:pPr>
      <w:r>
        <w:t xml:space="preserve">FY2022 was affected by a large operating cash outflow and equity issuance. FY2023 benefited from additional share issuance, which preserved cash despite continued operating losses. FY2024 shows deterioration, with cash reducing materially and equity almost fully depleted.</w:t>
      </w:r>
    </w:p>
    <w:p>
      <w:r>
        <w:pict>
          <v:rect style="width:0;height:1.5pt" o:hralign="center" o:hrstd="t" o:hr="t"/>
        </w:pict>
      </w:r>
    </w:p>
    <w:bookmarkEnd w:id="27"/>
    <w:bookmarkStart w:id="28" w:name="revenue-and-business-momentum"/>
    <w:p>
      <w:pPr>
        <w:pStyle w:val="Heading2"/>
      </w:pPr>
      <w:r>
        <w:t xml:space="preserve">5. Revenue and Business Momentum</w:t>
      </w:r>
    </w:p>
    <w:p>
      <w:pPr>
        <w:pStyle w:val="FirstParagraph"/>
      </w:pPr>
      <w:r>
        <w:t xml:space="preserve">Revenue increased from S$414.9K in FY2022 to S$583.6K in FY2023, reflecting a 40.7% increase. However, FY2024 revenue declined to S$362.6K, representing a 37.9% year-on-year fall.</w:t>
      </w:r>
    </w:p>
    <w:p>
      <w:pPr>
        <w:pStyle w:val="BodyText"/>
      </w:pPr>
      <w:r>
        <w:t xml:space="preserve">This is a significant adverse signal. A service company with limited tangible assets depends heavily on recurring revenue and pipeline conversion. The FY2024 decline suggests either weaker market demand, project deferrals, customer concentration, execution gaps, or revenue model instability. Without visibility on signed contracts and FY2025 pipeline, the revenue base cannot be assumed to support debt repayment.</w:t>
      </w:r>
    </w:p>
    <w:p>
      <w:pPr>
        <w:pStyle w:val="BodyText"/>
      </w:pPr>
      <w:r>
        <w:t xml:space="preserve">The revenue decline is particularly concerning because the cost base, while reduced in FY2024, remains too high relative to revenue. The company has not yet demonstrated operating leverage or break-even capability.</w:t>
      </w:r>
    </w:p>
    <w:p>
      <w:pPr>
        <w:pStyle w:val="BodyText"/>
      </w:pPr>
      <w:r>
        <w:rPr>
          <w:b/>
          <w:bCs/>
        </w:rPr>
        <w:t xml:space="preserve">Credit implication:</w:t>
      </w:r>
      <w:r>
        <w:t xml:space="preserve"> </w:t>
      </w:r>
      <w:r>
        <w:t xml:space="preserve">Revenue volatility is high. Lending should not be based on historical revenue alone. Any facility should be tied to confirmed receivables, contracts, or escrowed customer payments.</w:t>
      </w:r>
    </w:p>
    <w:p>
      <w:r>
        <w:pict>
          <v:rect style="width:0;height:1.5pt" o:hralign="center" o:hrstd="t" o:hr="t"/>
        </w:pict>
      </w:r>
    </w:p>
    <w:bookmarkEnd w:id="28"/>
    <w:bookmarkStart w:id="29" w:name="profitability-analysis"/>
    <w:p>
      <w:pPr>
        <w:pStyle w:val="Heading2"/>
      </w:pPr>
      <w:r>
        <w:t xml:space="preserve">6. Profitability Analysis</w:t>
      </w:r>
    </w:p>
    <w:p>
      <w:pPr>
        <w:pStyle w:val="FirstParagraph"/>
      </w:pPr>
      <w:r>
        <w:t xml:space="preserve">The company remains loss-making across all reviewed years.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pPr>
            <w:r>
              <w:t xml:space="preserve">Revenue</w:t>
            </w:r>
          </w:p>
        </w:tc>
        <w:tc>
          <w:tcPr/>
          <w:p>
            <w:pPr>
              <w:pStyle w:val="Compact"/>
              <w:jc w:val="right"/>
            </w:pPr>
            <w:r>
              <w:t xml:space="preserve">414,943</w:t>
            </w:r>
          </w:p>
        </w:tc>
        <w:tc>
          <w:tcPr/>
          <w:p>
            <w:pPr>
              <w:pStyle w:val="Compact"/>
              <w:jc w:val="right"/>
            </w:pPr>
            <w:r>
              <w:t xml:space="preserve">583,626</w:t>
            </w:r>
          </w:p>
        </w:tc>
        <w:tc>
          <w:tcPr/>
          <w:p>
            <w:pPr>
              <w:pStyle w:val="Compact"/>
              <w:jc w:val="right"/>
            </w:pPr>
            <w:r>
              <w:t xml:space="preserve">362,570</w:t>
            </w:r>
          </w:p>
        </w:tc>
      </w:tr>
      <w:tr>
        <w:tc>
          <w:tcPr/>
          <w:p>
            <w:pPr>
              <w:pStyle w:val="Compact"/>
            </w:pPr>
            <w:r>
              <w:t xml:space="preserve">Loss before tax</w:t>
            </w:r>
          </w:p>
        </w:tc>
        <w:tc>
          <w:tcPr/>
          <w:p>
            <w:pPr>
              <w:pStyle w:val="Compact"/>
              <w:jc w:val="right"/>
            </w:pPr>
            <w:r>
              <w:t xml:space="preserve">-1,404,517</w:t>
            </w:r>
          </w:p>
        </w:tc>
        <w:tc>
          <w:tcPr/>
          <w:p>
            <w:pPr>
              <w:pStyle w:val="Compact"/>
              <w:jc w:val="right"/>
            </w:pPr>
            <w:r>
              <w:t xml:space="preserve">-1,264,399</w:t>
            </w:r>
          </w:p>
        </w:tc>
        <w:tc>
          <w:tcPr/>
          <w:p>
            <w:pPr>
              <w:pStyle w:val="Compact"/>
              <w:jc w:val="right"/>
            </w:pPr>
            <w:r>
              <w:t xml:space="preserve">-983,684</w:t>
            </w:r>
          </w:p>
        </w:tc>
      </w:tr>
      <w:tr>
        <w:tc>
          <w:tcPr/>
          <w:p>
            <w:pPr>
              <w:pStyle w:val="Compact"/>
            </w:pPr>
            <w:r>
              <w:t xml:space="preserve">PBT margin</w:t>
            </w:r>
          </w:p>
        </w:tc>
        <w:tc>
          <w:tcPr/>
          <w:p>
            <w:pPr>
              <w:pStyle w:val="Compact"/>
              <w:jc w:val="right"/>
            </w:pPr>
            <w:r>
              <w:t xml:space="preserve">-338.5%</w:t>
            </w:r>
          </w:p>
        </w:tc>
        <w:tc>
          <w:tcPr/>
          <w:p>
            <w:pPr>
              <w:pStyle w:val="Compact"/>
              <w:jc w:val="right"/>
            </w:pPr>
            <w:r>
              <w:t xml:space="preserve">-216.7%</w:t>
            </w:r>
          </w:p>
        </w:tc>
        <w:tc>
          <w:tcPr/>
          <w:p>
            <w:pPr>
              <w:pStyle w:val="Compact"/>
              <w:jc w:val="right"/>
            </w:pPr>
            <w:r>
              <w:t xml:space="preserve">-271.3%</w:t>
            </w:r>
          </w:p>
        </w:tc>
      </w:tr>
    </w:tbl>
    <w:p>
      <w:pPr>
        <w:pStyle w:val="BodyText"/>
      </w:pPr>
      <w:r>
        <w:t xml:space="preserve">Although the absolute loss narrowed in FY2024, the improvement is not sufficient to suggest a sustainable turnaround. The FY2024 loss remains almost 2.7 times annual revenue, indicating that the company continues to consume capital to operate.</w:t>
      </w:r>
    </w:p>
    <w:p>
      <w:pPr>
        <w:pStyle w:val="BodyText"/>
      </w:pPr>
      <w:r>
        <w:t xml:space="preserve">Employee costs remain the largest expense line. In FY2024, employee benefit expense was S$826.9K against revenue of S$362.6K. This means staff cost alone was more than twice annual revenue. Professional fees, rental costs and other operating expenses further increase the cash burden.</w:t>
      </w:r>
    </w:p>
    <w:p>
      <w:pPr>
        <w:pStyle w:val="BodyText"/>
      </w:pPr>
      <w:r>
        <w:rPr>
          <w:b/>
          <w:bCs/>
        </w:rPr>
        <w:t xml:space="preserve">Credit implication:</w:t>
      </w:r>
      <w:r>
        <w:t xml:space="preserve"> </w:t>
      </w:r>
      <w:r>
        <w:t xml:space="preserve">The borrower does not currently have debt servicing capacity from operations. Any amortising facility would likely require external support or refinancing rather than business cash flow.</w:t>
      </w:r>
    </w:p>
    <w:p>
      <w:r>
        <w:pict>
          <v:rect style="width:0;height:1.5pt" o:hralign="center" o:hrstd="t" o:hr="t"/>
        </w:pict>
      </w:r>
    </w:p>
    <w:bookmarkEnd w:id="29"/>
    <w:bookmarkStart w:id="30" w:name="liquidity-and-working-capital"/>
    <w:p>
      <w:pPr>
        <w:pStyle w:val="Heading2"/>
      </w:pPr>
      <w:r>
        <w:t xml:space="preserve">7. Liquidity and Working Capital</w:t>
      </w:r>
    </w:p>
    <w:p>
      <w:pPr>
        <w:pStyle w:val="FirstParagraph"/>
      </w:pPr>
      <w:r>
        <w:t xml:space="preserve">Liquidity deteriorated materially in FY2024.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Ratio</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pPr>
            <w:r>
              <w:t xml:space="preserve">Current ratio</w:t>
            </w:r>
          </w:p>
        </w:tc>
        <w:tc>
          <w:tcPr/>
          <w:p>
            <w:pPr>
              <w:pStyle w:val="Compact"/>
              <w:jc w:val="right"/>
            </w:pPr>
            <w:r>
              <w:t xml:space="preserve">6.88x</w:t>
            </w:r>
          </w:p>
        </w:tc>
        <w:tc>
          <w:tcPr/>
          <w:p>
            <w:pPr>
              <w:pStyle w:val="Compact"/>
              <w:jc w:val="right"/>
            </w:pPr>
            <w:r>
              <w:t xml:space="preserve">4.73x</w:t>
            </w:r>
          </w:p>
        </w:tc>
        <w:tc>
          <w:tcPr/>
          <w:p>
            <w:pPr>
              <w:pStyle w:val="Compact"/>
              <w:jc w:val="right"/>
            </w:pPr>
            <w:r>
              <w:t xml:space="preserve">1.44x</w:t>
            </w:r>
          </w:p>
        </w:tc>
      </w:tr>
      <w:tr>
        <w:tc>
          <w:tcPr/>
          <w:p>
            <w:pPr>
              <w:pStyle w:val="Compact"/>
            </w:pPr>
            <w:r>
              <w:t xml:space="preserve">Cash ratio</w:t>
            </w:r>
          </w:p>
        </w:tc>
        <w:tc>
          <w:tcPr/>
          <w:p>
            <w:pPr>
              <w:pStyle w:val="Compact"/>
              <w:jc w:val="right"/>
            </w:pPr>
            <w:r>
              <w:t xml:space="preserve">6.15x</w:t>
            </w:r>
          </w:p>
        </w:tc>
        <w:tc>
          <w:tcPr/>
          <w:p>
            <w:pPr>
              <w:pStyle w:val="Compact"/>
              <w:jc w:val="right"/>
            </w:pPr>
            <w:r>
              <w:t xml:space="preserve">3.97x</w:t>
            </w:r>
          </w:p>
        </w:tc>
        <w:tc>
          <w:tcPr/>
          <w:p>
            <w:pPr>
              <w:pStyle w:val="Compact"/>
              <w:jc w:val="right"/>
            </w:pPr>
            <w:r>
              <w:t xml:space="preserve">0.86x</w:t>
            </w:r>
          </w:p>
        </w:tc>
      </w:tr>
      <w:tr>
        <w:tc>
          <w:tcPr/>
          <w:p>
            <w:pPr>
              <w:pStyle w:val="Compact"/>
            </w:pPr>
            <w:r>
              <w:t xml:space="preserve">Net working capital</w:t>
            </w:r>
          </w:p>
        </w:tc>
        <w:tc>
          <w:tcPr/>
          <w:p>
            <w:pPr>
              <w:pStyle w:val="Compact"/>
              <w:jc w:val="right"/>
            </w:pPr>
            <w:r>
              <w:t xml:space="preserve">1,287,241</w:t>
            </w:r>
          </w:p>
        </w:tc>
        <w:tc>
          <w:tcPr/>
          <w:p>
            <w:pPr>
              <w:pStyle w:val="Compact"/>
              <w:jc w:val="right"/>
            </w:pPr>
            <w:r>
              <w:t xml:space="preserve">1,472,592</w:t>
            </w:r>
          </w:p>
        </w:tc>
        <w:tc>
          <w:tcPr/>
          <w:p>
            <w:pPr>
              <w:pStyle w:val="Compact"/>
              <w:jc w:val="right"/>
            </w:pPr>
            <w:r>
              <w:t xml:space="preserve">250,048</w:t>
            </w:r>
          </w:p>
        </w:tc>
      </w:tr>
    </w:tbl>
    <w:p>
      <w:pPr>
        <w:pStyle w:val="BodyText"/>
      </w:pPr>
      <w:r>
        <w:t xml:space="preserve">The company’s liquidity was previously strong due to cash reserves from equity funding. That position has weakened sharply. Cash declined from S$1.57M in FY2023 to S$490.5K in FY2024, while current liabilities increased from S$395.1K to S$567.9K.</w:t>
      </w:r>
    </w:p>
    <w:p>
      <w:pPr>
        <w:pStyle w:val="BodyText"/>
      </w:pPr>
      <w:r>
        <w:t xml:space="preserve">The cash ratio fell below 1.0x in FY2024, meaning cash alone no longer covers current liabilities. The current ratio remains above 1.0x, but the quality of current assets needs scrutiny because trade and other receivables include related-party and other receivable balances. These balances may not convert to cash as reliably as third-party trade receivables.</w:t>
      </w:r>
    </w:p>
    <w:p>
      <w:pPr>
        <w:pStyle w:val="BodyText"/>
      </w:pPr>
      <w:r>
        <w:rPr>
          <w:b/>
          <w:bCs/>
        </w:rPr>
        <w:t xml:space="preserve">Credit implication:</w:t>
      </w:r>
      <w:r>
        <w:t xml:space="preserve"> </w:t>
      </w:r>
      <w:r>
        <w:t xml:space="preserve">Liquidity buffer has materially reduced. The borrower has limited room for additional debt unless backed by new equity, hard collateral, or committed receivables.</w:t>
      </w:r>
    </w:p>
    <w:p>
      <w:r>
        <w:pict>
          <v:rect style="width:0;height:1.5pt" o:hralign="center" o:hrstd="t" o:hr="t"/>
        </w:pict>
      </w:r>
    </w:p>
    <w:bookmarkEnd w:id="30"/>
    <w:bookmarkStart w:id="31" w:name="cash-flow-analysis"/>
    <w:p>
      <w:pPr>
        <w:pStyle w:val="Heading2"/>
      </w:pPr>
      <w:r>
        <w:t xml:space="preserve">8. Cash Flow Analysis</w:t>
      </w:r>
    </w:p>
    <w:p>
      <w:pPr>
        <w:pStyle w:val="FirstParagraph"/>
      </w:pPr>
      <w:r>
        <w:t xml:space="preserve">Operating cash flow is the clearest weakness.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pPr>
            <w:r>
              <w:t xml:space="preserve">Net cash used in operations</w:t>
            </w:r>
          </w:p>
        </w:tc>
        <w:tc>
          <w:tcPr/>
          <w:p>
            <w:pPr>
              <w:pStyle w:val="Compact"/>
              <w:jc w:val="right"/>
            </w:pPr>
            <w:r>
              <w:t xml:space="preserve">-3,941,028</w:t>
            </w:r>
          </w:p>
        </w:tc>
        <w:tc>
          <w:tcPr/>
          <w:p>
            <w:pPr>
              <w:pStyle w:val="Compact"/>
              <w:jc w:val="right"/>
            </w:pPr>
            <w:r>
              <w:t xml:space="preserve">-1,121,184</w:t>
            </w:r>
          </w:p>
        </w:tc>
        <w:tc>
          <w:tcPr/>
          <w:p>
            <w:pPr>
              <w:pStyle w:val="Compact"/>
              <w:jc w:val="right"/>
            </w:pPr>
            <w:r>
              <w:t xml:space="preserve">-1,076,286</w:t>
            </w:r>
          </w:p>
        </w:tc>
      </w:tr>
      <w:tr>
        <w:tc>
          <w:tcPr/>
          <w:p>
            <w:pPr>
              <w:pStyle w:val="Compact"/>
            </w:pPr>
            <w:r>
              <w:t xml:space="preserve">Year-end cash</w:t>
            </w:r>
          </w:p>
        </w:tc>
        <w:tc>
          <w:tcPr/>
          <w:p>
            <w:pPr>
              <w:pStyle w:val="Compact"/>
              <w:jc w:val="right"/>
            </w:pPr>
            <w:r>
              <w:t xml:space="preserve">1,345,811</w:t>
            </w:r>
          </w:p>
        </w:tc>
        <w:tc>
          <w:tcPr/>
          <w:p>
            <w:pPr>
              <w:pStyle w:val="Compact"/>
              <w:jc w:val="right"/>
            </w:pPr>
            <w:r>
              <w:t xml:space="preserve">1,566,827</w:t>
            </w:r>
          </w:p>
        </w:tc>
        <w:tc>
          <w:tcPr/>
          <w:p>
            <w:pPr>
              <w:pStyle w:val="Compact"/>
              <w:jc w:val="right"/>
            </w:pPr>
            <w:r>
              <w:t xml:space="preserve">490,541</w:t>
            </w:r>
          </w:p>
        </w:tc>
      </w:tr>
      <w:tr>
        <w:tc>
          <w:tcPr/>
          <w:p>
            <w:pPr>
              <w:pStyle w:val="Compact"/>
            </w:pPr>
            <w:r>
              <w:t xml:space="preserve">Approximate cash runway based on annual operating cash burn</w:t>
            </w:r>
          </w:p>
        </w:tc>
        <w:tc>
          <w:tcPr/>
          <w:p>
            <w:pPr>
              <w:pStyle w:val="Compact"/>
              <w:jc w:val="right"/>
            </w:pPr>
            <w:r>
              <w:t xml:space="preserve">4.1 months</w:t>
            </w:r>
          </w:p>
        </w:tc>
        <w:tc>
          <w:tcPr/>
          <w:p>
            <w:pPr>
              <w:pStyle w:val="Compact"/>
              <w:jc w:val="right"/>
            </w:pPr>
            <w:r>
              <w:t xml:space="preserve">16.8 months</w:t>
            </w:r>
          </w:p>
        </w:tc>
        <w:tc>
          <w:tcPr/>
          <w:p>
            <w:pPr>
              <w:pStyle w:val="Compact"/>
              <w:jc w:val="right"/>
            </w:pPr>
            <w:r>
              <w:t xml:space="preserve">5.5 months</w:t>
            </w:r>
          </w:p>
        </w:tc>
      </w:tr>
    </w:tbl>
    <w:p>
      <w:pPr>
        <w:pStyle w:val="BodyText"/>
      </w:pPr>
      <w:r>
        <w:t xml:space="preserve">FY2023 operating cash burn was offset by S$1.34M of share issuance. In FY2024, no similar funding inflow is visible in the cash flow statement. As a result, the group’s cash reduced by approximately S$1.08M.</w:t>
      </w:r>
    </w:p>
    <w:p>
      <w:pPr>
        <w:pStyle w:val="BodyText"/>
      </w:pPr>
      <w:r>
        <w:t xml:space="preserve">The FY2024 year-end cash of S$490.5K is less than half of the annual operating cash burn. On a simple run-rate basis, cash runway is around five to six months unless revenue improves, costs are reduced, receivables are collected, or shareholders inject additional funds.</w:t>
      </w:r>
    </w:p>
    <w:p>
      <w:pPr>
        <w:pStyle w:val="BodyText"/>
      </w:pPr>
      <w:r>
        <w:rPr>
          <w:b/>
          <w:bCs/>
        </w:rPr>
        <w:t xml:space="preserve">Credit implication:</w:t>
      </w:r>
      <w:r>
        <w:t xml:space="preserve"> </w:t>
      </w:r>
      <w:r>
        <w:t xml:space="preserve">Cash flow is not self-sustaining. Debt repayment capacity is weak. Any lender exposure should be structured to avoid dependence on free cash flow over the next 12 months.</w:t>
      </w:r>
    </w:p>
    <w:p>
      <w:r>
        <w:pict>
          <v:rect style="width:0;height:1.5pt" o:hralign="center" o:hrstd="t" o:hr="t"/>
        </w:pict>
      </w:r>
    </w:p>
    <w:bookmarkEnd w:id="31"/>
    <w:bookmarkStart w:id="32" w:name="balance-sheet-and-capital-structure"/>
    <w:p>
      <w:pPr>
        <w:pStyle w:val="Heading2"/>
      </w:pPr>
      <w:r>
        <w:t xml:space="preserve">9. Balance Sheet and Capital Structure</w:t>
      </w:r>
    </w:p>
    <w:p>
      <w:pPr>
        <w:pStyle w:val="FirstParagraph"/>
      </w:pPr>
      <w:r>
        <w:t xml:space="preserve">The company has historically been equity-funded. Share capital increased materially in FY2022 and again in FY2023. However, accumulated losses have eroded the capital base.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pPr>
            <w:r>
              <w:t xml:space="preserve">Share capital</w:t>
            </w:r>
          </w:p>
        </w:tc>
        <w:tc>
          <w:tcPr/>
          <w:p>
            <w:pPr>
              <w:pStyle w:val="Compact"/>
              <w:jc w:val="right"/>
            </w:pPr>
            <w:r>
              <w:t xml:space="preserve">2,700,090</w:t>
            </w:r>
          </w:p>
        </w:tc>
        <w:tc>
          <w:tcPr/>
          <w:p>
            <w:pPr>
              <w:pStyle w:val="Compact"/>
              <w:jc w:val="right"/>
            </w:pPr>
            <w:r>
              <w:t xml:space="preserve">4,042,290</w:t>
            </w:r>
          </w:p>
        </w:tc>
        <w:tc>
          <w:tcPr/>
          <w:p>
            <w:pPr>
              <w:pStyle w:val="Compact"/>
              <w:jc w:val="right"/>
            </w:pPr>
            <w:r>
              <w:t xml:space="preserve">4,042,290</w:t>
            </w:r>
          </w:p>
        </w:tc>
      </w:tr>
      <w:tr>
        <w:tc>
          <w:tcPr/>
          <w:p>
            <w:pPr>
              <w:pStyle w:val="Compact"/>
            </w:pPr>
            <w:r>
              <w:t xml:space="preserve">Accumulated losses</w:t>
            </w:r>
          </w:p>
        </w:tc>
        <w:tc>
          <w:tcPr/>
          <w:p>
            <w:pPr>
              <w:pStyle w:val="Compact"/>
              <w:jc w:val="right"/>
            </w:pPr>
            <w:r>
              <w:t xml:space="preserve">-1,532,838</w:t>
            </w:r>
          </w:p>
        </w:tc>
        <w:tc>
          <w:tcPr/>
          <w:p>
            <w:pPr>
              <w:pStyle w:val="Compact"/>
              <w:jc w:val="right"/>
            </w:pPr>
            <w:r>
              <w:t xml:space="preserve">-2,797,237</w:t>
            </w:r>
          </w:p>
        </w:tc>
        <w:tc>
          <w:tcPr/>
          <w:p>
            <w:pPr>
              <w:pStyle w:val="Compact"/>
              <w:jc w:val="right"/>
            </w:pPr>
            <w:r>
              <w:t xml:space="preserve">-3,780,921</w:t>
            </w:r>
          </w:p>
        </w:tc>
      </w:tr>
      <w:tr>
        <w:tc>
          <w:tcPr/>
          <w:p>
            <w:pPr>
              <w:pStyle w:val="Compact"/>
            </w:pPr>
            <w:r>
              <w:t xml:space="preserve">Total equity</w:t>
            </w:r>
          </w:p>
        </w:tc>
        <w:tc>
          <w:tcPr/>
          <w:p>
            <w:pPr>
              <w:pStyle w:val="Compact"/>
              <w:jc w:val="right"/>
            </w:pPr>
            <w:r>
              <w:t xml:space="preserve">1,287,241</w:t>
            </w:r>
          </w:p>
        </w:tc>
        <w:tc>
          <w:tcPr/>
          <w:p>
            <w:pPr>
              <w:pStyle w:val="Compact"/>
              <w:jc w:val="right"/>
            </w:pPr>
            <w:r>
              <w:t xml:space="preserve">1,472,592</w:t>
            </w:r>
          </w:p>
        </w:tc>
        <w:tc>
          <w:tcPr/>
          <w:p>
            <w:pPr>
              <w:pStyle w:val="Compact"/>
              <w:jc w:val="right"/>
            </w:pPr>
            <w:r>
              <w:t xml:space="preserve">250,048</w:t>
            </w:r>
          </w:p>
        </w:tc>
      </w:tr>
      <w:tr>
        <w:tc>
          <w:tcPr/>
          <w:p>
            <w:pPr>
              <w:pStyle w:val="Compact"/>
            </w:pPr>
            <w:r>
              <w:t xml:space="preserve">Liabilities / equity</w:t>
            </w:r>
          </w:p>
        </w:tc>
        <w:tc>
          <w:tcPr/>
          <w:p>
            <w:pPr>
              <w:pStyle w:val="Compact"/>
              <w:jc w:val="right"/>
            </w:pPr>
            <w:r>
              <w:t xml:space="preserve">0.17x</w:t>
            </w:r>
          </w:p>
        </w:tc>
        <w:tc>
          <w:tcPr/>
          <w:p>
            <w:pPr>
              <w:pStyle w:val="Compact"/>
              <w:jc w:val="right"/>
            </w:pPr>
            <w:r>
              <w:t xml:space="preserve">0.27x</w:t>
            </w:r>
          </w:p>
        </w:tc>
        <w:tc>
          <w:tcPr/>
          <w:p>
            <w:pPr>
              <w:pStyle w:val="Compact"/>
              <w:jc w:val="right"/>
            </w:pPr>
            <w:r>
              <w:t xml:space="preserve">2.27x</w:t>
            </w:r>
          </w:p>
        </w:tc>
      </w:tr>
      <w:tr>
        <w:tc>
          <w:tcPr/>
          <w:p>
            <w:pPr>
              <w:pStyle w:val="Compact"/>
            </w:pPr>
            <w:r>
              <w:t xml:space="preserve">Equity / assets</w:t>
            </w:r>
          </w:p>
        </w:tc>
        <w:tc>
          <w:tcPr/>
          <w:p>
            <w:pPr>
              <w:pStyle w:val="Compact"/>
              <w:jc w:val="right"/>
            </w:pPr>
            <w:r>
              <w:t xml:space="preserve">85.5%</w:t>
            </w:r>
          </w:p>
        </w:tc>
        <w:tc>
          <w:tcPr/>
          <w:p>
            <w:pPr>
              <w:pStyle w:val="Compact"/>
              <w:jc w:val="right"/>
            </w:pPr>
            <w:r>
              <w:t xml:space="preserve">78.8%</w:t>
            </w:r>
          </w:p>
        </w:tc>
        <w:tc>
          <w:tcPr/>
          <w:p>
            <w:pPr>
              <w:pStyle w:val="Compact"/>
              <w:jc w:val="right"/>
            </w:pPr>
            <w:r>
              <w:t xml:space="preserve">30.6%</w:t>
            </w:r>
          </w:p>
        </w:tc>
      </w:tr>
    </w:tbl>
    <w:p>
      <w:pPr>
        <w:pStyle w:val="BodyText"/>
      </w:pPr>
      <w:r>
        <w:t xml:space="preserve">At face value, the company does not appear to have significant bank borrowings. However, this should not be interpreted as low risk. The issue is not leverage but viability. The group has a small remaining equity cushion and limited tangible asset backing. FY2024 liabilities are more than twice equity, despite the absence of conventional debt.</w:t>
      </w:r>
    </w:p>
    <w:p>
      <w:pPr>
        <w:pStyle w:val="BodyText"/>
      </w:pPr>
      <w:r>
        <w:rPr>
          <w:b/>
          <w:bCs/>
        </w:rPr>
        <w:t xml:space="preserve">Credit implication:</w:t>
      </w:r>
      <w:r>
        <w:t xml:space="preserve"> </w:t>
      </w:r>
      <w:r>
        <w:t xml:space="preserve">The borrower is undercapitalized relative to its loss profile. Further lending without fresh equity would increase financial risk materially.</w:t>
      </w:r>
    </w:p>
    <w:p>
      <w:r>
        <w:pict>
          <v:rect style="width:0;height:1.5pt" o:hralign="center" o:hrstd="t" o:hr="t"/>
        </w:pict>
      </w:r>
    </w:p>
    <w:bookmarkEnd w:id="32"/>
    <w:bookmarkStart w:id="33" w:name="receivables-and-related-party-risk"/>
    <w:p>
      <w:pPr>
        <w:pStyle w:val="Heading2"/>
      </w:pPr>
      <w:r>
        <w:t xml:space="preserve">10. Receivables and Related-Party Risk</w:t>
      </w:r>
    </w:p>
    <w:p>
      <w:pPr>
        <w:pStyle w:val="FirstParagraph"/>
      </w:pPr>
      <w:r>
        <w:t xml:space="preserve">Receivables require detailed review. In FY2024, trade and other receivables increased despite revenue decline. The notes show a mix of third-party trade receivables, holding company receivables, related-party receivables, deposits and other balances.</w:t>
      </w:r>
    </w:p>
    <w:p>
      <w:pPr>
        <w:pStyle w:val="BodyText"/>
      </w:pPr>
      <w:r>
        <w:t xml:space="preserve">This has two implications:</w:t>
      </w:r>
    </w:p>
    <w:p>
      <w:pPr>
        <w:pStyle w:val="Compact"/>
        <w:numPr>
          <w:ilvl w:val="0"/>
          <w:numId w:val="1002"/>
        </w:numPr>
      </w:pPr>
      <w:r>
        <w:t xml:space="preserve">The increase in receivables is not necessarily a sign of stronger commercial sales.</w:t>
      </w:r>
    </w:p>
    <w:p>
      <w:pPr>
        <w:pStyle w:val="Compact"/>
        <w:numPr>
          <w:ilvl w:val="0"/>
          <w:numId w:val="1002"/>
        </w:numPr>
      </w:pPr>
      <w:r>
        <w:t xml:space="preserve">Related-party balances may have weaker enforceability, uncertain collection timing and lower cash conversion quality.</w:t>
      </w:r>
    </w:p>
    <w:p>
      <w:pPr>
        <w:pStyle w:val="FirstParagraph"/>
      </w:pPr>
      <w:r>
        <w:t xml:space="preserve">For a lender, third-party trade receivables from creditworthy customers are more financeable than related-party receivables or intercompany balances. Therefore, the working capital position should be haircut substantially unless supported by invoices, ageing, confirmations and subsequent collection evidence.</w:t>
      </w:r>
    </w:p>
    <w:p>
      <w:pPr>
        <w:pStyle w:val="BodyText"/>
      </w:pPr>
      <w:r>
        <w:rPr>
          <w:b/>
          <w:bCs/>
        </w:rPr>
        <w:t xml:space="preserve">Credit implication:</w:t>
      </w:r>
      <w:r>
        <w:t xml:space="preserve"> </w:t>
      </w:r>
      <w:r>
        <w:t xml:space="preserve">Receivables should not be relied upon for borrowing-base purposes until aged, verified and reconciled to customer contracts.</w:t>
      </w:r>
    </w:p>
    <w:p>
      <w:r>
        <w:pict>
          <v:rect style="width:0;height:1.5pt" o:hralign="center" o:hrstd="t" o:hr="t"/>
        </w:pict>
      </w:r>
    </w:p>
    <w:bookmarkEnd w:id="33"/>
    <w:bookmarkStart w:id="34" w:name="payables-and-accrued-liabilities"/>
    <w:p>
      <w:pPr>
        <w:pStyle w:val="Heading2"/>
      </w:pPr>
      <w:r>
        <w:t xml:space="preserve">11. Payables and Accrued Liabilities</w:t>
      </w:r>
    </w:p>
    <w:p>
      <w:pPr>
        <w:pStyle w:val="FirstParagraph"/>
      </w:pPr>
      <w:r>
        <w:t xml:space="preserve">Current liabilities increased from S$395.1K in FY2023 to S$567.9K in FY2024. Trade and other payables account for most of this. Directors’ balances and accruals appear material within payables.</w:t>
      </w:r>
    </w:p>
    <w:p>
      <w:pPr>
        <w:pStyle w:val="BodyText"/>
      </w:pPr>
      <w:r>
        <w:t xml:space="preserve">The rise in liabilities while revenue declined suggests working capital pressure. If payables include deferred director fees or related-party balances, they may provide temporary flexibility; however, if they include third-party accruals, the business could face near-term cash calls.</w:t>
      </w:r>
    </w:p>
    <w:p>
      <w:pPr>
        <w:pStyle w:val="BodyText"/>
      </w:pPr>
      <w:r>
        <w:rPr>
          <w:b/>
          <w:bCs/>
        </w:rPr>
        <w:t xml:space="preserve">Credit implication:</w:t>
      </w:r>
      <w:r>
        <w:t xml:space="preserve"> </w:t>
      </w:r>
      <w:r>
        <w:t xml:space="preserve">The lender should obtain a detailed payables ageing, identify overdue statutory obligations, and confirm whether director/related-party payables are subordinated to bank debt.</w:t>
      </w:r>
    </w:p>
    <w:p>
      <w:r>
        <w:pict>
          <v:rect style="width:0;height:1.5pt" o:hralign="center" o:hrstd="t" o:hr="t"/>
        </w:pict>
      </w:r>
    </w:p>
    <w:bookmarkEnd w:id="34"/>
    <w:bookmarkStart w:id="35" w:name="foreign-currency-and-geographic-exposure"/>
    <w:p>
      <w:pPr>
        <w:pStyle w:val="Heading2"/>
      </w:pPr>
      <w:r>
        <w:t xml:space="preserve">12. Foreign Currency and Geographic Exposure</w:t>
      </w:r>
    </w:p>
    <w:p>
      <w:pPr>
        <w:pStyle w:val="FirstParagraph"/>
      </w:pPr>
      <w:r>
        <w:t xml:space="preserve">The business has multi-currency exposure, including Singapore dollar, US dollar, Hong Kong dollar and other currencies. Revenue is also geographically diversified across Singapore, Hong Kong, Malaysia and the United States in FY2024.</w:t>
      </w:r>
    </w:p>
    <w:p>
      <w:pPr>
        <w:pStyle w:val="BodyText"/>
      </w:pPr>
      <w:r>
        <w:t xml:space="preserve">Geographic diversification is positive in principle, but revenue scale remains small and volatility is high. FX exposures are relevant because cash and receivables include foreign currency balances. Currency movements can affect reported liquidity and profitability.</w:t>
      </w:r>
    </w:p>
    <w:p>
      <w:pPr>
        <w:pStyle w:val="BodyText"/>
      </w:pPr>
      <w:r>
        <w:rPr>
          <w:b/>
          <w:bCs/>
        </w:rPr>
        <w:t xml:space="preserve">Credit implication:</w:t>
      </w:r>
      <w:r>
        <w:t xml:space="preserve"> </w:t>
      </w:r>
      <w:r>
        <w:t xml:space="preserve">FX risk is secondary to operating viability risk, but any facility should ideally be denominated in the same currency as cash inflows or supported by natural hedges.</w:t>
      </w:r>
    </w:p>
    <w:p>
      <w:r>
        <w:pict>
          <v:rect style="width:0;height:1.5pt" o:hralign="center" o:hrstd="t" o:hr="t"/>
        </w:pict>
      </w:r>
    </w:p>
    <w:bookmarkEnd w:id="35"/>
    <w:bookmarkStart w:id="36" w:name="management-and-governance"/>
    <w:p>
      <w:pPr>
        <w:pStyle w:val="Heading2"/>
      </w:pPr>
      <w:r>
        <w:t xml:space="preserve">13. Management and Governance</w:t>
      </w:r>
    </w:p>
    <w:p>
      <w:pPr>
        <w:pStyle w:val="FirstParagraph"/>
      </w:pPr>
      <w:r>
        <w:t xml:space="preserve">The company has identifiable directors and a formal ESOP scheme. Continued shareholder funding in prior periods is a positive indicator of sponsor support. However, sponsor support should not be assumed unless legally documented.</w:t>
      </w:r>
    </w:p>
    <w:p>
      <w:pPr>
        <w:pStyle w:val="BodyText"/>
      </w:pPr>
      <w:r>
        <w:t xml:space="preserve">The financial statements are unaudited in FY2022 and FY2023, while FY2024 appears to be director’s statement and financial statements with auditors noted. For credit purposes, the absence of audited comfort in earlier periods and the scanned nature of the FY2024 filing increase the need for independent verification.</w:t>
      </w:r>
    </w:p>
    <w:p>
      <w:pPr>
        <w:pStyle w:val="BodyText"/>
      </w:pPr>
      <w:r>
        <w:rPr>
          <w:b/>
          <w:bCs/>
        </w:rPr>
        <w:t xml:space="preserve">Credit implication:</w:t>
      </w:r>
      <w:r>
        <w:t xml:space="preserve"> </w:t>
      </w:r>
      <w:r>
        <w:t xml:space="preserve">Approval should require updated management accounts, auditor clarification where relevant, board resolution, and confirmation of shareholder support.</w:t>
      </w:r>
    </w:p>
    <w:p>
      <w:r>
        <w:pict>
          <v:rect style="width:0;height:1.5pt" o:hralign="center" o:hrstd="t" o:hr="t"/>
        </w:pict>
      </w:r>
    </w:p>
    <w:bookmarkEnd w:id="36"/>
    <w:bookmarkStart w:id="37" w:name="key-credit-strengths"/>
    <w:p>
      <w:pPr>
        <w:pStyle w:val="Heading2"/>
      </w:pPr>
      <w:r>
        <w:t xml:space="preserve">14. Key Credit Strengths</w:t>
      </w:r>
    </w:p>
    <w:p>
      <w:pPr>
        <w:pStyle w:val="Compact"/>
        <w:numPr>
          <w:ilvl w:val="0"/>
          <w:numId w:val="1003"/>
        </w:numPr>
      </w:pPr>
      <w:r>
        <w:t xml:space="preserve">Singapore-incorporated entity with formal financial statement filings.</w:t>
      </w:r>
    </w:p>
    <w:p>
      <w:pPr>
        <w:pStyle w:val="Compact"/>
        <w:numPr>
          <w:ilvl w:val="0"/>
          <w:numId w:val="1003"/>
        </w:numPr>
      </w:pPr>
      <w:r>
        <w:t xml:space="preserve">Demonstrated revenue generation across multiple years.</w:t>
      </w:r>
    </w:p>
    <w:p>
      <w:pPr>
        <w:pStyle w:val="Compact"/>
        <w:numPr>
          <w:ilvl w:val="0"/>
          <w:numId w:val="1003"/>
        </w:numPr>
      </w:pPr>
      <w:r>
        <w:t xml:space="preserve">No evidence of significant bank debt in the provided statements.</w:t>
      </w:r>
    </w:p>
    <w:p>
      <w:pPr>
        <w:pStyle w:val="Compact"/>
        <w:numPr>
          <w:ilvl w:val="0"/>
          <w:numId w:val="1003"/>
        </w:numPr>
      </w:pPr>
      <w:r>
        <w:t xml:space="preserve">Prior equity injections indicate some level of shareholder funding support.</w:t>
      </w:r>
    </w:p>
    <w:p>
      <w:pPr>
        <w:pStyle w:val="Compact"/>
        <w:numPr>
          <w:ilvl w:val="0"/>
          <w:numId w:val="1003"/>
        </w:numPr>
      </w:pPr>
      <w:r>
        <w:t xml:space="preserve">Business model is service-led and does not require heavy capex.</w:t>
      </w:r>
    </w:p>
    <w:p>
      <w:pPr>
        <w:pStyle w:val="Compact"/>
        <w:numPr>
          <w:ilvl w:val="0"/>
          <w:numId w:val="1003"/>
        </w:numPr>
      </w:pPr>
      <w:r>
        <w:t xml:space="preserve">Geographic revenue presence across Singapore, Hong Kong and Malaysia.</w:t>
      </w:r>
    </w:p>
    <w:p>
      <w:pPr>
        <w:pStyle w:val="Compact"/>
        <w:numPr>
          <w:ilvl w:val="0"/>
          <w:numId w:val="1003"/>
        </w:numPr>
      </w:pPr>
      <w:r>
        <w:t xml:space="preserve">Losses narrowed in absolute terms in FY2024 versus FY2023.</w:t>
      </w:r>
    </w:p>
    <w:p>
      <w:r>
        <w:pict>
          <v:rect style="width:0;height:1.5pt" o:hralign="center" o:hrstd="t" o:hr="t"/>
        </w:pict>
      </w:r>
    </w:p>
    <w:bookmarkEnd w:id="37"/>
    <w:bookmarkStart w:id="38" w:name="key-credit-weaknesses"/>
    <w:p>
      <w:pPr>
        <w:pStyle w:val="Heading2"/>
      </w:pPr>
      <w:r>
        <w:t xml:space="preserve">15. Key Credit Weaknesses</w:t>
      </w:r>
    </w:p>
    <w:p>
      <w:pPr>
        <w:pStyle w:val="Compact"/>
        <w:numPr>
          <w:ilvl w:val="0"/>
          <w:numId w:val="1004"/>
        </w:numPr>
      </w:pPr>
      <w:r>
        <w:t xml:space="preserve">Persistent losses across FY2022, FY2023 and FY2024.</w:t>
      </w:r>
    </w:p>
    <w:p>
      <w:pPr>
        <w:pStyle w:val="Compact"/>
        <w:numPr>
          <w:ilvl w:val="0"/>
          <w:numId w:val="1004"/>
        </w:numPr>
      </w:pPr>
      <w:r>
        <w:t xml:space="preserve">Revenue contracted sharply in FY2024.</w:t>
      </w:r>
    </w:p>
    <w:p>
      <w:pPr>
        <w:pStyle w:val="Compact"/>
        <w:numPr>
          <w:ilvl w:val="0"/>
          <w:numId w:val="1004"/>
        </w:numPr>
      </w:pPr>
      <w:r>
        <w:t xml:space="preserve">Cash balance reduced materially in FY2024.</w:t>
      </w:r>
    </w:p>
    <w:p>
      <w:pPr>
        <w:pStyle w:val="Compact"/>
        <w:numPr>
          <w:ilvl w:val="0"/>
          <w:numId w:val="1004"/>
        </w:numPr>
      </w:pPr>
      <w:r>
        <w:t xml:space="preserve">Current liabilities increased while revenue declined.</w:t>
      </w:r>
    </w:p>
    <w:p>
      <w:pPr>
        <w:pStyle w:val="Compact"/>
        <w:numPr>
          <w:ilvl w:val="0"/>
          <w:numId w:val="1004"/>
        </w:numPr>
      </w:pPr>
      <w:r>
        <w:t xml:space="preserve">Equity cushion fell sharply to S$250K in FY2024.</w:t>
      </w:r>
    </w:p>
    <w:p>
      <w:pPr>
        <w:pStyle w:val="Compact"/>
        <w:numPr>
          <w:ilvl w:val="0"/>
          <w:numId w:val="1004"/>
        </w:numPr>
      </w:pPr>
      <w:r>
        <w:t xml:space="preserve">Operating cash flow remains significantly negative.</w:t>
      </w:r>
    </w:p>
    <w:p>
      <w:pPr>
        <w:pStyle w:val="Compact"/>
        <w:numPr>
          <w:ilvl w:val="0"/>
          <w:numId w:val="1004"/>
        </w:numPr>
      </w:pPr>
      <w:r>
        <w:t xml:space="preserve">Cash runway appears limited without fresh funding.</w:t>
      </w:r>
    </w:p>
    <w:p>
      <w:pPr>
        <w:pStyle w:val="Compact"/>
        <w:numPr>
          <w:ilvl w:val="0"/>
          <w:numId w:val="1004"/>
        </w:numPr>
      </w:pPr>
      <w:r>
        <w:t xml:space="preserve">Related-party receivables and payables require verification.</w:t>
      </w:r>
    </w:p>
    <w:p>
      <w:pPr>
        <w:pStyle w:val="Compact"/>
        <w:numPr>
          <w:ilvl w:val="0"/>
          <w:numId w:val="1004"/>
        </w:numPr>
      </w:pPr>
      <w:r>
        <w:t xml:space="preserve">No visible debt service capacity from operating cash flow.</w:t>
      </w:r>
    </w:p>
    <w:p>
      <w:pPr>
        <w:pStyle w:val="Compact"/>
        <w:numPr>
          <w:ilvl w:val="0"/>
          <w:numId w:val="1004"/>
        </w:numPr>
      </w:pPr>
      <w:r>
        <w:t xml:space="preserve">Limited tangible asset base for collateral.</w:t>
      </w:r>
    </w:p>
    <w:p>
      <w:pPr>
        <w:pStyle w:val="Compact"/>
        <w:numPr>
          <w:ilvl w:val="0"/>
          <w:numId w:val="1004"/>
        </w:numPr>
      </w:pPr>
      <w:r>
        <w:t xml:space="preserve">Revenue quality, customer concentration and pipeline are not evidenced.</w:t>
      </w:r>
    </w:p>
    <w:p>
      <w:pPr>
        <w:pStyle w:val="Compact"/>
        <w:numPr>
          <w:ilvl w:val="0"/>
          <w:numId w:val="1004"/>
        </w:numPr>
      </w:pPr>
      <w:r>
        <w:t xml:space="preserve">No bank conduct, GST/IRAS, bureau, or contract data provided.</w:t>
      </w:r>
    </w:p>
    <w:p>
      <w:r>
        <w:pict>
          <v:rect style="width:0;height:1.5pt" o:hralign="center" o:hrstd="t" o:hr="t"/>
        </w:pict>
      </w:r>
    </w:p>
    <w:bookmarkEnd w:id="38"/>
    <w:bookmarkStart w:id="39" w:name="preliminary-risk-rating"/>
    <w:p>
      <w:pPr>
        <w:pStyle w:val="Heading2"/>
      </w:pPr>
      <w:r>
        <w:t xml:space="preserve">16. Preliminary Risk Rating</w:t>
      </w:r>
    </w:p>
    <w:p>
      <w:pPr>
        <w:pStyle w:val="FirstParagraph"/>
      </w:pPr>
      <w:r>
        <w:rPr>
          <w:b/>
          <w:bCs/>
        </w:rPr>
        <w:t xml:space="preserve">Suggested internal risk grade:</w:t>
      </w:r>
      <w:r>
        <w:t xml:space="preserve"> </w:t>
      </w:r>
      <w:r>
        <w:t xml:space="preserve">Weak / High Risk / Watchlist</w:t>
      </w:r>
      <w:r>
        <w:br/>
      </w:r>
      <w:r>
        <w:rPr>
          <w:b/>
          <w:bCs/>
        </w:rPr>
        <w:t xml:space="preserve">Regulatory-style posture:</w:t>
      </w:r>
      <w:r>
        <w:t xml:space="preserve"> </w:t>
      </w:r>
      <w:r>
        <w:t xml:space="preserve">Closer to Special Mention / early Substandard risk if no fresh support is demonstrated</w:t>
      </w:r>
      <w:r>
        <w:br/>
      </w:r>
      <w:r>
        <w:rPr>
          <w:b/>
          <w:bCs/>
        </w:rPr>
        <w:t xml:space="preserve">Default risk direction:</w:t>
      </w:r>
      <w:r>
        <w:t xml:space="preserve"> </w:t>
      </w:r>
      <w:r>
        <w:t xml:space="preserve">Elevated over 12 months if revenue does not recover or equity is not injected</w:t>
      </w:r>
      <w:r>
        <w:br/>
      </w:r>
      <w:r>
        <w:rPr>
          <w:b/>
          <w:bCs/>
        </w:rPr>
        <w:t xml:space="preserve">Debt service capacity:</w:t>
      </w:r>
      <w:r>
        <w:t xml:space="preserve"> </w:t>
      </w:r>
      <w:r>
        <w:t xml:space="preserve">Weak</w:t>
      </w:r>
      <w:r>
        <w:br/>
      </w:r>
      <w:r>
        <w:rPr>
          <w:b/>
          <w:bCs/>
        </w:rPr>
        <w:t xml:space="preserve">Liquidity:</w:t>
      </w:r>
      <w:r>
        <w:t xml:space="preserve"> </w:t>
      </w:r>
      <w:r>
        <w:t xml:space="preserve">Deteriorating</w:t>
      </w:r>
      <w:r>
        <w:br/>
      </w:r>
      <w:r>
        <w:rPr>
          <w:b/>
          <w:bCs/>
        </w:rPr>
        <w:t xml:space="preserve">Capital adequacy:</w:t>
      </w:r>
      <w:r>
        <w:t xml:space="preserve"> </w:t>
      </w:r>
      <w:r>
        <w:t xml:space="preserve">Weak after FY2024 equity erosion</w:t>
      </w:r>
      <w:r>
        <w:br/>
      </w:r>
      <w:r>
        <w:rPr>
          <w:b/>
          <w:bCs/>
        </w:rPr>
        <w:t xml:space="preserve">Security cover:</w:t>
      </w:r>
      <w:r>
        <w:t xml:space="preserve"> </w:t>
      </w:r>
      <w:r>
        <w:t xml:space="preserve">Not established</w:t>
      </w:r>
      <w:r>
        <w:br/>
      </w:r>
      <w:r>
        <w:rPr>
          <w:b/>
          <w:bCs/>
        </w:rPr>
        <w:t xml:space="preserve">Overall credit stance:</w:t>
      </w:r>
      <w:r>
        <w:t xml:space="preserve"> </w:t>
      </w:r>
      <w:r>
        <w:t xml:space="preserve">Cautious / conditional only</w:t>
      </w:r>
    </w:p>
    <w:p>
      <w:pPr>
        <w:pStyle w:val="BodyText"/>
      </w:pPr>
      <w:r>
        <w:t xml:space="preserve">This is not a borrower suitable for clean unsecured lending based only on the submitted financials.</w:t>
      </w:r>
    </w:p>
    <w:p>
      <w:r>
        <w:pict>
          <v:rect style="width:0;height:1.5pt" o:hralign="center" o:hrstd="t" o:hr="t"/>
        </w:pict>
      </w:r>
    </w:p>
    <w:bookmarkEnd w:id="39"/>
    <w:bookmarkStart w:id="42" w:name="credit-decision-recommendation"/>
    <w:p>
      <w:pPr>
        <w:pStyle w:val="Heading2"/>
      </w:pPr>
      <w:r>
        <w:t xml:space="preserve">17. Credit Decision Recommendation</w:t>
      </w:r>
    </w:p>
    <w:bookmarkStart w:id="40" w:name="recommended-decision"/>
    <w:p>
      <w:pPr>
        <w:pStyle w:val="Heading3"/>
      </w:pPr>
      <w:r>
        <w:t xml:space="preserve">Recommended Decision</w:t>
      </w:r>
    </w:p>
    <w:p>
      <w:pPr>
        <w:pStyle w:val="FirstParagraph"/>
      </w:pPr>
      <w:r>
        <w:rPr>
          <w:b/>
          <w:bCs/>
        </w:rPr>
        <w:t xml:space="preserve">Do not approve a clean unsecured working capital or term loan facility at this stage.</w:t>
      </w:r>
    </w:p>
    <w:p>
      <w:pPr>
        <w:pStyle w:val="BodyText"/>
      </w:pPr>
      <w:r>
        <w:t xml:space="preserve">The borrower does not currently evidence sufficient operating cash flow, liquidity buffer, or equity cushion to support conventional debt. Approval may be considered only if the proposed facility is limited, self-liquidating, and supported by clear mitigants.</w:t>
      </w:r>
    </w:p>
    <w:bookmarkEnd w:id="40"/>
    <w:bookmarkStart w:id="41" w:name="X43c987ef704c77b23f8e5e30118ed0e1d58aeb2"/>
    <w:p>
      <w:pPr>
        <w:pStyle w:val="Heading3"/>
      </w:pPr>
      <w:r>
        <w:t xml:space="preserve">If Business Team Wants to Support the Relationship</w:t>
      </w:r>
    </w:p>
    <w:p>
      <w:pPr>
        <w:pStyle w:val="FirstParagraph"/>
      </w:pPr>
      <w:r>
        <w:t xml:space="preserve">Consider only one of the following structures:</w:t>
      </w:r>
    </w:p>
    <w:p>
      <w:pPr>
        <w:pStyle w:val="BodyText"/>
      </w:pPr>
      <w:r>
        <w:rPr>
          <w:b/>
          <w:bCs/>
        </w:rPr>
        <w:t xml:space="preserve">Option A: Invoice-backed receivables financing</w:t>
      </w:r>
    </w:p>
    <w:p>
      <w:pPr>
        <w:pStyle w:val="Compact"/>
        <w:numPr>
          <w:ilvl w:val="0"/>
          <w:numId w:val="1005"/>
        </w:numPr>
      </w:pPr>
      <w:r>
        <w:t xml:space="preserve">Against confirmed third-party invoices only.</w:t>
      </w:r>
    </w:p>
    <w:p>
      <w:pPr>
        <w:pStyle w:val="Compact"/>
        <w:numPr>
          <w:ilvl w:val="0"/>
          <w:numId w:val="1005"/>
        </w:numPr>
      </w:pPr>
      <w:r>
        <w:t xml:space="preserve">Exclude related-party receivables.</w:t>
      </w:r>
    </w:p>
    <w:p>
      <w:pPr>
        <w:pStyle w:val="Compact"/>
        <w:numPr>
          <w:ilvl w:val="0"/>
          <w:numId w:val="1005"/>
        </w:numPr>
      </w:pPr>
      <w:r>
        <w:t xml:space="preserve">Advance rate not more than 50–60%.</w:t>
      </w:r>
    </w:p>
    <w:p>
      <w:pPr>
        <w:pStyle w:val="Compact"/>
        <w:numPr>
          <w:ilvl w:val="0"/>
          <w:numId w:val="1005"/>
        </w:numPr>
      </w:pPr>
      <w:r>
        <w:t xml:space="preserve">Tenor matched to invoice collection cycle.</w:t>
      </w:r>
    </w:p>
    <w:p>
      <w:pPr>
        <w:pStyle w:val="Compact"/>
        <w:numPr>
          <w:ilvl w:val="0"/>
          <w:numId w:val="1005"/>
        </w:numPr>
      </w:pPr>
      <w:r>
        <w:t xml:space="preserve">Direct assignment of receivables and payment routing through lender-controlled account.</w:t>
      </w:r>
    </w:p>
    <w:p>
      <w:pPr>
        <w:pStyle w:val="FirstParagraph"/>
      </w:pPr>
      <w:r>
        <w:rPr>
          <w:b/>
          <w:bCs/>
        </w:rPr>
        <w:t xml:space="preserve">Option B: Cash-collateralized facility</w:t>
      </w:r>
    </w:p>
    <w:p>
      <w:pPr>
        <w:pStyle w:val="Compact"/>
        <w:numPr>
          <w:ilvl w:val="0"/>
          <w:numId w:val="1006"/>
        </w:numPr>
      </w:pPr>
      <w:r>
        <w:t xml:space="preserve">100% or near-100% cash collateral.</w:t>
      </w:r>
    </w:p>
    <w:p>
      <w:pPr>
        <w:pStyle w:val="Compact"/>
        <w:numPr>
          <w:ilvl w:val="0"/>
          <w:numId w:val="1006"/>
        </w:numPr>
      </w:pPr>
      <w:r>
        <w:t xml:space="preserve">Suitable for bank guarantee / short-term facility only.</w:t>
      </w:r>
    </w:p>
    <w:p>
      <w:pPr>
        <w:pStyle w:val="FirstParagraph"/>
      </w:pPr>
      <w:r>
        <w:rPr>
          <w:b/>
          <w:bCs/>
        </w:rPr>
        <w:t xml:space="preserve">Option C: Sponsor-supported bridge facility</w:t>
      </w:r>
    </w:p>
    <w:p>
      <w:pPr>
        <w:pStyle w:val="Compact"/>
        <w:numPr>
          <w:ilvl w:val="0"/>
          <w:numId w:val="1007"/>
        </w:numPr>
      </w:pPr>
      <w:r>
        <w:t xml:space="preserve">Fresh equity injection before disbursement.</w:t>
      </w:r>
    </w:p>
    <w:p>
      <w:pPr>
        <w:pStyle w:val="Compact"/>
        <w:numPr>
          <w:ilvl w:val="0"/>
          <w:numId w:val="1007"/>
        </w:numPr>
      </w:pPr>
      <w:r>
        <w:t xml:space="preserve">Corporate guarantee from parent / sponsor.</w:t>
      </w:r>
    </w:p>
    <w:p>
      <w:pPr>
        <w:pStyle w:val="Compact"/>
        <w:numPr>
          <w:ilvl w:val="0"/>
          <w:numId w:val="1007"/>
        </w:numPr>
      </w:pPr>
      <w:r>
        <w:t xml:space="preserve">Personal guarantees from key promoters/directors where legally acceptable.</w:t>
      </w:r>
    </w:p>
    <w:p>
      <w:pPr>
        <w:pStyle w:val="Compact"/>
        <w:numPr>
          <w:ilvl w:val="0"/>
          <w:numId w:val="1007"/>
        </w:numPr>
      </w:pPr>
      <w:r>
        <w:t xml:space="preserve">Short tenor, bullet repayment only if backed by confirmed funding event.</w:t>
      </w:r>
    </w:p>
    <w:p>
      <w:r>
        <w:pict>
          <v:rect style="width:0;height:1.5pt" o:hralign="center" o:hrstd="t" o:hr="t"/>
        </w:pict>
      </w:r>
    </w:p>
    <w:bookmarkEnd w:id="41"/>
    <w:bookmarkEnd w:id="42"/>
    <w:bookmarkStart w:id="43" w:name="proposed-conditions-precedent"/>
    <w:p>
      <w:pPr>
        <w:pStyle w:val="Heading2"/>
      </w:pPr>
      <w:r>
        <w:t xml:space="preserve">18. Proposed Conditions Precedent</w:t>
      </w:r>
    </w:p>
    <w:p>
      <w:pPr>
        <w:pStyle w:val="FirstParagraph"/>
      </w:pPr>
      <w:r>
        <w:t xml:space="preserve">Before any approval or disbursement:</w:t>
      </w:r>
    </w:p>
    <w:p>
      <w:pPr>
        <w:pStyle w:val="Compact"/>
        <w:numPr>
          <w:ilvl w:val="0"/>
          <w:numId w:val="1008"/>
        </w:numPr>
      </w:pPr>
      <w:r>
        <w:t xml:space="preserve">Latest management accounts not older than 60 days.</w:t>
      </w:r>
    </w:p>
    <w:p>
      <w:pPr>
        <w:pStyle w:val="Compact"/>
        <w:numPr>
          <w:ilvl w:val="0"/>
          <w:numId w:val="1008"/>
        </w:numPr>
      </w:pPr>
      <w:r>
        <w:t xml:space="preserve">12-month bank statements for all operating accounts.</w:t>
      </w:r>
    </w:p>
    <w:p>
      <w:pPr>
        <w:pStyle w:val="Compact"/>
        <w:numPr>
          <w:ilvl w:val="0"/>
          <w:numId w:val="1008"/>
        </w:numPr>
      </w:pPr>
      <w:r>
        <w:t xml:space="preserve">Receivables ageing with customer-wise details.</w:t>
      </w:r>
    </w:p>
    <w:p>
      <w:pPr>
        <w:pStyle w:val="Compact"/>
        <w:numPr>
          <w:ilvl w:val="0"/>
          <w:numId w:val="1008"/>
        </w:numPr>
      </w:pPr>
      <w:r>
        <w:t xml:space="preserve">Confirmation of top 10 customers and signed contracts.</w:t>
      </w:r>
    </w:p>
    <w:p>
      <w:pPr>
        <w:pStyle w:val="Compact"/>
        <w:numPr>
          <w:ilvl w:val="0"/>
          <w:numId w:val="1008"/>
        </w:numPr>
      </w:pPr>
      <w:r>
        <w:t xml:space="preserve">Evidence of FY2025 revenue pipeline.</w:t>
      </w:r>
    </w:p>
    <w:p>
      <w:pPr>
        <w:pStyle w:val="Compact"/>
        <w:numPr>
          <w:ilvl w:val="0"/>
          <w:numId w:val="1008"/>
        </w:numPr>
      </w:pPr>
      <w:r>
        <w:t xml:space="preserve">Shareholder support letter or committed equity injection.</w:t>
      </w:r>
    </w:p>
    <w:p>
      <w:pPr>
        <w:pStyle w:val="Compact"/>
        <w:numPr>
          <w:ilvl w:val="0"/>
          <w:numId w:val="1008"/>
        </w:numPr>
      </w:pPr>
      <w:r>
        <w:t xml:space="preserve">Details of related-party receivables and payables.</w:t>
      </w:r>
    </w:p>
    <w:p>
      <w:pPr>
        <w:pStyle w:val="Compact"/>
        <w:numPr>
          <w:ilvl w:val="0"/>
          <w:numId w:val="1008"/>
        </w:numPr>
      </w:pPr>
      <w:r>
        <w:t xml:space="preserve">Confirmation that related-party/director payables are subordinated to bank debt.</w:t>
      </w:r>
    </w:p>
    <w:p>
      <w:pPr>
        <w:pStyle w:val="Compact"/>
        <w:numPr>
          <w:ilvl w:val="0"/>
          <w:numId w:val="1008"/>
        </w:numPr>
      </w:pPr>
      <w:r>
        <w:t xml:space="preserve">ACRA business profile and charge search.</w:t>
      </w:r>
    </w:p>
    <w:p>
      <w:pPr>
        <w:pStyle w:val="Compact"/>
        <w:numPr>
          <w:ilvl w:val="0"/>
          <w:numId w:val="1008"/>
        </w:numPr>
      </w:pPr>
      <w:r>
        <w:t xml:space="preserve">Bureau checks on company and directors.</w:t>
      </w:r>
    </w:p>
    <w:p>
      <w:pPr>
        <w:pStyle w:val="Compact"/>
        <w:numPr>
          <w:ilvl w:val="0"/>
          <w:numId w:val="1008"/>
        </w:numPr>
      </w:pPr>
      <w:r>
        <w:t xml:space="preserve">Tax compliance confirmation.</w:t>
      </w:r>
    </w:p>
    <w:p>
      <w:pPr>
        <w:pStyle w:val="Compact"/>
        <w:numPr>
          <w:ilvl w:val="0"/>
          <w:numId w:val="1008"/>
        </w:numPr>
      </w:pPr>
      <w:r>
        <w:t xml:space="preserve">Board resolution approving borrowing.</w:t>
      </w:r>
    </w:p>
    <w:p>
      <w:pPr>
        <w:pStyle w:val="Compact"/>
        <w:numPr>
          <w:ilvl w:val="0"/>
          <w:numId w:val="1008"/>
        </w:numPr>
      </w:pPr>
      <w:r>
        <w:t xml:space="preserve">No material litigation / winding-up / statutory demand confirmation.</w:t>
      </w:r>
    </w:p>
    <w:p>
      <w:r>
        <w:pict>
          <v:rect style="width:0;height:1.5pt" o:hralign="center" o:hrstd="t" o:hr="t"/>
        </w:pict>
      </w:r>
    </w:p>
    <w:bookmarkEnd w:id="43"/>
    <w:bookmarkStart w:id="44" w:name="proposed-covenants-and-monitoring"/>
    <w:p>
      <w:pPr>
        <w:pStyle w:val="Heading2"/>
      </w:pPr>
      <w:r>
        <w:t xml:space="preserve">19. Proposed Covenants and Monitoring</w:t>
      </w:r>
    </w:p>
    <w:p>
      <w:pPr>
        <w:pStyle w:val="FirstParagraph"/>
      </w:pPr>
      <w:r>
        <w:t xml:space="preserve">If a facility is approved despite the above risks, the following covenants are recommended:</w:t>
      </w:r>
    </w:p>
    <w:p>
      <w:pPr>
        <w:pStyle w:val="Compact"/>
        <w:numPr>
          <w:ilvl w:val="0"/>
          <w:numId w:val="1009"/>
        </w:numPr>
      </w:pPr>
      <w:r>
        <w:t xml:space="preserve">Minimum cash balance covenant.</w:t>
      </w:r>
    </w:p>
    <w:p>
      <w:pPr>
        <w:pStyle w:val="Compact"/>
        <w:numPr>
          <w:ilvl w:val="0"/>
          <w:numId w:val="1009"/>
        </w:numPr>
      </w:pPr>
      <w:r>
        <w:t xml:space="preserve">Monthly bank statement submission.</w:t>
      </w:r>
    </w:p>
    <w:p>
      <w:pPr>
        <w:pStyle w:val="Compact"/>
        <w:numPr>
          <w:ilvl w:val="0"/>
          <w:numId w:val="1009"/>
        </w:numPr>
      </w:pPr>
      <w:r>
        <w:t xml:space="preserve">Quarterly management accounts.</w:t>
      </w:r>
    </w:p>
    <w:p>
      <w:pPr>
        <w:pStyle w:val="Compact"/>
        <w:numPr>
          <w:ilvl w:val="0"/>
          <w:numId w:val="1009"/>
        </w:numPr>
      </w:pPr>
      <w:r>
        <w:t xml:space="preserve">Quarterly debtor ageing.</w:t>
      </w:r>
    </w:p>
    <w:p>
      <w:pPr>
        <w:pStyle w:val="Compact"/>
        <w:numPr>
          <w:ilvl w:val="0"/>
          <w:numId w:val="1009"/>
        </w:numPr>
      </w:pPr>
      <w:r>
        <w:t xml:space="preserve">No dividend or capital withdrawal without lender consent.</w:t>
      </w:r>
    </w:p>
    <w:p>
      <w:pPr>
        <w:pStyle w:val="Compact"/>
        <w:numPr>
          <w:ilvl w:val="0"/>
          <w:numId w:val="1009"/>
        </w:numPr>
      </w:pPr>
      <w:r>
        <w:t xml:space="preserve">No additional debt without lender consent.</w:t>
      </w:r>
    </w:p>
    <w:p>
      <w:pPr>
        <w:pStyle w:val="Compact"/>
        <w:numPr>
          <w:ilvl w:val="0"/>
          <w:numId w:val="1009"/>
        </w:numPr>
      </w:pPr>
      <w:r>
        <w:t xml:space="preserve">Related-party transactions to be disclosed quarterly.</w:t>
      </w:r>
    </w:p>
    <w:p>
      <w:pPr>
        <w:pStyle w:val="Compact"/>
        <w:numPr>
          <w:ilvl w:val="0"/>
          <w:numId w:val="1009"/>
        </w:numPr>
      </w:pPr>
      <w:r>
        <w:t xml:space="preserve">Receivables from related parties excluded from borrowing base.</w:t>
      </w:r>
    </w:p>
    <w:p>
      <w:pPr>
        <w:pStyle w:val="Compact"/>
        <w:numPr>
          <w:ilvl w:val="0"/>
          <w:numId w:val="1009"/>
        </w:numPr>
      </w:pPr>
      <w:r>
        <w:t xml:space="preserve">Facility cancellation trigger if cash balance falls below agreed threshold.</w:t>
      </w:r>
    </w:p>
    <w:p>
      <w:pPr>
        <w:pStyle w:val="Compact"/>
        <w:numPr>
          <w:ilvl w:val="0"/>
          <w:numId w:val="1009"/>
        </w:numPr>
      </w:pPr>
      <w:r>
        <w:t xml:space="preserve">Facility review trigger if quarterly revenue is below plan by more than 20%.</w:t>
      </w:r>
    </w:p>
    <w:p>
      <w:pPr>
        <w:pStyle w:val="Compact"/>
        <w:numPr>
          <w:ilvl w:val="0"/>
          <w:numId w:val="1009"/>
        </w:numPr>
      </w:pPr>
      <w:r>
        <w:t xml:space="preserve">Mandatory prepayment from equity injection or major receivable collection.</w:t>
      </w:r>
    </w:p>
    <w:p>
      <w:pPr>
        <w:pStyle w:val="Compact"/>
        <w:numPr>
          <w:ilvl w:val="0"/>
          <w:numId w:val="1009"/>
        </w:numPr>
      </w:pPr>
      <w:r>
        <w:t xml:space="preserve">Annual financial statements to be provided within agreed timeline.</w:t>
      </w:r>
    </w:p>
    <w:p>
      <w:r>
        <w:pict>
          <v:rect style="width:0;height:1.5pt" o:hralign="center" o:hrstd="t" o:hr="t"/>
        </w:pict>
      </w:r>
    </w:p>
    <w:bookmarkEnd w:id="44"/>
    <w:bookmarkStart w:id="45" w:name="questions-for-management"/>
    <w:p>
      <w:pPr>
        <w:pStyle w:val="Heading2"/>
      </w:pPr>
      <w:r>
        <w:t xml:space="preserve">20. Questions for Management</w:t>
      </w:r>
    </w:p>
    <w:p>
      <w:pPr>
        <w:pStyle w:val="FirstParagraph"/>
      </w:pPr>
      <w:r>
        <w:t xml:space="preserve">Senior management should ask the borrower:</w:t>
      </w:r>
    </w:p>
    <w:p>
      <w:pPr>
        <w:pStyle w:val="Compact"/>
        <w:numPr>
          <w:ilvl w:val="0"/>
          <w:numId w:val="1010"/>
        </w:numPr>
      </w:pPr>
      <w:r>
        <w:t xml:space="preserve">What caused the FY2024 revenue decline?</w:t>
      </w:r>
    </w:p>
    <w:p>
      <w:pPr>
        <w:pStyle w:val="Compact"/>
        <w:numPr>
          <w:ilvl w:val="0"/>
          <w:numId w:val="1010"/>
        </w:numPr>
      </w:pPr>
      <w:r>
        <w:t xml:space="preserve">What is the confirmed revenue pipeline for FY2025?</w:t>
      </w:r>
    </w:p>
    <w:p>
      <w:pPr>
        <w:pStyle w:val="Compact"/>
        <w:numPr>
          <w:ilvl w:val="0"/>
          <w:numId w:val="1010"/>
        </w:numPr>
      </w:pPr>
      <w:r>
        <w:t xml:space="preserve">What portion of FY2025 revenue is already contracted?</w:t>
      </w:r>
    </w:p>
    <w:p>
      <w:pPr>
        <w:pStyle w:val="Compact"/>
        <w:numPr>
          <w:ilvl w:val="0"/>
          <w:numId w:val="1010"/>
        </w:numPr>
      </w:pPr>
      <w:r>
        <w:t xml:space="preserve">What is the monthly cash burn after FY2024 cost reductions?</w:t>
      </w:r>
    </w:p>
    <w:p>
      <w:pPr>
        <w:pStyle w:val="Compact"/>
        <w:numPr>
          <w:ilvl w:val="0"/>
          <w:numId w:val="1010"/>
        </w:numPr>
      </w:pPr>
      <w:r>
        <w:t xml:space="preserve">How will the company reach break-even?</w:t>
      </w:r>
    </w:p>
    <w:p>
      <w:pPr>
        <w:pStyle w:val="Compact"/>
        <w:numPr>
          <w:ilvl w:val="0"/>
          <w:numId w:val="1010"/>
        </w:numPr>
      </w:pPr>
      <w:r>
        <w:t xml:space="preserve">What costs can be reduced further without damaging delivery capacity?</w:t>
      </w:r>
    </w:p>
    <w:p>
      <w:pPr>
        <w:pStyle w:val="Compact"/>
        <w:numPr>
          <w:ilvl w:val="0"/>
          <w:numId w:val="1010"/>
        </w:numPr>
      </w:pPr>
      <w:r>
        <w:t xml:space="preserve">Are shareholders willing to inject additional equity?</w:t>
      </w:r>
    </w:p>
    <w:p>
      <w:pPr>
        <w:pStyle w:val="Compact"/>
        <w:numPr>
          <w:ilvl w:val="0"/>
          <w:numId w:val="1010"/>
        </w:numPr>
      </w:pPr>
      <w:r>
        <w:t xml:space="preserve">What are the settlement terms for holding company and related-party receivables?</w:t>
      </w:r>
    </w:p>
    <w:p>
      <w:pPr>
        <w:pStyle w:val="Compact"/>
        <w:numPr>
          <w:ilvl w:val="0"/>
          <w:numId w:val="1010"/>
        </w:numPr>
      </w:pPr>
      <w:r>
        <w:t xml:space="preserve">Are director / related-party payables subordinated?</w:t>
      </w:r>
    </w:p>
    <w:p>
      <w:pPr>
        <w:pStyle w:val="Compact"/>
        <w:numPr>
          <w:ilvl w:val="0"/>
          <w:numId w:val="1010"/>
        </w:numPr>
      </w:pPr>
      <w:r>
        <w:t xml:space="preserve">What is the concentration of revenue across top customers?</w:t>
      </w:r>
    </w:p>
    <w:p>
      <w:pPr>
        <w:pStyle w:val="Compact"/>
        <w:numPr>
          <w:ilvl w:val="0"/>
          <w:numId w:val="1010"/>
        </w:numPr>
      </w:pPr>
      <w:r>
        <w:t xml:space="preserve">What is the collection record of trade receivables?</w:t>
      </w:r>
    </w:p>
    <w:p>
      <w:pPr>
        <w:pStyle w:val="Compact"/>
        <w:numPr>
          <w:ilvl w:val="0"/>
          <w:numId w:val="1010"/>
        </w:numPr>
      </w:pPr>
      <w:r>
        <w:t xml:space="preserve">Are there any pending claims, tax dues, or statutory liabilities?</w:t>
      </w:r>
    </w:p>
    <w:p>
      <w:r>
        <w:pict>
          <v:rect style="width:0;height:1.5pt" o:hralign="center" o:hrstd="t" o:hr="t"/>
        </w:pict>
      </w:r>
    </w:p>
    <w:bookmarkEnd w:id="45"/>
    <w:bookmarkStart w:id="46" w:name="final-credit-opinion"/>
    <w:p>
      <w:pPr>
        <w:pStyle w:val="Heading2"/>
      </w:pPr>
      <w:r>
        <w:t xml:space="preserve">21. Final Credit Opinion</w:t>
      </w:r>
    </w:p>
    <w:p>
      <w:pPr>
        <w:pStyle w:val="FirstParagraph"/>
      </w:pPr>
      <w:r>
        <w:t xml:space="preserve">The borrower has a credible corporate structure and has demonstrated some market traction, but its current financial position is weak for lending. The business remains loss-making, cash flow negative, and dependent on shareholder funding or future revenue recovery. FY2024 shows a material deterioration in liquidity and capital cushion.</w:t>
      </w:r>
    </w:p>
    <w:p>
      <w:pPr>
        <w:pStyle w:val="BodyText"/>
      </w:pPr>
      <w:r>
        <w:t xml:space="preserve">From a credit approval perspective, the borrower should be treated as high risk. The company may be relationship-worthy or strategically interesting, but it is not bankable for unsecured exposure on the basis of current financials alone.</w:t>
      </w:r>
    </w:p>
    <w:p>
      <w:pPr>
        <w:pStyle w:val="BodyText"/>
      </w:pPr>
      <w:r>
        <w:rPr>
          <w:b/>
          <w:bCs/>
        </w:rPr>
        <w:t xml:space="preserve">Final recommendation:</w:t>
      </w:r>
      <w:r>
        <w:t xml:space="preserve"> </w:t>
      </w:r>
      <w:r>
        <w:t xml:space="preserve">Decline clean unsecured credit. Consider only restricted, collateralized, self-liquidating, or sponsor-backed exposure after further due diligence and evidence of fresh capital support.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2026-06-13T08:19:09Z</dcterms:created>
  <dcterms:modified xsi:type="dcterms:W3CDTF">2026-06-13T08:19:09Z</dcterms:modified>
</cp:coreProperties>
</file>

<file path=docProps/custom.xml><?xml version="1.0" encoding="utf-8"?>
<Properties xmlns="http://schemas.openxmlformats.org/officeDocument/2006/custom-properties" xmlns:vt="http://schemas.openxmlformats.org/officeDocument/2006/docPropsVTypes"/>
</file>