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 w:line="340"/>
        <w:jc w:val="both"/>
      </w:pPr>
      <w:r>
        <w:rPr>
          <w:rFonts w:ascii="Times New Roman" w:cs="Times New Roman" w:eastAsia="Times New Roman" w:hAnsi="Times New Roman"/>
          <w:b w:val="false"/>
          <w:bCs w:val="false"/>
          <w:i w:val="false"/>
          <w:iCs w:val="false"/>
          <w:sz w:val="24"/>
          <w:szCs w:val="24"/>
        </w:rPr>
        <w:t xml:space="preserve">EFFECTS OF DISPLAY POLARITY AND TEXT COLOUR ON VISUAL FATIGUE, OCULAR BEHAVIOUR AND TASK PERFORMANCE UNDER CONTROLLED AMBIENT ILLUMINATION</w:t>
      </w:r>
    </w:p>
    <w:p>
      <w:pPr>
        <w:spacing w:after="140" w:line="340"/>
        <w:jc w:val="both"/>
      </w:pPr>
      <w:r>
        <w:rPr>
          <w:rFonts w:ascii="Times New Roman" w:cs="Times New Roman" w:eastAsia="Times New Roman" w:hAnsi="Times New Roman"/>
          <w:b w:val="false"/>
          <w:bCs w:val="false"/>
          <w:i w:val="false"/>
          <w:iCs w:val="false"/>
          <w:sz w:val="24"/>
          <w:szCs w:val="24"/>
        </w:rPr>
        <w:t xml:space="preserve">A Synopsis Submitted in Partial Fulfilment of the Requirements for the</w:t>
      </w:r>
    </w:p>
    <w:p>
      <w:pPr>
        <w:spacing w:after="140" w:line="340"/>
        <w:jc w:val="both"/>
      </w:pPr>
      <w:r>
        <w:rPr>
          <w:rFonts w:ascii="Times New Roman" w:cs="Times New Roman" w:eastAsia="Times New Roman" w:hAnsi="Times New Roman"/>
          <w:b w:val="false"/>
          <w:bCs w:val="false"/>
          <w:i w:val="false"/>
          <w:iCs w:val="false"/>
          <w:sz w:val="24"/>
          <w:szCs w:val="24"/>
        </w:rPr>
        <w:t xml:space="preserve">DEGREE OF DOCTOR OF PHILOSOPHY</w:t>
      </w:r>
    </w:p>
    <w:p>
      <w:pPr>
        <w:spacing w:after="140" w:line="340"/>
        <w:jc w:val="both"/>
      </w:pPr>
      <w:r>
        <w:rPr>
          <w:rFonts w:ascii="Times New Roman" w:cs="Times New Roman" w:eastAsia="Times New Roman" w:hAnsi="Times New Roman"/>
          <w:b w:val="false"/>
          <w:bCs w:val="false"/>
          <w:i w:val="false"/>
          <w:iCs w:val="false"/>
          <w:sz w:val="24"/>
          <w:szCs w:val="24"/>
        </w:rPr>
        <w:t xml:space="preserve">in</w:t>
      </w:r>
    </w:p>
    <w:p>
      <w:pPr>
        <w:spacing w:after="140" w:line="340"/>
        <w:jc w:val="both"/>
      </w:pPr>
      <w:r>
        <w:rPr>
          <w:rFonts w:ascii="Times New Roman" w:cs="Times New Roman" w:eastAsia="Times New Roman" w:hAnsi="Times New Roman"/>
          <w:b w:val="false"/>
          <w:bCs w:val="false"/>
          <w:i w:val="false"/>
          <w:iCs w:val="false"/>
          <w:sz w:val="24"/>
          <w:szCs w:val="24"/>
        </w:rPr>
        <w:t xml:space="preserve">OPTOMETRY</w:t>
      </w:r>
    </w:p>
    <w:p>
      <w:pPr>
        <w:spacing w:after="140" w:line="340"/>
        <w:jc w:val="both"/>
      </w:pPr>
      <w:r>
        <w:rPr>
          <w:rFonts w:ascii="Times New Roman" w:cs="Times New Roman" w:eastAsia="Times New Roman" w:hAnsi="Times New Roman"/>
          <w:b w:val="false"/>
          <w:bCs w:val="false"/>
          <w:i w:val="false"/>
          <w:iCs w:val="false"/>
          <w:sz w:val="24"/>
          <w:szCs w:val="24"/>
        </w:rPr>
        <w:t xml:space="preserve">By</w:t>
      </w:r>
    </w:p>
    <w:p>
      <w:pPr>
        <w:spacing w:after="140" w:line="340"/>
        <w:jc w:val="both"/>
      </w:pPr>
      <w:r>
        <w:rPr>
          <w:rFonts w:ascii="Times New Roman" w:cs="Times New Roman" w:eastAsia="Times New Roman" w:hAnsi="Times New Roman"/>
          <w:b w:val="false"/>
          <w:bCs w:val="false"/>
          <w:i w:val="false"/>
          <w:iCs w:val="false"/>
          <w:sz w:val="24"/>
          <w:szCs w:val="24"/>
        </w:rPr>
        <w:t xml:space="preserve">GYANDEEP NATH</w:t>
      </w:r>
    </w:p>
    <w:p>
      <w:pPr>
        <w:spacing w:after="140" w:line="340"/>
        <w:jc w:val="both"/>
      </w:pPr>
      <w:r>
        <w:rPr>
          <w:rFonts w:ascii="Times New Roman" w:cs="Times New Roman" w:eastAsia="Times New Roman" w:hAnsi="Times New Roman"/>
          <w:b w:val="false"/>
          <w:bCs w:val="false"/>
          <w:i w:val="false"/>
          <w:iCs w:val="false"/>
          <w:sz w:val="24"/>
          <w:szCs w:val="24"/>
        </w:rPr>
        <w:t xml:space="preserve">Registration No. ………………………………………</w:t>
      </w:r>
    </w:p>
    <w:p>
      <w:pPr>
        <w:spacing w:after="140" w:line="340"/>
        <w:jc w:val="both"/>
      </w:pPr>
      <w:r>
        <w:rPr>
          <w:rFonts w:ascii="Times New Roman" w:cs="Times New Roman" w:eastAsia="Times New Roman" w:hAnsi="Times New Roman"/>
          <w:b w:val="false"/>
          <w:bCs w:val="false"/>
          <w:i w:val="false"/>
          <w:iCs w:val="false"/>
          <w:sz w:val="24"/>
          <w:szCs w:val="24"/>
        </w:rPr>
        <w:t xml:space="preserve">Assam down town University</w:t>
      </w:r>
    </w:p>
    <w:p>
      <w:pPr>
        <w:spacing w:after="140" w:line="340"/>
        <w:jc w:val="both"/>
      </w:pPr>
      <w:r>
        <w:rPr>
          <w:rFonts w:ascii="Times New Roman" w:cs="Times New Roman" w:eastAsia="Times New Roman" w:hAnsi="Times New Roman"/>
          <w:b w:val="false"/>
          <w:bCs w:val="false"/>
          <w:i w:val="false"/>
          <w:iCs w:val="false"/>
          <w:sz w:val="24"/>
          <w:szCs w:val="24"/>
        </w:rPr>
        <w:t xml:space="preserve">Panikhaiti, Guwahati-781026, Assam, India</w:t>
      </w:r>
    </w:p>
    <w:p>
      <w:pPr>
        <w:spacing w:after="140" w:line="340"/>
        <w:jc w:val="both"/>
      </w:pPr>
      <w:r>
        <w:rPr>
          <w:rFonts w:ascii="Times New Roman" w:cs="Times New Roman" w:eastAsia="Times New Roman" w:hAnsi="Times New Roman"/>
          <w:b w:val="false"/>
          <w:bCs w:val="false"/>
          <w:i w:val="false"/>
          <w:iCs w:val="false"/>
          <w:sz w:val="24"/>
          <w:szCs w:val="24"/>
        </w:rPr>
        <w:t xml:space="preserve">……………</w:t>
      </w:r>
    </w:p>
    <w:p>
      <w:r>
        <w:br w:type="page"/>
      </w:r>
    </w:p>
    <w:p>
      <w:pPr>
        <w:spacing w:after="140" w:line="340"/>
        <w:jc w:val="both"/>
      </w:pPr>
      <w:r>
        <w:rPr>
          <w:rFonts w:ascii="Times New Roman" w:cs="Times New Roman" w:eastAsia="Times New Roman" w:hAnsi="Times New Roman"/>
          <w:b w:val="false"/>
          <w:bCs w:val="false"/>
          <w:i w:val="false"/>
          <w:iCs w:val="false"/>
          <w:sz w:val="24"/>
          <w:szCs w:val="24"/>
        </w:rPr>
        <w:t xml:space="preserve">Name of the Scholar : Gyandeep Nath</w:t>
      </w:r>
    </w:p>
    <w:p>
      <w:pPr>
        <w:spacing w:after="140" w:line="340"/>
        <w:jc w:val="both"/>
      </w:pPr>
      <w:r>
        <w:rPr>
          <w:rFonts w:ascii="Times New Roman" w:cs="Times New Roman" w:eastAsia="Times New Roman" w:hAnsi="Times New Roman"/>
          <w:b w:val="false"/>
          <w:bCs w:val="false"/>
          <w:i w:val="false"/>
          <w:iCs w:val="false"/>
          <w:sz w:val="24"/>
          <w:szCs w:val="24"/>
        </w:rPr>
        <w:t xml:space="preserve">Faculty of Study : Faculty of Allied and Healthcare Sciences</w:t>
      </w:r>
    </w:p>
    <w:p>
      <w:pPr>
        <w:spacing w:after="140" w:line="340"/>
        <w:jc w:val="both"/>
      </w:pPr>
      <w:r>
        <w:rPr>
          <w:rFonts w:ascii="Times New Roman" w:cs="Times New Roman" w:eastAsia="Times New Roman" w:hAnsi="Times New Roman"/>
          <w:b w:val="false"/>
          <w:bCs w:val="false"/>
          <w:i w:val="false"/>
          <w:iCs w:val="false"/>
          <w:sz w:val="24"/>
          <w:szCs w:val="24"/>
        </w:rPr>
        <w:t xml:space="preserve">Department/Discipline : Optometry</w:t>
      </w:r>
    </w:p>
    <w:p>
      <w:pPr>
        <w:spacing w:after="140" w:line="340"/>
        <w:jc w:val="both"/>
      </w:pPr>
      <w:r>
        <w:rPr>
          <w:rFonts w:ascii="Times New Roman" w:cs="Times New Roman" w:eastAsia="Times New Roman" w:hAnsi="Times New Roman"/>
          <w:b w:val="false"/>
          <w:bCs w:val="false"/>
          <w:i w:val="false"/>
          <w:iCs w:val="false"/>
          <w:sz w:val="24"/>
          <w:szCs w:val="24"/>
        </w:rPr>
        <w:t xml:space="preserve">Batch/session : …………………………………………………</w:t>
      </w:r>
    </w:p>
    <w:p>
      <w:pPr>
        <w:spacing w:after="140" w:line="340"/>
        <w:jc w:val="both"/>
      </w:pPr>
      <w:r>
        <w:rPr>
          <w:rFonts w:ascii="Times New Roman" w:cs="Times New Roman" w:eastAsia="Times New Roman" w:hAnsi="Times New Roman"/>
          <w:b w:val="false"/>
          <w:bCs w:val="false"/>
          <w:i w:val="false"/>
          <w:iCs w:val="false"/>
          <w:sz w:val="24"/>
          <w:szCs w:val="24"/>
        </w:rPr>
        <w:t xml:space="preserve">Name of Supervisor (from AdtU) &amp; affiliation:</w:t>
      </w:r>
    </w:p>
    <w:p>
      <w:pPr>
        <w:spacing w:after="140" w:line="340"/>
        <w:jc w:val="both"/>
      </w:pPr>
      <w:r>
        <w:rPr>
          <w:rFonts w:ascii="Times New Roman" w:cs="Times New Roman" w:eastAsia="Times New Roman" w:hAnsi="Times New Roman"/>
          <w:b w:val="false"/>
          <w:bCs w:val="false"/>
          <w:i w:val="false"/>
          <w:iCs w:val="false"/>
          <w:sz w:val="24"/>
          <w:szCs w:val="24"/>
        </w:rPr>
        <w:t xml:space="preserve">……………………………………………………………………………….</w:t>
      </w:r>
    </w:p>
    <w:p>
      <w:pPr>
        <w:spacing w:after="140" w:line="340"/>
        <w:jc w:val="both"/>
      </w:pPr>
      <w:r>
        <w:rPr>
          <w:rFonts w:ascii="Times New Roman" w:cs="Times New Roman" w:eastAsia="Times New Roman" w:hAnsi="Times New Roman"/>
          <w:b w:val="false"/>
          <w:bCs w:val="false"/>
          <w:i w:val="false"/>
          <w:iCs w:val="false"/>
          <w:sz w:val="24"/>
          <w:szCs w:val="24"/>
        </w:rPr>
        <w:t xml:space="preserve">……………………………………………………………………………….</w:t>
      </w:r>
    </w:p>
    <w:p>
      <w:pPr>
        <w:spacing w:after="140" w:line="340"/>
        <w:jc w:val="both"/>
      </w:pPr>
      <w:r>
        <w:rPr>
          <w:rFonts w:ascii="Times New Roman" w:cs="Times New Roman" w:eastAsia="Times New Roman" w:hAnsi="Times New Roman"/>
          <w:b w:val="false"/>
          <w:bCs w:val="false"/>
          <w:i w:val="false"/>
          <w:iCs w:val="false"/>
          <w:sz w:val="24"/>
          <w:szCs w:val="24"/>
        </w:rPr>
        <w:t xml:space="preserve">Name of Supervisor &amp; affiliation:</w:t>
      </w:r>
    </w:p>
    <w:p>
      <w:pPr>
        <w:spacing w:after="140" w:line="340"/>
        <w:jc w:val="both"/>
      </w:pPr>
      <w:r>
        <w:rPr>
          <w:rFonts w:ascii="Times New Roman" w:cs="Times New Roman" w:eastAsia="Times New Roman" w:hAnsi="Times New Roman"/>
          <w:b w:val="false"/>
          <w:bCs w:val="false"/>
          <w:i w:val="false"/>
          <w:iCs w:val="false"/>
          <w:sz w:val="24"/>
          <w:szCs w:val="24"/>
        </w:rPr>
        <w:t xml:space="preserve">……………………………………………………………………………….</w:t>
      </w:r>
    </w:p>
    <w:p>
      <w:pPr>
        <w:spacing w:after="140" w:line="340"/>
        <w:jc w:val="both"/>
      </w:pPr>
      <w:r>
        <w:rPr>
          <w:rFonts w:ascii="Times New Roman" w:cs="Times New Roman" w:eastAsia="Times New Roman" w:hAnsi="Times New Roman"/>
          <w:b w:val="false"/>
          <w:bCs w:val="false"/>
          <w:i w:val="false"/>
          <w:iCs w:val="false"/>
          <w:sz w:val="24"/>
          <w:szCs w:val="24"/>
        </w:rPr>
        <w:t xml:space="preserve">……………………………………………………………………………….</w:t>
      </w:r>
    </w:p>
    <w:p>
      <w:r>
        <w:br w:type="page"/>
      </w:r>
    </w:p>
    <w:p>
      <w:pPr>
        <w:pStyle w:val="Heading1"/>
        <w:keepNext/>
        <w:spacing w:after="160" w:before="320"/>
      </w:pPr>
      <w:r>
        <w:rPr>
          <w:rFonts w:ascii="Times New Roman" w:cs="Times New Roman" w:eastAsia="Times New Roman" w:hAnsi="Times New Roman"/>
          <w:b/>
          <w:bCs/>
          <w:i w:val="false"/>
          <w:iCs w:val="false"/>
          <w:sz w:val="32"/>
          <w:szCs w:val="32"/>
        </w:rPr>
        <w:t xml:space="preserve">CHAPTER 1: INTRODUCTION</w:t>
      </w:r>
    </w:p>
    <w:p>
      <w:pPr>
        <w:pStyle w:val="Heading2"/>
        <w:keepNext/>
        <w:spacing w:after="160" w:before="280"/>
      </w:pPr>
      <w:r>
        <w:rPr>
          <w:rFonts w:ascii="Times New Roman" w:cs="Times New Roman" w:eastAsia="Times New Roman" w:hAnsi="Times New Roman"/>
          <w:b/>
          <w:bCs/>
          <w:i w:val="false"/>
          <w:iCs w:val="false"/>
          <w:sz w:val="28"/>
          <w:szCs w:val="28"/>
        </w:rPr>
        <w:t xml:space="preserve">1.1 Background</w:t>
      </w:r>
    </w:p>
    <w:p>
      <w:pPr>
        <w:spacing w:after="140" w:line="340"/>
        <w:jc w:val="both"/>
      </w:pPr>
      <w:r>
        <w:rPr>
          <w:rFonts w:ascii="Times New Roman" w:cs="Times New Roman" w:eastAsia="Times New Roman" w:hAnsi="Times New Roman"/>
          <w:b w:val="false"/>
          <w:bCs w:val="false"/>
          <w:i w:val="false"/>
          <w:iCs w:val="false"/>
          <w:sz w:val="24"/>
          <w:szCs w:val="24"/>
        </w:rPr>
        <w:t xml:space="preserve">Most reading now happens on a screen rather than on paper. Tablets in particular have become a routine medium for study, work and leisure reading, often for hours at a time.</w:t>
      </w:r>
    </w:p>
    <w:p>
      <w:pPr>
        <w:spacing w:after="140" w:line="340"/>
        <w:jc w:val="both"/>
      </w:pPr>
      <w:r>
        <w:rPr>
          <w:rFonts w:ascii="Times New Roman" w:cs="Times New Roman" w:eastAsia="Times New Roman" w:hAnsi="Times New Roman"/>
          <w:b w:val="false"/>
          <w:bCs w:val="false"/>
          <w:i w:val="false"/>
          <w:iCs w:val="false"/>
          <w:sz w:val="24"/>
          <w:szCs w:val="24"/>
        </w:rPr>
        <w:t xml:space="preserve">The difference between the two media is more than a matter of habit. A printed page is passive: it reflects whatever light falls on it, and its appearance is fixed once printed. A screen is active: it produces its own light, and almost every property of what it shows can be altered in software. Four such properties matter for this study, and it is worth defining them plainly before they are used again.</w:t>
      </w:r>
    </w:p>
    <w:p>
      <w:pPr>
        <w:spacing w:after="140" w:line="340"/>
        <w:jc w:val="both"/>
      </w:pPr>
      <w:r>
        <w:rPr>
          <w:rFonts w:ascii="Times New Roman" w:cs="Times New Roman" w:eastAsia="Times New Roman" w:hAnsi="Times New Roman"/>
          <w:b w:val="false"/>
          <w:bCs w:val="false"/>
          <w:i w:val="false"/>
          <w:iCs w:val="false"/>
          <w:sz w:val="24"/>
          <w:szCs w:val="24"/>
        </w:rPr>
        <w:t xml:space="preserve">Display polarity describes which of the two elements is lighter. </w:t>
      </w:r>
      <w:r>
        <w:rPr>
          <w:rFonts w:ascii="Times New Roman" w:cs="Times New Roman" w:eastAsia="Times New Roman" w:hAnsi="Times New Roman"/>
          <w:b w:val="false"/>
          <w:bCs w:val="false"/>
          <w:i/>
          <w:iCs/>
          <w:sz w:val="24"/>
          <w:szCs w:val="24"/>
        </w:rPr>
        <w:t xml:space="preserve">Positive polarity</w:t>
      </w:r>
      <w:r>
        <w:rPr>
          <w:rFonts w:ascii="Times New Roman" w:cs="Times New Roman" w:eastAsia="Times New Roman" w:hAnsi="Times New Roman"/>
          <w:b w:val="false"/>
          <w:bCs w:val="false"/>
          <w:i w:val="false"/>
          <w:iCs w:val="false"/>
          <w:sz w:val="24"/>
          <w:szCs w:val="24"/>
        </w:rPr>
        <w:t xml:space="preserve"> means dark text on a light background, the arrangement of a printed book. </w:t>
      </w:r>
      <w:r>
        <w:rPr>
          <w:rFonts w:ascii="Times New Roman" w:cs="Times New Roman" w:eastAsia="Times New Roman" w:hAnsi="Times New Roman"/>
          <w:b w:val="false"/>
          <w:bCs w:val="false"/>
          <w:i/>
          <w:iCs/>
          <w:sz w:val="24"/>
          <w:szCs w:val="24"/>
        </w:rPr>
        <w:t xml:space="preserve">Negative polarity</w:t>
      </w:r>
      <w:r>
        <w:rPr>
          <w:rFonts w:ascii="Times New Roman" w:cs="Times New Roman" w:eastAsia="Times New Roman" w:hAnsi="Times New Roman"/>
          <w:b w:val="false"/>
          <w:bCs w:val="false"/>
          <w:i w:val="false"/>
          <w:iCs w:val="false"/>
          <w:sz w:val="24"/>
          <w:szCs w:val="24"/>
        </w:rPr>
        <w:t xml:space="preserve"> means light text on a dark background, the arrangement popularly known as "dark mode". Text colour (or chromaticity) is the hue of the letters themselves, which need not be black or white. Luminance is the amount of light the screen emits. Luminance contrast is the difference in brightness between the letters and their background, and it is the property that determines whether text is easy or hard to resolve; it is not the same as colour difference, and two colours can look very different yet still be hard to read against one another.</w:t>
      </w:r>
    </w:p>
    <w:p>
      <w:pPr>
        <w:spacing w:after="140" w:line="340"/>
        <w:jc w:val="both"/>
      </w:pPr>
      <w:r>
        <w:rPr>
          <w:rFonts w:ascii="Times New Roman" w:cs="Times New Roman" w:eastAsia="Times New Roman" w:hAnsi="Times New Roman"/>
          <w:b w:val="false"/>
          <w:bCs w:val="false"/>
          <w:i w:val="false"/>
          <w:iCs w:val="false"/>
          <w:sz w:val="24"/>
          <w:szCs w:val="24"/>
        </w:rPr>
        <w:t xml:space="preserve">These four properties are chosen constantly, by interface designers when they build an application and by users every time they switch a theme. The adoption of dark mode across operating systems and applications is the most visible example. Such choices are therefore made at very large scale, yet evidence regarding the effects of combinations of these parameters during prolonged reading remains limited.</w:t>
      </w:r>
    </w:p>
    <w:p>
      <w:pPr>
        <w:spacing w:after="140" w:line="340"/>
        <w:jc w:val="both"/>
      </w:pPr>
      <w:r>
        <w:rPr>
          <w:rFonts w:ascii="Times New Roman" w:cs="Times New Roman" w:eastAsia="Times New Roman" w:hAnsi="Times New Roman"/>
          <w:b w:val="false"/>
          <w:bCs w:val="false"/>
          <w:i w:val="false"/>
          <w:iCs w:val="false"/>
          <w:sz w:val="24"/>
          <w:szCs w:val="24"/>
        </w:rPr>
        <w:t xml:space="preserve">Prolonged screen reading is associated with a recognised pattern of discomfort. Users report that the eyes feel dry, tired, sore or gritty, that vision blurs or takes a moment to refocus when they look up, and that headaches and neck or shoulder ache follow long sessions. When these complaints occur together and are attributable to display use, they are grouped under a single label. Two names are in circulation for the same entity: computer vision syndrome and digital eye strain. The terms are used almost interchangeably, and this document uses digital eye strain for the condition and computer vision syndrome where the literature or an instrument uses that name.</w:t>
      </w:r>
    </w:p>
    <w:p>
      <w:pPr>
        <w:spacing w:after="140" w:line="340"/>
        <w:jc w:val="both"/>
      </w:pPr>
      <w:r>
        <w:rPr>
          <w:rFonts w:ascii="Times New Roman" w:cs="Times New Roman" w:eastAsia="Times New Roman" w:hAnsi="Times New Roman"/>
          <w:b w:val="false"/>
          <w:bCs w:val="false"/>
          <w:i w:val="false"/>
          <w:iCs w:val="false"/>
          <w:sz w:val="24"/>
          <w:szCs w:val="24"/>
        </w:rPr>
        <w:t xml:space="preserve">The condition is common. A systematic review and meta-analysis of 103 cross-sectional studies covering 66,577 participants placed pooled prevalence at 69.0 per cent (95% CI 62.3–75.3), with individual estimates ranging from 12.1 to 97.3 per cent (Ccami-Bernal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Prevalence was higher among women (71.4 versus 61.8 per cent) and university students (76.1 per cent), and reviews report a further rise with remote work and study, reaching 50 to 60 per cent among children (Kaur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2022). The wide spread between studies is itself informative: case definitions remain unstandardised, and the prevalence synthesis closes by calling for one (Ccami-Bernal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w:t>
      </w:r>
    </w:p>
    <w:p>
      <w:pPr>
        <w:pStyle w:val="Heading2"/>
        <w:keepNext/>
        <w:spacing w:after="160" w:before="280"/>
      </w:pPr>
      <w:r>
        <w:rPr>
          <w:rFonts w:ascii="Times New Roman" w:cs="Times New Roman" w:eastAsia="Times New Roman" w:hAnsi="Times New Roman"/>
          <w:b/>
          <w:bCs/>
          <w:i w:val="false"/>
          <w:iCs w:val="false"/>
          <w:sz w:val="28"/>
          <w:szCs w:val="28"/>
        </w:rPr>
        <w:t xml:space="preserve">1.2 Biophysiological basis</w:t>
      </w:r>
    </w:p>
    <w:p>
      <w:pPr>
        <w:spacing w:after="140" w:line="340"/>
        <w:jc w:val="both"/>
      </w:pPr>
      <w:r>
        <w:rPr>
          <w:rFonts w:ascii="Times New Roman" w:cs="Times New Roman" w:eastAsia="Times New Roman" w:hAnsi="Times New Roman"/>
          <w:b w:val="false"/>
          <w:bCs w:val="false"/>
          <w:i w:val="false"/>
          <w:iCs w:val="false"/>
          <w:sz w:val="24"/>
          <w:szCs w:val="24"/>
        </w:rPr>
        <w:t xml:space="preserve">The symptoms above do not all arise the same way, and separating them is the key to measuring them. Two mechanisms are involved (Sheppard &amp; Wolffsohn, 2018).</w:t>
      </w:r>
    </w:p>
    <w:p>
      <w:pPr>
        <w:spacing w:after="140" w:line="340"/>
        <w:jc w:val="both"/>
      </w:pPr>
      <w:r>
        <w:rPr>
          <w:rFonts w:ascii="Times New Roman" w:cs="Times New Roman" w:eastAsia="Times New Roman" w:hAnsi="Times New Roman"/>
          <w:b w:val="false"/>
          <w:bCs w:val="false"/>
          <w:i w:val="false"/>
          <w:iCs w:val="false"/>
          <w:sz w:val="24"/>
          <w:szCs w:val="24"/>
        </w:rPr>
        <w:t xml:space="preserve">The first concerns focusing. To read at arm's length the eye must bend light more strongly, which it does by changing the shape of its lens; this is called accommodation. At the same time both eyes must turn slightly inward so that the two images fuse into one, which is called vergence. Holding both for a long period is effortful, and when that effort accumulates it produces difficulty focusing, blurred vision, a temporary shift towards short-sightedness after close work (near-work-induced transient myopia) and headache.</w:t>
      </w:r>
    </w:p>
    <w:p>
      <w:pPr>
        <w:spacing w:after="140" w:line="340"/>
        <w:jc w:val="both"/>
      </w:pPr>
      <w:r>
        <w:rPr>
          <w:rFonts w:ascii="Times New Roman" w:cs="Times New Roman" w:eastAsia="Times New Roman" w:hAnsi="Times New Roman"/>
          <w:b w:val="false"/>
          <w:bCs w:val="false"/>
          <w:i w:val="false"/>
          <w:iCs w:val="false"/>
          <w:sz w:val="24"/>
          <w:szCs w:val="24"/>
        </w:rPr>
        <w:t xml:space="preserve">The second concerns the ocular surface, the exposed front of the eye. It is kept smooth and comfortable by a thin tear film, which is renewed each time the eyelids close fully. When that renewal is disrupted, the surface dries and the result is dryness, burning and irritation. It is this second mechanism that the present study measures most directly.</w:t>
      </w:r>
    </w:p>
    <w:p>
      <w:pPr>
        <w:spacing w:after="140" w:line="340"/>
        <w:jc w:val="both"/>
      </w:pPr>
      <w:r>
        <w:rPr>
          <w:rFonts w:ascii="Times New Roman" w:cs="Times New Roman" w:eastAsia="Times New Roman" w:hAnsi="Times New Roman"/>
          <w:b w:val="false"/>
          <w:bCs w:val="false"/>
          <w:i w:val="false"/>
          <w:iCs w:val="false"/>
          <w:sz w:val="24"/>
          <w:szCs w:val="24"/>
        </w:rPr>
        <w:t xml:space="preserve">The ocular-surface route is the better described, and its logic is straightforward. A blink does two things: it spreads fresh tear fluid across the surface, and it draws an oily secretion from glands in the lid margins over that fluid, which slows evaporation. Concentrated screen work interferes with both. It reduces how often people blink, and it increases the proportion of blinks in which the lids approach one another but do not actually meet, which are termed incomplete blinks. An incomplete blink leaves part of the surface unwetted and unprotected, so the tear film thins and breaks up sooner, and the surface enters the recognised inflammatory cycle of dry eye disease (Fjaervoll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2022; Kamøy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2022). This is why the </w:t>
      </w:r>
      <w:r>
        <w:rPr>
          <w:rFonts w:ascii="Times New Roman" w:cs="Times New Roman" w:eastAsia="Times New Roman" w:hAnsi="Times New Roman"/>
          <w:b w:val="false"/>
          <w:bCs w:val="false"/>
          <w:i/>
          <w:iCs/>
          <w:sz w:val="24"/>
          <w:szCs w:val="24"/>
        </w:rPr>
        <w:t xml:space="preserve">completeness</w:t>
      </w:r>
      <w:r>
        <w:rPr>
          <w:rFonts w:ascii="Times New Roman" w:cs="Times New Roman" w:eastAsia="Times New Roman" w:hAnsi="Times New Roman"/>
          <w:b w:val="false"/>
          <w:bCs w:val="false"/>
          <w:i w:val="false"/>
          <w:iCs w:val="false"/>
          <w:sz w:val="24"/>
          <w:szCs w:val="24"/>
        </w:rPr>
        <w:t xml:space="preserve"> of blinking, and not simply how often it occurs, is the ocular measure this study treats as primary. Mechanistic review attributes display-associated dry eye principally to impaired blinking, finding insufficient support for parasympathetic or blue-light contributions (Fjaervoll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2022). The accommodative route is more heterogeneously evidenced but responds measurably to display parameters (Jiménez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2020; Redondo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2025). Although accommodative and vergence mechanisms are relevant to digital visual fatigue, the present study focuses on ocular-surface behaviour, visual performance and subjective fatigue, and does not measure accommodative responses directly; the accommodative pathway is therefore reviewed as mechanistic context rather than tested.</w:t>
      </w:r>
    </w:p>
    <w:p>
      <w:pPr>
        <w:pStyle w:val="Heading2"/>
        <w:keepNext/>
        <w:spacing w:after="160" w:before="280"/>
      </w:pPr>
      <w:r>
        <w:rPr>
          <w:rFonts w:ascii="Times New Roman" w:cs="Times New Roman" w:eastAsia="Times New Roman" w:hAnsi="Times New Roman"/>
          <w:b/>
          <w:bCs/>
          <w:i w:val="false"/>
          <w:iCs w:val="false"/>
          <w:sz w:val="28"/>
          <w:szCs w:val="28"/>
        </w:rPr>
        <w:t xml:space="preserve">1.3 Polarity and text colour, under controlled ambient illumination</w:t>
      </w:r>
    </w:p>
    <w:p>
      <w:pPr>
        <w:spacing w:after="140" w:line="340"/>
        <w:jc w:val="both"/>
      </w:pPr>
      <w:r>
        <w:rPr>
          <w:rFonts w:ascii="Times New Roman" w:cs="Times New Roman" w:eastAsia="Times New Roman" w:hAnsi="Times New Roman"/>
          <w:b w:val="false"/>
          <w:bCs w:val="false"/>
          <w:i w:val="false"/>
          <w:iCs w:val="false"/>
          <w:sz w:val="24"/>
          <w:szCs w:val="24"/>
        </w:rPr>
        <w:t xml:space="preserve">Having defined the display properties in §1.1 and the two symptom mechanisms in §1.2, the question is how the former act on the latter. Three properties are considered here, and each is reviewed in detail in Chapter 2.</w:t>
      </w:r>
    </w:p>
    <w:p>
      <w:pPr>
        <w:spacing w:after="140" w:line="340"/>
        <w:jc w:val="both"/>
      </w:pPr>
      <w:r>
        <w:rPr>
          <w:rFonts w:ascii="Times New Roman" w:cs="Times New Roman" w:eastAsia="Times New Roman" w:hAnsi="Times New Roman"/>
          <w:b w:val="false"/>
          <w:bCs w:val="false"/>
          <w:i w:val="false"/>
          <w:iCs w:val="false"/>
          <w:sz w:val="24"/>
          <w:szCs w:val="24"/>
        </w:rPr>
        <w:t xml:space="preserve">The most reliably replicated finding concerns polarity and is known as the positive polarity advantage: reading is better for dark text on a light field than for light text on a dark one. The accepted explanation runs through the pupil. A positive-polarity screen is mostly white, so it emits more light overall; more light entering the eye makes the pupil constrict; a smaller pupil admits light through the central, optically cleaner part of the lens and increases the range of distances held in focus; and the retinal image is consequently sharper (Buchner &amp; Baumgartner, 2007; Piepenbrock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2014a, 2014b). The advantage, in other words, is thought to be a matter of how much light the screen puts out rather than of colour preference. Text colour has been studied far less and, to the best of the available evidence, no study has comprehensively evaluated it in combination with polarity while measuring fatigue (Fan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Jiménez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2020). Any manipulation of text colour also manipulates luminance contrast, since chromatic pigments differ intrinsically in relative luminance and chromatic contrast cannot substitute for luminance contrast (Buchner &amp; Baumgartner, 2007), so an apparent effect of colour may be an effect of contrast unless the two are measured separately. Ambient light adds veiling luminance and drives pupil size independently of the display, acting on the same mechanism (Dobres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2017; Fan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For that reason it is held constant here rather than manipulated, at a single controlled level; the grounds for that decision, and what it forfeits, are set out in §2.4 and §3.4.</w:t>
      </w:r>
    </w:p>
    <w:p>
      <w:pPr>
        <w:pStyle w:val="Heading2"/>
        <w:keepNext/>
        <w:spacing w:after="160" w:before="280"/>
      </w:pPr>
      <w:r>
        <w:rPr>
          <w:rFonts w:ascii="Times New Roman" w:cs="Times New Roman" w:eastAsia="Times New Roman" w:hAnsi="Times New Roman"/>
          <w:b/>
          <w:bCs/>
          <w:i w:val="false"/>
          <w:iCs w:val="false"/>
          <w:sz w:val="28"/>
          <w:szCs w:val="28"/>
        </w:rPr>
        <w:t xml:space="preserve">1.4 Statement of the problem</w:t>
      </w:r>
    </w:p>
    <w:p>
      <w:pPr>
        <w:spacing w:after="140" w:line="340"/>
        <w:jc w:val="both"/>
      </w:pPr>
      <w:r>
        <w:rPr>
          <w:rFonts w:ascii="Times New Roman" w:cs="Times New Roman" w:eastAsia="Times New Roman" w:hAnsi="Times New Roman"/>
          <w:b w:val="false"/>
          <w:bCs w:val="false"/>
          <w:i w:val="false"/>
          <w:iCs w:val="false"/>
          <w:sz w:val="24"/>
          <w:szCs w:val="24"/>
        </w:rPr>
        <w:t xml:space="preserve">Roughly seven in ten screen users report symptoms of digital eye strain (Ccami-Bernal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yet the remedies most heavily promoted for it lack trial support. A systematic review and meta-analysis of 45 randomised controlled trials involving 4,497 participants found no high-certainty evidence for any therapy examined, including blue-blocking lenses, with only low-certainty benefit for oral omega-3 in dry-eye symptoms (Singh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2022). A separate review in younger users reached the same conclusion on blue-blocking filters, supporting ergonomic optimisation and shorter exposure instead (Mataftsi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2023).</w:t>
      </w:r>
    </w:p>
    <w:p>
      <w:pPr>
        <w:spacing w:after="140" w:line="340"/>
        <w:jc w:val="both"/>
      </w:pPr>
      <w:r>
        <w:rPr>
          <w:rFonts w:ascii="Times New Roman" w:cs="Times New Roman" w:eastAsia="Times New Roman" w:hAnsi="Times New Roman"/>
          <w:b w:val="false"/>
          <w:bCs w:val="false"/>
          <w:i w:val="false"/>
          <w:iCs w:val="false"/>
          <w:sz w:val="24"/>
          <w:szCs w:val="24"/>
        </w:rPr>
        <w:t xml:space="preserve">The properties of the displayed stimulus are upstream of the visual load, cost nothing to change and can be deployed universally, yet remain the least investigated. Work on polarity is confined to brief, threshold-limited tasks using achromatic text, and does not extend to prolonged reading, blinking behaviour or validated symptom measurement. Work on text colour is limited to short exposures without symptom outcomes (Jiménez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2020), or to a single polarity (Fan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No study has therefore estimated how polarity and text colour interact, separated hue from luminance contrast, or measured a validated symptom instrument alongside the ocular marker most specific to this condition. Compounding this, blink completeness has been measured by frame-by-frame manual annotation, restricting the literature to samples of eleven to fifty participants (Argilés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2015; Hirota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2013; Portello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2013).</w:t>
      </w:r>
    </w:p>
    <w:p>
      <w:pPr>
        <w:spacing w:after="140" w:line="340"/>
        <w:jc w:val="both"/>
      </w:pPr>
      <w:r>
        <w:rPr>
          <w:rFonts w:ascii="Times New Roman" w:cs="Times New Roman" w:eastAsia="Times New Roman" w:hAnsi="Times New Roman"/>
          <w:b w:val="false"/>
          <w:bCs w:val="false"/>
          <w:i w:val="false"/>
          <w:iCs w:val="false"/>
          <w:sz w:val="24"/>
          <w:szCs w:val="24"/>
        </w:rPr>
        <w:t xml:space="preserve">A clinician, designer or standards body therefore has no evidence base from which to advise how a tablet should be configured for prolonged reading, or how that configuration should change with the light in which it is used.</w:t>
      </w:r>
    </w:p>
    <w:p>
      <w:pPr>
        <w:pStyle w:val="Heading2"/>
        <w:keepNext/>
        <w:spacing w:after="160" w:before="280"/>
      </w:pPr>
      <w:r>
        <w:rPr>
          <w:rFonts w:ascii="Times New Roman" w:cs="Times New Roman" w:eastAsia="Times New Roman" w:hAnsi="Times New Roman"/>
          <w:b/>
          <w:bCs/>
          <w:i w:val="false"/>
          <w:iCs w:val="false"/>
          <w:sz w:val="28"/>
          <w:szCs w:val="28"/>
        </w:rPr>
        <w:t xml:space="preserve">1.5 Rationale of the study</w:t>
      </w:r>
    </w:p>
    <w:p>
      <w:pPr>
        <w:spacing w:after="140" w:line="340"/>
        <w:jc w:val="both"/>
      </w:pPr>
      <w:r>
        <w:rPr>
          <w:rFonts w:ascii="Times New Roman" w:cs="Times New Roman" w:eastAsia="Times New Roman" w:hAnsi="Times New Roman"/>
          <w:b w:val="false"/>
          <w:bCs w:val="false"/>
          <w:i w:val="false"/>
          <w:iCs w:val="false"/>
          <w:sz w:val="24"/>
          <w:szCs w:val="24"/>
        </w:rPr>
        <w:t xml:space="preserve">The study addresses a determinant of visual health that is common, freely modifiable and poorly evidenced, using a design that can answer a question the existing literature cannot.</w:t>
      </w:r>
    </w:p>
    <w:p>
      <w:pPr>
        <w:spacing w:after="140" w:line="340"/>
        <w:jc w:val="both"/>
      </w:pPr>
      <w:r>
        <w:rPr>
          <w:rFonts w:ascii="Times New Roman" w:cs="Times New Roman" w:eastAsia="Times New Roman" w:hAnsi="Times New Roman"/>
          <w:b w:val="false"/>
          <w:bCs w:val="false"/>
          <w:i w:val="false"/>
          <w:iCs w:val="false"/>
          <w:sz w:val="24"/>
          <w:szCs w:val="24"/>
        </w:rPr>
        <w:t xml:space="preserve">Because WCAG contrast on a white field falls as the text's relative luminance rises, while contrast on a black field rises with it, the rank order of the chromatic conditions is exactly inverted between the two polarities (Table 3.4). Blue and red are high in contrast on white but fall below the accessibility minimum on black, while yellow and green behave oppositely. The achromatic pair is the exception and the anchor: black-on-white and white-on-black both give 21.00:1, so that single pair varies polarity with luminance contrast held constant. The polarity-by-colour interaction therefore allows contrast-mediated effects to be modelled and distinguished from residual, hue-specific effects. The design does not experimentally isolate hue from luminance contrast, since the two cannot be orthogonalised within a fixed colour set; the separation is statistical rather than experimental and is interpreted accordingly. The ordering Fan and colleagues (2024) reported under negative polarity, red worst and yellow best, is precisely what luminance contrast alone would predict for those hues on a black background, and a single-polarity design cannot exclude that explanation.</w:t>
      </w:r>
    </w:p>
    <w:p>
      <w:pPr>
        <w:spacing w:after="140" w:line="340"/>
        <w:jc w:val="both"/>
      </w:pPr>
      <w:r>
        <w:rPr>
          <w:rFonts w:ascii="Times New Roman" w:cs="Times New Roman" w:eastAsia="Times New Roman" w:hAnsi="Times New Roman"/>
          <w:b w:val="false"/>
          <w:bCs w:val="false"/>
          <w:i w:val="false"/>
          <w:iCs w:val="false"/>
          <w:sz w:val="24"/>
          <w:szCs w:val="24"/>
        </w:rPr>
        <w:t xml:space="preserve">Holding ambient light constant isolates the polarity effect where it matters behaviourally, since devices are used extensively at night and in dim domestic settings, where negative polarity is predicted to cost most (Dobres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2017). Validating an automated measure of blink completeness would remove the annotation bottleneck that has kept this literature small. The findings bear on interface design, on accessibility standards whose contrast criterion does not account for polarity (World Wide Web Consortium, 2023), on public health guidance, and on the advice optometrists give patients, an area in which practitioners are documented to lack quality evidence (Sheppard &amp; Wolffsohn, 2018).</w:t>
      </w:r>
    </w:p>
    <w:p>
      <w:pPr>
        <w:pStyle w:val="Heading2"/>
        <w:keepNext/>
        <w:spacing w:after="160" w:before="280"/>
      </w:pPr>
      <w:r>
        <w:rPr>
          <w:rFonts w:ascii="Times New Roman" w:cs="Times New Roman" w:eastAsia="Times New Roman" w:hAnsi="Times New Roman"/>
          <w:b/>
          <w:bCs/>
          <w:i w:val="false"/>
          <w:iCs w:val="false"/>
          <w:sz w:val="28"/>
          <w:szCs w:val="28"/>
        </w:rPr>
        <w:t xml:space="preserve">1.6 Aim</w:t>
      </w:r>
    </w:p>
    <w:p>
      <w:pPr>
        <w:spacing w:after="140" w:line="340"/>
        <w:jc w:val="both"/>
      </w:pPr>
      <w:r>
        <w:rPr>
          <w:rFonts w:ascii="Times New Roman" w:cs="Times New Roman" w:eastAsia="Times New Roman" w:hAnsi="Times New Roman"/>
          <w:b w:val="false"/>
          <w:bCs w:val="false"/>
          <w:i w:val="false"/>
          <w:iCs w:val="false"/>
          <w:sz w:val="24"/>
          <w:szCs w:val="24"/>
        </w:rPr>
        <w:t xml:space="preserve">To determine the effects and interaction of display polarity and text colour on visual fatigue, ocular behaviour and visual task performance during prolonged tablet-based reading under controlled ambient illumination, and, as a secondary methodological objective, to evaluate the validity and feasibility of camera-based blink assessment as an objective measure of ocular response.</w:t>
      </w:r>
    </w:p>
    <w:p>
      <w:pPr>
        <w:pStyle w:val="Heading2"/>
        <w:keepNext/>
        <w:spacing w:after="160" w:before="280"/>
      </w:pPr>
      <w:r>
        <w:rPr>
          <w:rFonts w:ascii="Times New Roman" w:cs="Times New Roman" w:eastAsia="Times New Roman" w:hAnsi="Times New Roman"/>
          <w:b/>
          <w:bCs/>
          <w:i w:val="false"/>
          <w:iCs w:val="false"/>
          <w:sz w:val="28"/>
          <w:szCs w:val="28"/>
        </w:rPr>
        <w:t xml:space="preserve">1.7 Objectives</w:t>
      </w:r>
    </w:p>
    <w:p>
      <w:pPr>
        <w:spacing w:after="140" w:line="340"/>
        <w:jc w:val="both"/>
      </w:pPr>
      <w:r>
        <w:rPr>
          <w:rFonts w:ascii="Times New Roman" w:cs="Times New Roman" w:eastAsia="Times New Roman" w:hAnsi="Times New Roman"/>
          <w:b/>
          <w:bCs/>
          <w:i w:val="false"/>
          <w:iCs w:val="false"/>
          <w:sz w:val="24"/>
          <w:szCs w:val="24"/>
        </w:rPr>
        <w:t xml:space="preserve">Primary objectives</w:t>
      </w:r>
    </w:p>
    <w:p>
      <w:pPr>
        <w:spacing w:after="120" w:line="320"/>
        <w:ind w:left="600" w:hanging="600"/>
        <w:jc w:val="both"/>
      </w:pPr>
      <w:r>
        <w:rPr>
          <w:rFonts w:ascii="Times New Roman" w:cs="Times New Roman" w:eastAsia="Times New Roman" w:hAnsi="Times New Roman"/>
          <w:sz w:val="24"/>
          <w:szCs w:val="24"/>
        </w:rPr>
        <w:t xml:space="preserve">1.</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To investigate the individual and interactive effects of display polarity and text colour on subjective visual fatigue, ocular behaviour, cognitive workload and task performance during prolonged tablet reading, with ambient illumination held constant at a single controlled level.</w:t>
      </w:r>
    </w:p>
    <w:p>
      <w:pPr>
        <w:spacing w:after="120" w:line="320"/>
        <w:ind w:left="600" w:hanging="600"/>
        <w:jc w:val="both"/>
      </w:pPr>
      <w:r>
        <w:rPr>
          <w:rFonts w:ascii="Times New Roman" w:cs="Times New Roman" w:eastAsia="Times New Roman" w:hAnsi="Times New Roman"/>
          <w:sz w:val="24"/>
          <w:szCs w:val="24"/>
        </w:rPr>
        <w:t xml:space="preserve">2.</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To model the contribution of luminance contrast and to distinguish it from residual, hue-specific effects, by computing standards-based contrast metrics for every condition and entering contrast explicitly alongside colour.</w:t>
      </w:r>
    </w:p>
    <w:p>
      <w:pPr>
        <w:spacing w:after="120" w:line="320"/>
        <w:ind w:left="600" w:hanging="600"/>
        <w:jc w:val="both"/>
      </w:pPr>
      <w:r>
        <w:rPr>
          <w:rFonts w:ascii="Times New Roman" w:cs="Times New Roman" w:eastAsia="Times New Roman" w:hAnsi="Times New Roman"/>
          <w:sz w:val="24"/>
          <w:szCs w:val="24"/>
        </w:rPr>
        <w:t xml:space="preserve">3.</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To determine the combination of polarity and text colour that minimises visual fatigue and maximises task performance at that illumination level, and to examine how participant characteristics moderate these effects.</w:t>
      </w:r>
    </w:p>
    <w:p>
      <w:pPr>
        <w:spacing w:after="140" w:line="340"/>
        <w:jc w:val="both"/>
      </w:pPr>
      <w:r>
        <w:rPr>
          <w:rFonts w:ascii="Times New Roman" w:cs="Times New Roman" w:eastAsia="Times New Roman" w:hAnsi="Times New Roman"/>
          <w:b/>
          <w:bCs/>
          <w:i w:val="false"/>
          <w:iCs w:val="false"/>
          <w:sz w:val="24"/>
          <w:szCs w:val="24"/>
        </w:rPr>
        <w:t xml:space="preserve">Methodological objective</w:t>
      </w:r>
    </w:p>
    <w:p>
      <w:pPr>
        <w:spacing w:after="120" w:line="320"/>
        <w:ind w:left="600" w:hanging="600"/>
        <w:jc w:val="both"/>
      </w:pPr>
      <w:r>
        <w:rPr>
          <w:rFonts w:ascii="Times New Roman" w:cs="Times New Roman" w:eastAsia="Times New Roman" w:hAnsi="Times New Roman"/>
          <w:sz w:val="24"/>
          <w:szCs w:val="24"/>
        </w:rPr>
        <w:t xml:space="preserve">4.</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To establish the feasibility and criterion validity of tablet-based camera metrology for this purpose, including agreement of automated blink classification against manual annotation and the correspondence between subjective and objective indices.</w:t>
      </w:r>
    </w:p>
    <w:p>
      <w:pPr>
        <w:pStyle w:val="Heading2"/>
        <w:keepNext/>
        <w:spacing w:after="160" w:before="280"/>
      </w:pPr>
      <w:r>
        <w:rPr>
          <w:rFonts w:ascii="Times New Roman" w:cs="Times New Roman" w:eastAsia="Times New Roman" w:hAnsi="Times New Roman"/>
          <w:b/>
          <w:bCs/>
          <w:i w:val="false"/>
          <w:iCs w:val="false"/>
          <w:sz w:val="28"/>
          <w:szCs w:val="28"/>
        </w:rPr>
        <w:t xml:space="preserve">1.8 Hypotheses</w:t>
      </w:r>
    </w:p>
    <w:p>
      <w:pPr>
        <w:spacing w:after="140" w:line="340"/>
        <w:jc w:val="both"/>
      </w:pPr>
      <w:r>
        <w:rPr>
          <w:rFonts w:ascii="Times New Roman" w:cs="Times New Roman" w:eastAsia="Times New Roman" w:hAnsi="Times New Roman"/>
          <w:b/>
          <w:bCs/>
          <w:i w:val="false"/>
          <w:iCs w:val="false"/>
          <w:sz w:val="24"/>
          <w:szCs w:val="24"/>
        </w:rPr>
        <w:t xml:space="preserve">Null hypothesis (H₀).</w:t>
      </w:r>
      <w:r>
        <w:rPr>
          <w:rFonts w:ascii="Times New Roman" w:cs="Times New Roman" w:eastAsia="Times New Roman" w:hAnsi="Times New Roman"/>
          <w:b w:val="false"/>
          <w:bCs w:val="false"/>
          <w:i w:val="false"/>
          <w:iCs w:val="false"/>
          <w:sz w:val="24"/>
          <w:szCs w:val="24"/>
        </w:rPr>
        <w:t xml:space="preserve"> Display polarity and text colour, individually or in combination, have no significant effect on visual fatigue, ocular behaviour or visual task performance during prolonged tablet reading at a controlled ambient illumination of 300 lux.</w:t>
      </w:r>
    </w:p>
    <w:p>
      <w:pPr>
        <w:spacing w:after="140" w:line="340"/>
        <w:jc w:val="both"/>
      </w:pPr>
      <w:r>
        <w:rPr>
          <w:rFonts w:ascii="Times New Roman" w:cs="Times New Roman" w:eastAsia="Times New Roman" w:hAnsi="Times New Roman"/>
          <w:b/>
          <w:bCs/>
          <w:i w:val="false"/>
          <w:iCs w:val="false"/>
          <w:sz w:val="24"/>
          <w:szCs w:val="24"/>
        </w:rPr>
        <w:t xml:space="preserve">Alternative hypothesis (H₁).</w:t>
      </w:r>
      <w:r>
        <w:rPr>
          <w:rFonts w:ascii="Times New Roman" w:cs="Times New Roman" w:eastAsia="Times New Roman" w:hAnsi="Times New Roman"/>
          <w:b w:val="false"/>
          <w:bCs w:val="false"/>
          <w:i w:val="false"/>
          <w:iCs w:val="false"/>
          <w:sz w:val="24"/>
          <w:szCs w:val="24"/>
        </w:rPr>
        <w:t xml:space="preserve"> At least one of these factors, individually or in combination, significantly affects these outcomes.</w:t>
      </w:r>
    </w:p>
    <w:p>
      <w:pPr>
        <w:spacing w:after="140" w:line="340"/>
        <w:jc w:val="both"/>
      </w:pPr>
      <w:r>
        <w:rPr>
          <w:rFonts w:ascii="Times New Roman" w:cs="Times New Roman" w:eastAsia="Times New Roman" w:hAnsi="Times New Roman"/>
          <w:b w:val="false"/>
          <w:bCs w:val="false"/>
          <w:i w:val="false"/>
          <w:iCs w:val="false"/>
          <w:sz w:val="24"/>
          <w:szCs w:val="24"/>
        </w:rPr>
        <w:t xml:space="preserve">The following hypotheses are linked to the objectives.</w:t>
      </w:r>
    </w:p>
    <w:p>
      <w:pPr>
        <w:spacing w:after="140" w:line="340"/>
        <w:jc w:val="both"/>
      </w:pPr>
      <w:r>
        <w:rPr>
          <w:rFonts w:ascii="Times New Roman" w:cs="Times New Roman" w:eastAsia="Times New Roman" w:hAnsi="Times New Roman"/>
          <w:b/>
          <w:bCs/>
          <w:i w:val="false"/>
          <w:iCs w:val="false"/>
          <w:sz w:val="24"/>
          <w:szCs w:val="24"/>
        </w:rPr>
        <w:t xml:space="preserve">H₁ₐ (Objective 1, main effects).</w:t>
      </w:r>
      <w:r>
        <w:rPr>
          <w:rFonts w:ascii="Times New Roman" w:cs="Times New Roman" w:eastAsia="Times New Roman" w:hAnsi="Times New Roman"/>
          <w:b w:val="false"/>
          <w:bCs w:val="false"/>
          <w:i w:val="false"/>
          <w:iCs w:val="false"/>
          <w:sz w:val="24"/>
          <w:szCs w:val="24"/>
        </w:rPr>
        <w:t xml:space="preserve"> Positive polarity and higher luminance contrast are each associated with a lower incomplete-blink ratio, lower subjective visual fatigue and better task performance.</w:t>
      </w:r>
    </w:p>
    <w:p>
      <w:pPr>
        <w:spacing w:after="140" w:line="340"/>
        <w:jc w:val="both"/>
      </w:pPr>
      <w:r>
        <w:rPr>
          <w:rFonts w:ascii="Times New Roman" w:cs="Times New Roman" w:eastAsia="Times New Roman" w:hAnsi="Times New Roman"/>
          <w:b/>
          <w:bCs/>
          <w:i w:val="false"/>
          <w:iCs w:val="false"/>
          <w:sz w:val="24"/>
          <w:szCs w:val="24"/>
        </w:rPr>
        <w:t xml:space="preserve">H₁ᵦ (Objective 1, interactions).</w:t>
      </w:r>
      <w:r>
        <w:rPr>
          <w:rFonts w:ascii="Times New Roman" w:cs="Times New Roman" w:eastAsia="Times New Roman" w:hAnsi="Times New Roman"/>
          <w:b w:val="false"/>
          <w:bCs w:val="false"/>
          <w:i w:val="false"/>
          <w:iCs w:val="false"/>
          <w:sz w:val="24"/>
          <w:szCs w:val="24"/>
        </w:rPr>
        <w:t xml:space="preserve"> The effect of text colour depends on polarity. The further prediction that the cost of negative polarity is greater under dim than under moderate illumination (Dobres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2017) is not tested here, illumination being held constant; it is retained in §4.3 as a question this design deliberately forgoes.</w:t>
      </w:r>
    </w:p>
    <w:p>
      <w:pPr>
        <w:spacing w:after="140" w:line="340"/>
        <w:jc w:val="both"/>
      </w:pPr>
      <w:r>
        <w:rPr>
          <w:rFonts w:ascii="Times New Roman" w:cs="Times New Roman" w:eastAsia="Times New Roman" w:hAnsi="Times New Roman"/>
          <w:b/>
          <w:bCs/>
          <w:i w:val="false"/>
          <w:iCs w:val="false"/>
          <w:sz w:val="24"/>
          <w:szCs w:val="24"/>
        </w:rPr>
        <w:t xml:space="preserve">H₁ᵪ (Objective 2, contrast mediation).</w:t>
      </w:r>
      <w:r>
        <w:rPr>
          <w:rFonts w:ascii="Times New Roman" w:cs="Times New Roman" w:eastAsia="Times New Roman" w:hAnsi="Times New Roman"/>
          <w:b w:val="false"/>
          <w:bCs w:val="false"/>
          <w:i w:val="false"/>
          <w:iCs w:val="false"/>
          <w:sz w:val="24"/>
          <w:szCs w:val="24"/>
        </w:rPr>
        <w:t xml:space="preserve"> Colour-related variance is largely accounted for by luminance contrast. Because the computed contrast ordering reverses between the two polarities (Table 3.4), a contrast-mediated effect predicts a corresponding reversal of the colour ordering across polarity, whereas a residual hue-specific effect predicts a consistent ordering, with red the a priori candidate exception (Fan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w:t>
      </w:r>
    </w:p>
    <w:p>
      <w:pPr>
        <w:spacing w:after="140" w:line="340"/>
        <w:jc w:val="both"/>
      </w:pPr>
      <w:r>
        <w:rPr>
          <w:rFonts w:ascii="Times New Roman" w:cs="Times New Roman" w:eastAsia="Times New Roman" w:hAnsi="Times New Roman"/>
          <w:b/>
          <w:bCs/>
          <w:i w:val="false"/>
          <w:iCs w:val="false"/>
          <w:sz w:val="24"/>
          <w:szCs w:val="24"/>
        </w:rPr>
        <w:t xml:space="preserve">H₁ᵨ (Objective 3, moderation).</w:t>
      </w:r>
      <w:r>
        <w:rPr>
          <w:rFonts w:ascii="Times New Roman" w:cs="Times New Roman" w:eastAsia="Times New Roman" w:hAnsi="Times New Roman"/>
          <w:b w:val="false"/>
          <w:bCs w:val="false"/>
          <w:i w:val="false"/>
          <w:iCs w:val="false"/>
          <w:sz w:val="24"/>
          <w:szCs w:val="24"/>
        </w:rPr>
        <w:t xml:space="preserve"> Habitual display-mode preference, habitual screen exposure, typical ambient-lighting environment and digital literacy moderate the magnitude of these effects.</w:t>
      </w:r>
    </w:p>
    <w:p>
      <w:pPr>
        <w:pStyle w:val="Heading2"/>
        <w:keepNext/>
        <w:spacing w:after="160" w:before="280"/>
      </w:pPr>
      <w:r>
        <w:rPr>
          <w:rFonts w:ascii="Times New Roman" w:cs="Times New Roman" w:eastAsia="Times New Roman" w:hAnsi="Times New Roman"/>
          <w:b/>
          <w:bCs/>
          <w:i w:val="false"/>
          <w:iCs w:val="false"/>
          <w:sz w:val="28"/>
          <w:szCs w:val="28"/>
        </w:rPr>
        <w:t xml:space="preserve">1.9 Conceptual framework</w:t>
      </w:r>
    </w:p>
    <w:p>
      <w:pPr>
        <w:spacing w:after="140" w:line="340"/>
        <w:jc w:val="both"/>
      </w:pPr>
      <w:r>
        <w:rPr>
          <w:rFonts w:ascii="Times New Roman" w:cs="Times New Roman" w:eastAsia="Times New Roman" w:hAnsi="Times New Roman"/>
          <w:b w:val="false"/>
          <w:bCs w:val="false"/>
          <w:i w:val="false"/>
          <w:iCs w:val="false"/>
          <w:sz w:val="24"/>
          <w:szCs w:val="24"/>
        </w:rPr>
        <w:t xml:space="preserve">Display configuration and ambient illuminance act through two proximal mechanisms, summarised in Table 1.1. Along the optical route, display and room luminance determine pupil diameter, which governs aberration and depth of focus and therefore retinal image quality, legibility and accommodative demand. Along the ocular-surface route, visual and cognitive demand suppress blink rate and raise incomplete blinking, destabilising the tear film. Both routes feed the manifest outcomes of reading rate, comprehension, visual search, sustained attention, perceived comfort, workload and subjective fatigue. Time on task exerts its own effect and is counterbalanced and modelled (Abe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2014; Warm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2008); sleepiness, indexed by PERCLOS, and disengagement are treated as measured confounders; participant characteristics modulate susceptibility throughout.</w:t>
      </w:r>
    </w:p>
    <w:p>
      <w:pPr>
        <w:spacing w:after="140" w:line="340"/>
        <w:jc w:val="both"/>
      </w:pPr>
      <w:r>
        <w:rPr>
          <w:rFonts w:ascii="Times New Roman" w:cs="Times New Roman" w:eastAsia="Times New Roman" w:hAnsi="Times New Roman"/>
          <w:b/>
          <w:bCs/>
          <w:i w:val="false"/>
          <w:iCs w:val="false"/>
          <w:sz w:val="24"/>
          <w:szCs w:val="24"/>
        </w:rPr>
        <w:t xml:space="preserve">Table 1.1 — Conceptual framework: the two pathways from display configuration to measured outcome.</w:t>
      </w:r>
    </w:p>
    <w:tbl>
      <w:tblPr>
        <w:tblW w:type="dxa" w:w="9026"/>
        <w:tblBorders>
          <w:top w:val="single" w:color="8899AA" w:sz="4"/>
          <w:left w:val="single" w:color="8899AA" w:sz="4"/>
          <w:bottom w:val="single" w:color="8899AA" w:sz="4"/>
          <w:right w:val="single" w:color="8899AA" w:sz="4"/>
          <w:insideH w:val="single" w:color="BBC4CC" w:sz="2"/>
          <w:insideV w:val="single" w:color="BBC4CC" w:sz="2"/>
        </w:tblBorders>
      </w:tblPr>
      <w:tblGrid>
        <w:gridCol w:w="700"/>
        <w:gridCol w:w="1227"/>
        <w:gridCol w:w="994"/>
        <w:gridCol w:w="975"/>
        <w:gridCol w:w="1556"/>
        <w:gridCol w:w="1786"/>
        <w:gridCol w:w="1788"/>
      </w:tblGrid>
      <w:tr>
        <w:trPr>
          <w:tblHeader/>
        </w:trPr>
        <w:tc>
          <w:tcPr>
            <w:tcW w:type="dxa" w:w="700"/>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Pathway</w:t>
            </w:r>
          </w:p>
        </w:tc>
        <w:tc>
          <w:tcPr>
            <w:tcW w:type="dxa" w:w="1227"/>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Antecedent (independent variable)</w:t>
            </w:r>
          </w:p>
        </w:tc>
        <w:tc>
          <w:tcPr>
            <w:tcW w:type="dxa" w:w="994"/>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Proximal mechanism</w:t>
            </w:r>
          </w:p>
        </w:tc>
        <w:tc>
          <w:tcPr>
            <w:tcW w:type="dxa" w:w="975"/>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Mediating state</w:t>
            </w:r>
          </w:p>
        </w:tc>
        <w:tc>
          <w:tcPr>
            <w:tcW w:type="dxa" w:w="1556"/>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Symptom cluster</w:t>
            </w:r>
          </w:p>
        </w:tc>
        <w:tc>
          <w:tcPr>
            <w:tcW w:type="dxa" w:w="1786"/>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Measured outcome (P = primary, S = secondary)</w:t>
            </w:r>
          </w:p>
        </w:tc>
        <w:tc>
          <w:tcPr>
            <w:tcW w:type="dxa" w:w="1788"/>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Evidence</w:t>
            </w:r>
          </w:p>
        </w:tc>
      </w:tr>
      <w:tr>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Optical / refractive</w:t>
            </w:r>
          </w:p>
        </w:tc>
        <w:tc>
          <w:tcPr>
            <w:tcW w:type="dxa" w:w="122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Display luminance and polarity; ambient illuminance</w:t>
            </w:r>
          </w:p>
        </w:tc>
        <w:tc>
          <w:tcPr>
            <w:tcW w:type="dxa" w:w="994"/>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Pupil diameter → aberration and depth of focus</w:t>
            </w:r>
          </w:p>
        </w:tc>
        <w:tc>
          <w:tcPr>
            <w:tcW w:type="dxa" w:w="975"/>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Retinal image quality; accommodative demand</w:t>
            </w:r>
          </w:p>
        </w:tc>
        <w:tc>
          <w:tcPr>
            <w:tcW w:type="dxa" w:w="1556"/>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Accommodative/vergence (blur, focusing difficulty, headache, transient myopia)</w:t>
            </w:r>
          </w:p>
        </w:tc>
        <w:tc>
          <w:tcPr>
            <w:tcW w:type="dxa" w:w="1786"/>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Reading rate (S); comprehension (S); visual search (S); perceived clarity (S)</w:t>
            </w:r>
          </w:p>
        </w:tc>
        <w:tc>
          <w:tcPr>
            <w:tcW w:type="dxa" w:w="1788"/>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(Dobres </w:t>
            </w:r>
            <w:r>
              <w:rPr>
                <w:rFonts w:ascii="Times New Roman" w:cs="Times New Roman" w:eastAsia="Times New Roman" w:hAnsi="Times New Roman"/>
                <w:b w:val="false"/>
                <w:bCs w:val="false"/>
                <w:i/>
                <w:iCs/>
                <w:sz w:val="20"/>
                <w:szCs w:val="20"/>
              </w:rPr>
              <w:t xml:space="preserve">et al.</w:t>
            </w:r>
            <w:r>
              <w:rPr>
                <w:rFonts w:ascii="Times New Roman" w:cs="Times New Roman" w:eastAsia="Times New Roman" w:hAnsi="Times New Roman"/>
                <w:b w:val="false"/>
                <w:bCs w:val="false"/>
                <w:i w:val="false"/>
                <w:iCs w:val="false"/>
                <w:sz w:val="20"/>
                <w:szCs w:val="20"/>
              </w:rPr>
              <w:t xml:space="preserve">, 2017; Jiménez </w:t>
            </w:r>
            <w:r>
              <w:rPr>
                <w:rFonts w:ascii="Times New Roman" w:cs="Times New Roman" w:eastAsia="Times New Roman" w:hAnsi="Times New Roman"/>
                <w:b w:val="false"/>
                <w:bCs w:val="false"/>
                <w:i/>
                <w:iCs/>
                <w:sz w:val="20"/>
                <w:szCs w:val="20"/>
              </w:rPr>
              <w:t xml:space="preserve">et al.</w:t>
            </w:r>
            <w:r>
              <w:rPr>
                <w:rFonts w:ascii="Times New Roman" w:cs="Times New Roman" w:eastAsia="Times New Roman" w:hAnsi="Times New Roman"/>
                <w:b w:val="false"/>
                <w:bCs w:val="false"/>
                <w:i w:val="false"/>
                <w:iCs w:val="false"/>
                <w:sz w:val="20"/>
                <w:szCs w:val="20"/>
              </w:rPr>
              <w:t xml:space="preserve">, 2020; Piepenbrock </w:t>
            </w:r>
            <w:r>
              <w:rPr>
                <w:rFonts w:ascii="Times New Roman" w:cs="Times New Roman" w:eastAsia="Times New Roman" w:hAnsi="Times New Roman"/>
                <w:b w:val="false"/>
                <w:bCs w:val="false"/>
                <w:i/>
                <w:iCs/>
                <w:sz w:val="20"/>
                <w:szCs w:val="20"/>
              </w:rPr>
              <w:t xml:space="preserve">et al.</w:t>
            </w:r>
            <w:r>
              <w:rPr>
                <w:rFonts w:ascii="Times New Roman" w:cs="Times New Roman" w:eastAsia="Times New Roman" w:hAnsi="Times New Roman"/>
                <w:b w:val="false"/>
                <w:bCs w:val="false"/>
                <w:i w:val="false"/>
                <w:iCs w:val="false"/>
                <w:sz w:val="20"/>
                <w:szCs w:val="20"/>
              </w:rPr>
              <w:t xml:space="preserve">, 2014a, 2014b; Redondo </w:t>
            </w:r>
            <w:r>
              <w:rPr>
                <w:rFonts w:ascii="Times New Roman" w:cs="Times New Roman" w:eastAsia="Times New Roman" w:hAnsi="Times New Roman"/>
                <w:b w:val="false"/>
                <w:bCs w:val="false"/>
                <w:i/>
                <w:iCs/>
                <w:sz w:val="20"/>
                <w:szCs w:val="20"/>
              </w:rPr>
              <w:t xml:space="preserve">et al.</w:t>
            </w:r>
            <w:r>
              <w:rPr>
                <w:rFonts w:ascii="Times New Roman" w:cs="Times New Roman" w:eastAsia="Times New Roman" w:hAnsi="Times New Roman"/>
                <w:b w:val="false"/>
                <w:bCs w:val="false"/>
                <w:i w:val="false"/>
                <w:iCs w:val="false"/>
                <w:sz w:val="20"/>
                <w:szCs w:val="20"/>
              </w:rPr>
              <w:t xml:space="preserve">, 2025)</w:t>
            </w:r>
          </w:p>
        </w:tc>
      </w:tr>
      <w:tr>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Ocular surface</w:t>
            </w:r>
          </w:p>
        </w:tc>
        <w:tc>
          <w:tcPr>
            <w:tcW w:type="dxa" w:w="122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Luminance contrast; chromaticity; visual and cognitive demand</w:t>
            </w:r>
          </w:p>
        </w:tc>
        <w:tc>
          <w:tcPr>
            <w:tcW w:type="dxa" w:w="994"/>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Reduced blink rate; increased incomplete blinking</w:t>
            </w:r>
          </w:p>
        </w:tc>
        <w:tc>
          <w:tcPr>
            <w:tcW w:type="dxa" w:w="975"/>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Exposed evaporative area; tear-film stability</w:t>
            </w:r>
          </w:p>
        </w:tc>
        <w:tc>
          <w:tcPr>
            <w:tcW w:type="dxa" w:w="1556"/>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Ocular surface (dryness, burning, irritation)</w:t>
            </w:r>
          </w:p>
        </w:tc>
        <w:tc>
          <w:tcPr>
            <w:tcW w:type="dxa" w:w="1786"/>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Incomplete-blink ratio (P); CVS-Q change (key S); blink rate, inter-blink interval, VAS (S)</w:t>
            </w:r>
          </w:p>
        </w:tc>
        <w:tc>
          <w:tcPr>
            <w:tcW w:type="dxa" w:w="1788"/>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(Argilés </w:t>
            </w:r>
            <w:r>
              <w:rPr>
                <w:rFonts w:ascii="Times New Roman" w:cs="Times New Roman" w:eastAsia="Times New Roman" w:hAnsi="Times New Roman"/>
                <w:b w:val="false"/>
                <w:bCs w:val="false"/>
                <w:i/>
                <w:iCs/>
                <w:sz w:val="20"/>
                <w:szCs w:val="20"/>
              </w:rPr>
              <w:t xml:space="preserve">et al.</w:t>
            </w:r>
            <w:r>
              <w:rPr>
                <w:rFonts w:ascii="Times New Roman" w:cs="Times New Roman" w:eastAsia="Times New Roman" w:hAnsi="Times New Roman"/>
                <w:b w:val="false"/>
                <w:bCs w:val="false"/>
                <w:i w:val="false"/>
                <w:iCs w:val="false"/>
                <w:sz w:val="20"/>
                <w:szCs w:val="20"/>
              </w:rPr>
              <w:t xml:space="preserve">, 2015; Fjaervoll </w:t>
            </w:r>
            <w:r>
              <w:rPr>
                <w:rFonts w:ascii="Times New Roman" w:cs="Times New Roman" w:eastAsia="Times New Roman" w:hAnsi="Times New Roman"/>
                <w:b w:val="false"/>
                <w:bCs w:val="false"/>
                <w:i/>
                <w:iCs/>
                <w:sz w:val="20"/>
                <w:szCs w:val="20"/>
              </w:rPr>
              <w:t xml:space="preserve">et al.</w:t>
            </w:r>
            <w:r>
              <w:rPr>
                <w:rFonts w:ascii="Times New Roman" w:cs="Times New Roman" w:eastAsia="Times New Roman" w:hAnsi="Times New Roman"/>
                <w:b w:val="false"/>
                <w:bCs w:val="false"/>
                <w:i w:val="false"/>
                <w:iCs w:val="false"/>
                <w:sz w:val="20"/>
                <w:szCs w:val="20"/>
              </w:rPr>
              <w:t xml:space="preserve">, 2022; Hirota </w:t>
            </w:r>
            <w:r>
              <w:rPr>
                <w:rFonts w:ascii="Times New Roman" w:cs="Times New Roman" w:eastAsia="Times New Roman" w:hAnsi="Times New Roman"/>
                <w:b w:val="false"/>
                <w:bCs w:val="false"/>
                <w:i/>
                <w:iCs/>
                <w:sz w:val="20"/>
                <w:szCs w:val="20"/>
              </w:rPr>
              <w:t xml:space="preserve">et al.</w:t>
            </w:r>
            <w:r>
              <w:rPr>
                <w:rFonts w:ascii="Times New Roman" w:cs="Times New Roman" w:eastAsia="Times New Roman" w:hAnsi="Times New Roman"/>
                <w:b w:val="false"/>
                <w:bCs w:val="false"/>
                <w:i w:val="false"/>
                <w:iCs w:val="false"/>
                <w:sz w:val="20"/>
                <w:szCs w:val="20"/>
              </w:rPr>
              <w:t xml:space="preserve">, 2013; Kamøy </w:t>
            </w:r>
            <w:r>
              <w:rPr>
                <w:rFonts w:ascii="Times New Roman" w:cs="Times New Roman" w:eastAsia="Times New Roman" w:hAnsi="Times New Roman"/>
                <w:b w:val="false"/>
                <w:bCs w:val="false"/>
                <w:i/>
                <w:iCs/>
                <w:sz w:val="20"/>
                <w:szCs w:val="20"/>
              </w:rPr>
              <w:t xml:space="preserve">et al.</w:t>
            </w:r>
            <w:r>
              <w:rPr>
                <w:rFonts w:ascii="Times New Roman" w:cs="Times New Roman" w:eastAsia="Times New Roman" w:hAnsi="Times New Roman"/>
                <w:b w:val="false"/>
                <w:bCs w:val="false"/>
                <w:i w:val="false"/>
                <w:iCs w:val="false"/>
                <w:sz w:val="20"/>
                <w:szCs w:val="20"/>
              </w:rPr>
              <w:t xml:space="preserve">, 2022; Portello </w:t>
            </w:r>
            <w:r>
              <w:rPr>
                <w:rFonts w:ascii="Times New Roman" w:cs="Times New Roman" w:eastAsia="Times New Roman" w:hAnsi="Times New Roman"/>
                <w:b w:val="false"/>
                <w:bCs w:val="false"/>
                <w:i/>
                <w:iCs/>
                <w:sz w:val="20"/>
                <w:szCs w:val="20"/>
              </w:rPr>
              <w:t xml:space="preserve">et al.</w:t>
            </w:r>
            <w:r>
              <w:rPr>
                <w:rFonts w:ascii="Times New Roman" w:cs="Times New Roman" w:eastAsia="Times New Roman" w:hAnsi="Times New Roman"/>
                <w:b w:val="false"/>
                <w:bCs w:val="false"/>
                <w:i w:val="false"/>
                <w:iCs w:val="false"/>
                <w:sz w:val="20"/>
                <w:szCs w:val="20"/>
              </w:rPr>
              <w:t xml:space="preserve">, 2013)</w:t>
            </w:r>
          </w:p>
        </w:tc>
      </w:tr>
      <w:tr>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Cross-cutting</w:t>
            </w:r>
          </w:p>
        </w:tc>
        <w:tc>
          <w:tcPr>
            <w:tcW w:type="dxa" w:w="122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Time on task; sleepiness; disengagement; participant factors</w:t>
            </w:r>
          </w:p>
        </w:tc>
        <w:tc>
          <w:tcPr>
            <w:tcW w:type="dxa" w:w="994"/>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Resource depletion; arousal state; habituation</w:t>
            </w:r>
          </w:p>
        </w:tc>
        <w:tc>
          <w:tcPr>
            <w:tcW w:type="dxa" w:w="975"/>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Sustained-attention capacity; response criterion</w:t>
            </w:r>
          </w:p>
        </w:tc>
        <w:tc>
          <w:tcPr>
            <w:tcW w:type="dxa" w:w="1556"/>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w:t>
            </w:r>
          </w:p>
        </w:tc>
        <w:tc>
          <w:tcPr>
            <w:tcW w:type="dxa" w:w="1786"/>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RT variability and lapses (S); PERCLOS (covariate); engagement flags (quality control)</w:t>
            </w:r>
          </w:p>
        </w:tc>
        <w:tc>
          <w:tcPr>
            <w:tcW w:type="dxa" w:w="1788"/>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(Abe, 2023; Abe </w:t>
            </w:r>
            <w:r>
              <w:rPr>
                <w:rFonts w:ascii="Times New Roman" w:cs="Times New Roman" w:eastAsia="Times New Roman" w:hAnsi="Times New Roman"/>
                <w:b w:val="false"/>
                <w:bCs w:val="false"/>
                <w:i/>
                <w:iCs/>
                <w:sz w:val="20"/>
                <w:szCs w:val="20"/>
              </w:rPr>
              <w:t xml:space="preserve">et al.</w:t>
            </w:r>
            <w:r>
              <w:rPr>
                <w:rFonts w:ascii="Times New Roman" w:cs="Times New Roman" w:eastAsia="Times New Roman" w:hAnsi="Times New Roman"/>
                <w:b w:val="false"/>
                <w:bCs w:val="false"/>
                <w:i w:val="false"/>
                <w:iCs w:val="false"/>
                <w:sz w:val="20"/>
                <w:szCs w:val="20"/>
              </w:rPr>
              <w:t xml:space="preserve">, 2014; Jackson </w:t>
            </w:r>
            <w:r>
              <w:rPr>
                <w:rFonts w:ascii="Times New Roman" w:cs="Times New Roman" w:eastAsia="Times New Roman" w:hAnsi="Times New Roman"/>
                <w:b w:val="false"/>
                <w:bCs w:val="false"/>
                <w:i/>
                <w:iCs/>
                <w:sz w:val="20"/>
                <w:szCs w:val="20"/>
              </w:rPr>
              <w:t xml:space="preserve">et al.</w:t>
            </w:r>
            <w:r>
              <w:rPr>
                <w:rFonts w:ascii="Times New Roman" w:cs="Times New Roman" w:eastAsia="Times New Roman" w:hAnsi="Times New Roman"/>
                <w:b w:val="false"/>
                <w:bCs w:val="false"/>
                <w:i w:val="false"/>
                <w:iCs w:val="false"/>
                <w:sz w:val="20"/>
                <w:szCs w:val="20"/>
              </w:rPr>
              <w:t xml:space="preserve">, 2016; Warm </w:t>
            </w:r>
            <w:r>
              <w:rPr>
                <w:rFonts w:ascii="Times New Roman" w:cs="Times New Roman" w:eastAsia="Times New Roman" w:hAnsi="Times New Roman"/>
                <w:b w:val="false"/>
                <w:bCs w:val="false"/>
                <w:i/>
                <w:iCs/>
                <w:sz w:val="20"/>
                <w:szCs w:val="20"/>
              </w:rPr>
              <w:t xml:space="preserve">et al.</w:t>
            </w:r>
            <w:r>
              <w:rPr>
                <w:rFonts w:ascii="Times New Roman" w:cs="Times New Roman" w:eastAsia="Times New Roman" w:hAnsi="Times New Roman"/>
                <w:b w:val="false"/>
                <w:bCs w:val="false"/>
                <w:i w:val="false"/>
                <w:iCs w:val="false"/>
                <w:sz w:val="20"/>
                <w:szCs w:val="20"/>
              </w:rPr>
              <w:t xml:space="preserve">, 2008)</w:t>
            </w:r>
          </w:p>
        </w:tc>
      </w:tr>
    </w:tbl>
    <w:p>
      <w:pPr>
        <w:spacing w:after="200"/>
      </w:pPr>
      <w:r>
        <w:rPr>
          <w:sz w:val="12"/>
          <w:szCs w:val="12"/>
        </w:rPr>
        <w:t xml:space="preserve"/>
      </w:r>
    </w:p>
    <w:p>
      <w:pPr>
        <w:pBdr>
          <w:bottom w:val="single" w:color="AAAAAA" w:sz="6" w:space="1"/>
        </w:pBdr>
        <w:spacing w:after="200" w:before="120"/>
      </w:pPr>
      <w:r>
        <w:rPr>
          <w:rFonts w:ascii="Times New Roman" w:cs="Times New Roman" w:eastAsia="Times New Roman" w:hAnsi="Times New Roman"/>
          <w:sz w:val="24"/>
          <w:szCs w:val="24"/>
        </w:rPr>
        <w:t xml:space="preserve"/>
      </w:r>
    </w:p>
    <w:p>
      <w:pPr>
        <w:pStyle w:val="Heading1"/>
        <w:keepNext/>
        <w:spacing w:after="160" w:before="320"/>
      </w:pPr>
      <w:r>
        <w:rPr>
          <w:rFonts w:ascii="Times New Roman" w:cs="Times New Roman" w:eastAsia="Times New Roman" w:hAnsi="Times New Roman"/>
          <w:b/>
          <w:bCs/>
          <w:i w:val="false"/>
          <w:iCs w:val="false"/>
          <w:sz w:val="32"/>
          <w:szCs w:val="32"/>
        </w:rPr>
        <w:t xml:space="preserve">CHAPTER 2: REVIEW OF LITERATURE</w:t>
      </w:r>
    </w:p>
    <w:p>
      <w:pPr>
        <w:pStyle w:val="Heading2"/>
        <w:keepNext/>
        <w:spacing w:after="160" w:before="280"/>
      </w:pPr>
      <w:r>
        <w:rPr>
          <w:rFonts w:ascii="Times New Roman" w:cs="Times New Roman" w:eastAsia="Times New Roman" w:hAnsi="Times New Roman"/>
          <w:b/>
          <w:bCs/>
          <w:i w:val="false"/>
          <w:iCs w:val="false"/>
          <w:sz w:val="28"/>
          <w:szCs w:val="28"/>
        </w:rPr>
        <w:t xml:space="preserve">2.1 Burden, risk factors and measurement</w:t>
      </w:r>
    </w:p>
    <w:p>
      <w:pPr>
        <w:spacing w:after="140" w:line="340"/>
        <w:jc w:val="both"/>
      </w:pPr>
      <w:r>
        <w:rPr>
          <w:rFonts w:ascii="Times New Roman" w:cs="Times New Roman" w:eastAsia="Times New Roman" w:hAnsi="Times New Roman"/>
          <w:b w:val="false"/>
          <w:bCs w:val="false"/>
          <w:i w:val="false"/>
          <w:iCs w:val="false"/>
          <w:sz w:val="24"/>
          <w:szCs w:val="24"/>
        </w:rPr>
        <w:t xml:space="preserve">The pooled prevalence of 69.0 per cent across 103 studies conceals heterogeneity attributable partly to inconsistent case definition (Ccami-Bernal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One finding carries methodological force: prevalence was higher in studies that did not use the Computer Vision Syndrome Questionnaire (75.4 per cent), and meta-regression associated use of that instrument with lower estimates (Ccami-Bernal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so ad hoc checklists appear to inflate prevalence and a validated instrument with a defined cut-off is preferable. Reviews identify exposure beyond four to five hours daily, uncorrected refractive error, accommodative and vergence anomalies, altered blinking, close working distance, small font size, adverse lighting and contact-lens wear as risk factors (Ccami-Bernal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Mataftsi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2023; Pucker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Sheppard &amp; Wolffsohn, 2018), and note that preventive measures acting at different points of the dry-eye cycle may be complementary (Kamøy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2022).</w:t>
      </w:r>
    </w:p>
    <w:p>
      <w:pPr>
        <w:pStyle w:val="Heading2"/>
        <w:keepNext/>
        <w:spacing w:after="160" w:before="280"/>
      </w:pPr>
      <w:r>
        <w:rPr>
          <w:rFonts w:ascii="Times New Roman" w:cs="Times New Roman" w:eastAsia="Times New Roman" w:hAnsi="Times New Roman"/>
          <w:b/>
          <w:bCs/>
          <w:i w:val="false"/>
          <w:iCs w:val="false"/>
          <w:sz w:val="28"/>
          <w:szCs w:val="28"/>
        </w:rPr>
        <w:t xml:space="preserve">2.2 Display polarity</w:t>
      </w:r>
    </w:p>
    <w:p>
      <w:pPr>
        <w:spacing w:after="140" w:line="340"/>
        <w:jc w:val="both"/>
      </w:pPr>
      <w:r>
        <w:rPr>
          <w:rFonts w:ascii="Times New Roman" w:cs="Times New Roman" w:eastAsia="Times New Roman" w:hAnsi="Times New Roman"/>
          <w:b w:val="false"/>
          <w:bCs w:val="false"/>
          <w:i w:val="false"/>
          <w:iCs w:val="false"/>
          <w:sz w:val="24"/>
          <w:szCs w:val="24"/>
        </w:rPr>
        <w:t xml:space="preserve">Evidence for the positive polarity advantage is consistent across paradigms, tasks and display technologies (Table 2.1).</w:t>
      </w:r>
    </w:p>
    <w:p>
      <w:pPr>
        <w:spacing w:after="140" w:line="340"/>
        <w:jc w:val="both"/>
      </w:pPr>
      <w:r>
        <w:rPr>
          <w:rFonts w:ascii="Times New Roman" w:cs="Times New Roman" w:eastAsia="Times New Roman" w:hAnsi="Times New Roman"/>
          <w:b/>
          <w:bCs/>
          <w:i w:val="false"/>
          <w:iCs w:val="false"/>
          <w:sz w:val="24"/>
          <w:szCs w:val="24"/>
        </w:rPr>
        <w:t xml:space="preserve">Table 2.1 — Studies on display polarity.</w:t>
      </w:r>
      <w:r>
        <w:rPr>
          <w:rFonts w:ascii="Times New Roman" w:cs="Times New Roman" w:eastAsia="Times New Roman" w:hAnsi="Times New Roman"/>
          <w:b w:val="false"/>
          <w:bCs w:val="false"/>
          <w:i w:val="false"/>
          <w:iCs w:val="false"/>
          <w:sz w:val="24"/>
          <w:szCs w:val="24"/>
        </w:rPr>
        <w:t xml:space="preserve"> N denotes reported sample size; NR = not reported in the retrieved record.</w:t>
      </w:r>
    </w:p>
    <w:tbl>
      <w:tblPr>
        <w:tblW w:type="dxa" w:w="9026"/>
        <w:tblBorders>
          <w:top w:val="single" w:color="8899AA" w:sz="4"/>
          <w:left w:val="single" w:color="8899AA" w:sz="4"/>
          <w:bottom w:val="single" w:color="8899AA" w:sz="4"/>
          <w:right w:val="single" w:color="8899AA" w:sz="4"/>
          <w:insideH w:val="single" w:color="BBC4CC" w:sz="2"/>
          <w:insideV w:val="single" w:color="BBC4CC" w:sz="2"/>
        </w:tblBorders>
      </w:tblPr>
      <w:tblGrid>
        <w:gridCol w:w="700"/>
        <w:gridCol w:w="701"/>
        <w:gridCol w:w="700"/>
        <w:gridCol w:w="700"/>
        <w:gridCol w:w="2307"/>
        <w:gridCol w:w="2355"/>
        <w:gridCol w:w="1563"/>
      </w:tblGrid>
      <w:tr>
        <w:trPr>
          <w:tblHeader/>
        </w:trPr>
        <w:tc>
          <w:tcPr>
            <w:tcW w:type="dxa" w:w="700"/>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Sl.</w:t>
            </w:r>
          </w:p>
        </w:tc>
        <w:tc>
          <w:tcPr>
            <w:tcW w:type="dxa" w:w="701"/>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Study</w:t>
            </w:r>
          </w:p>
        </w:tc>
        <w:tc>
          <w:tcPr>
            <w:tcW w:type="dxa" w:w="700"/>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Year</w:t>
            </w:r>
          </w:p>
        </w:tc>
        <w:tc>
          <w:tcPr>
            <w:tcW w:type="dxa" w:w="700"/>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N</w:t>
            </w:r>
          </w:p>
        </w:tc>
        <w:tc>
          <w:tcPr>
            <w:tcW w:type="dxa" w:w="2307"/>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Design and manipulation</w:t>
            </w:r>
          </w:p>
        </w:tc>
        <w:tc>
          <w:tcPr>
            <w:tcW w:type="dxa" w:w="2355"/>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Principal finding</w:t>
            </w:r>
          </w:p>
        </w:tc>
        <w:tc>
          <w:tcPr>
            <w:tcW w:type="dxa" w:w="1563"/>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Limitation</w:t>
            </w:r>
          </w:p>
        </w:tc>
      </w:tr>
      <w:tr>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1</w:t>
            </w:r>
          </w:p>
        </w:tc>
        <w:tc>
          <w:tcPr>
            <w:tcW w:type="dxa" w:w="701"/>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Buchner &amp; Baumgartner</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2007</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NR</w:t>
            </w:r>
          </w:p>
        </w:tc>
        <w:tc>
          <w:tcPr>
            <w:tcW w:type="dxa" w:w="230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Proofreading; polarity × illumination × chromaticity</w:t>
            </w:r>
          </w:p>
        </w:tc>
        <w:tc>
          <w:tcPr>
            <w:tcW w:type="dxa" w:w="2355"/>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Polarity advantage independent of lighting and chromaticity; colour contrast cannot replace luminance contrast</w:t>
            </w:r>
          </w:p>
        </w:tc>
        <w:tc>
          <w:tcPr>
            <w:tcW w:type="dxa" w:w="1563"/>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Short task; no ocular or symptom measures</w:t>
            </w:r>
          </w:p>
        </w:tc>
      </w:tr>
      <w:tr>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w:t>
            </w:r>
          </w:p>
        </w:tc>
        <w:tc>
          <w:tcPr>
            <w:tcW w:type="dxa" w:w="701"/>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Piepenbrock </w:t>
            </w:r>
            <w:r>
              <w:rPr>
                <w:rFonts w:ascii="Times New Roman" w:cs="Times New Roman" w:eastAsia="Times New Roman" w:hAnsi="Times New Roman"/>
                <w:b w:val="false"/>
                <w:bCs w:val="false"/>
                <w:i/>
                <w:iCs/>
                <w:sz w:val="20"/>
                <w:szCs w:val="20"/>
              </w:rPr>
              <w:t xml:space="preserve">et al.</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2014b</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NR</w:t>
            </w:r>
          </w:p>
        </w:tc>
        <w:tc>
          <w:tcPr>
            <w:tcW w:type="dxa" w:w="230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Pupillometry with proofreading; polarity</w:t>
            </w:r>
          </w:p>
        </w:tc>
        <w:tc>
          <w:tcPr>
            <w:tcW w:type="dxa" w:w="2355"/>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Smaller pupils and better performance under positive polarity</w:t>
            </w:r>
          </w:p>
        </w:tc>
        <w:tc>
          <w:tcPr>
            <w:tcW w:type="dxa" w:w="1563"/>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Achromatic only; no fatigue outcome</w:t>
            </w:r>
          </w:p>
        </w:tc>
      </w:tr>
      <w:tr>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3</w:t>
            </w:r>
          </w:p>
        </w:tc>
        <w:tc>
          <w:tcPr>
            <w:tcW w:type="dxa" w:w="701"/>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Piepenbrock </w:t>
            </w:r>
            <w:r>
              <w:rPr>
                <w:rFonts w:ascii="Times New Roman" w:cs="Times New Roman" w:eastAsia="Times New Roman" w:hAnsi="Times New Roman"/>
                <w:b w:val="false"/>
                <w:bCs w:val="false"/>
                <w:i/>
                <w:iCs/>
                <w:sz w:val="20"/>
                <w:szCs w:val="20"/>
              </w:rPr>
              <w:t xml:space="preserve">et al.</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2014a</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NR</w:t>
            </w:r>
          </w:p>
        </w:tc>
        <w:tc>
          <w:tcPr>
            <w:tcW w:type="dxa" w:w="230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Proofreading; polarity × character size</w:t>
            </w:r>
          </w:p>
        </w:tc>
        <w:tc>
          <w:tcPr>
            <w:tcW w:type="dxa" w:w="2355"/>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Advantage increased linearly as character size decreased</w:t>
            </w:r>
          </w:p>
        </w:tc>
        <w:tc>
          <w:tcPr>
            <w:tcW w:type="dxa" w:w="1563"/>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Achromatic; brief exposure</w:t>
            </w:r>
          </w:p>
        </w:tc>
      </w:tr>
      <w:tr>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4</w:t>
            </w:r>
          </w:p>
        </w:tc>
        <w:tc>
          <w:tcPr>
            <w:tcW w:type="dxa" w:w="701"/>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Dobres </w:t>
            </w:r>
            <w:r>
              <w:rPr>
                <w:rFonts w:ascii="Times New Roman" w:cs="Times New Roman" w:eastAsia="Times New Roman" w:hAnsi="Times New Roman"/>
                <w:b w:val="false"/>
                <w:bCs w:val="false"/>
                <w:i/>
                <w:iCs/>
                <w:sz w:val="20"/>
                <w:szCs w:val="20"/>
              </w:rPr>
              <w:t xml:space="preserve">et al.</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2016</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NR</w:t>
            </w:r>
          </w:p>
        </w:tc>
        <w:tc>
          <w:tcPr>
            <w:tcW w:type="dxa" w:w="230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Adaptive-staircase psychophysics; typeface × polarity × size × age</w:t>
            </w:r>
          </w:p>
        </w:tc>
        <w:tc>
          <w:tcPr>
            <w:tcW w:type="dxa" w:w="2355"/>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Black-on-white more legible than white-on-black; typeface interacted with age</w:t>
            </w:r>
          </w:p>
        </w:tc>
        <w:tc>
          <w:tcPr>
            <w:tcW w:type="dxa" w:w="1563"/>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Glance reading only; threshold outcome</w:t>
            </w:r>
          </w:p>
        </w:tc>
      </w:tr>
      <w:tr>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5</w:t>
            </w:r>
          </w:p>
        </w:tc>
        <w:tc>
          <w:tcPr>
            <w:tcW w:type="dxa" w:w="701"/>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Dobres </w:t>
            </w:r>
            <w:r>
              <w:rPr>
                <w:rFonts w:ascii="Times New Roman" w:cs="Times New Roman" w:eastAsia="Times New Roman" w:hAnsi="Times New Roman"/>
                <w:b w:val="false"/>
                <w:bCs w:val="false"/>
                <w:i/>
                <w:iCs/>
                <w:sz w:val="20"/>
                <w:szCs w:val="20"/>
              </w:rPr>
              <w:t xml:space="preserve">et al.</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2017</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NR</w:t>
            </w:r>
          </w:p>
        </w:tc>
        <w:tc>
          <w:tcPr>
            <w:tcW w:type="dxa" w:w="230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Lexical decision; polarity × illumination × size</w:t>
            </w:r>
          </w:p>
        </w:tc>
        <w:tc>
          <w:tcPr>
            <w:tcW w:type="dxa" w:w="2355"/>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Thresholds worst for negative polarity under near-dark light</w:t>
            </w:r>
          </w:p>
        </w:tc>
        <w:tc>
          <w:tcPr>
            <w:tcW w:type="dxa" w:w="1563"/>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No fatigue or ocular-surface outcomes</w:t>
            </w:r>
          </w:p>
        </w:tc>
      </w:tr>
      <w:tr>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6</w:t>
            </w:r>
          </w:p>
        </w:tc>
        <w:tc>
          <w:tcPr>
            <w:tcW w:type="dxa" w:w="701"/>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Sethi &amp; Ziat</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2023</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NR</w:t>
            </w:r>
          </w:p>
        </w:tc>
        <w:tc>
          <w:tcPr>
            <w:tcW w:type="dxa" w:w="230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Eye tracking with subjective and affective measures; polarity × environment × age × task</w:t>
            </w:r>
          </w:p>
        </w:tc>
        <w:tc>
          <w:tcPr>
            <w:tcW w:type="dxa" w:w="2355"/>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Higher cognitive load under negative polarity, conditional on age and lighting</w:t>
            </w:r>
          </w:p>
        </w:tc>
        <w:tc>
          <w:tcPr>
            <w:tcW w:type="dxa" w:w="1563"/>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Search and writing tasks; no ocular-surface measures</w:t>
            </w:r>
          </w:p>
        </w:tc>
      </w:tr>
      <w:tr>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7</w:t>
            </w:r>
          </w:p>
        </w:tc>
        <w:tc>
          <w:tcPr>
            <w:tcW w:type="dxa" w:w="701"/>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Lin, C., </w:t>
            </w:r>
            <w:r>
              <w:rPr>
                <w:rFonts w:ascii="Times New Roman" w:cs="Times New Roman" w:eastAsia="Times New Roman" w:hAnsi="Times New Roman"/>
                <w:b w:val="false"/>
                <w:bCs w:val="false"/>
                <w:i/>
                <w:iCs/>
                <w:sz w:val="20"/>
                <w:szCs w:val="20"/>
              </w:rPr>
              <w:t xml:space="preserve">et al.</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2024</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36; 21</w:t>
            </w:r>
          </w:p>
        </w:tc>
        <w:tc>
          <w:tcPr>
            <w:tcW w:type="dxa" w:w="230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Visual-ergonomic optimisation; luminance × polarity at 300 lux</w:t>
            </w:r>
          </w:p>
        </w:tc>
        <w:tc>
          <w:tcPr>
            <w:tcW w:type="dxa" w:w="2355"/>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Positive polarity preferable; optimum display luminance 153 cd/m²</w:t>
            </w:r>
          </w:p>
        </w:tc>
        <w:tc>
          <w:tcPr>
            <w:tcW w:type="dxa" w:w="1563"/>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Desktop head-up display; office lighting only; achromatic</w:t>
            </w:r>
          </w:p>
        </w:tc>
      </w:tr>
    </w:tbl>
    <w:p>
      <w:pPr>
        <w:spacing w:after="200"/>
      </w:pPr>
      <w:r>
        <w:rPr>
          <w:sz w:val="12"/>
          <w:szCs w:val="12"/>
        </w:rPr>
        <w:t xml:space="preserve"/>
      </w:r>
    </w:p>
    <w:p>
      <w:pPr>
        <w:spacing w:after="140" w:line="340"/>
        <w:jc w:val="both"/>
      </w:pPr>
      <w:r>
        <w:rPr>
          <w:rFonts w:ascii="Times New Roman" w:cs="Times New Roman" w:eastAsia="Times New Roman" w:hAnsi="Times New Roman"/>
          <w:b w:val="false"/>
          <w:bCs w:val="false"/>
          <w:i w:val="false"/>
          <w:iCs w:val="false"/>
          <w:sz w:val="24"/>
          <w:szCs w:val="24"/>
        </w:rPr>
        <w:t xml:space="preserve">Two features of this corpus define the entry point for the present work. The paradigms are short and threshold-limited, and they do not measure blinking, validated symptoms, comprehension or fatigue accumulated over an hour; the stimuli are also almost entirely achromatic. An advantage in legibility does not license an inference about visual fatigue, although popular argument about dark mode routinely makes that inference in both directions. Sethi and Ziat (2023)'s finding that the cognitive cost of negative polarity depended jointly on age and lighting indicates that polarity effects are conditional rather than universal.</w:t>
      </w:r>
    </w:p>
    <w:p>
      <w:pPr>
        <w:pStyle w:val="Heading2"/>
        <w:keepNext/>
        <w:spacing w:after="160" w:before="280"/>
      </w:pPr>
      <w:r>
        <w:rPr>
          <w:rFonts w:ascii="Times New Roman" w:cs="Times New Roman" w:eastAsia="Times New Roman" w:hAnsi="Times New Roman"/>
          <w:b/>
          <w:bCs/>
          <w:i w:val="false"/>
          <w:iCs w:val="false"/>
          <w:sz w:val="28"/>
          <w:szCs w:val="28"/>
        </w:rPr>
        <w:t xml:space="preserve">2.3 Text colour and the contrast confound</w:t>
      </w:r>
    </w:p>
    <w:p>
      <w:pPr>
        <w:spacing w:after="140" w:line="340"/>
        <w:jc w:val="both"/>
      </w:pPr>
      <w:r>
        <w:rPr>
          <w:rFonts w:ascii="Times New Roman" w:cs="Times New Roman" w:eastAsia="Times New Roman" w:hAnsi="Times New Roman"/>
          <w:b w:val="false"/>
          <w:bCs w:val="false"/>
          <w:i w:val="false"/>
          <w:iCs w:val="false"/>
          <w:sz w:val="24"/>
          <w:szCs w:val="24"/>
        </w:rPr>
        <w:t xml:space="preserve">The literature manipulating text chromaticity is small and, as Table 2.2 shows, no located study has crossed colour with polarity while measuring fatigue.</w:t>
      </w:r>
    </w:p>
    <w:p>
      <w:pPr>
        <w:spacing w:after="140" w:line="340"/>
        <w:jc w:val="both"/>
      </w:pPr>
      <w:r>
        <w:rPr>
          <w:rFonts w:ascii="Times New Roman" w:cs="Times New Roman" w:eastAsia="Times New Roman" w:hAnsi="Times New Roman"/>
          <w:b/>
          <w:bCs/>
          <w:i w:val="false"/>
          <w:iCs w:val="false"/>
          <w:sz w:val="24"/>
          <w:szCs w:val="24"/>
        </w:rPr>
        <w:t xml:space="preserve">Table 2.2 — Studies on text colour and luminance contrast.</w:t>
      </w:r>
    </w:p>
    <w:tbl>
      <w:tblPr>
        <w:tblW w:type="dxa" w:w="9026"/>
        <w:tblBorders>
          <w:top w:val="single" w:color="8899AA" w:sz="4"/>
          <w:left w:val="single" w:color="8899AA" w:sz="4"/>
          <w:bottom w:val="single" w:color="8899AA" w:sz="4"/>
          <w:right w:val="single" w:color="8899AA" w:sz="4"/>
          <w:insideH w:val="single" w:color="BBC4CC" w:sz="2"/>
          <w:insideV w:val="single" w:color="BBC4CC" w:sz="2"/>
        </w:tblBorders>
      </w:tblPr>
      <w:tblGrid>
        <w:gridCol w:w="700"/>
        <w:gridCol w:w="700"/>
        <w:gridCol w:w="700"/>
        <w:gridCol w:w="700"/>
        <w:gridCol w:w="2241"/>
        <w:gridCol w:w="2240"/>
        <w:gridCol w:w="1745"/>
      </w:tblGrid>
      <w:tr>
        <w:trPr>
          <w:tblHeader/>
        </w:trPr>
        <w:tc>
          <w:tcPr>
            <w:tcW w:type="dxa" w:w="700"/>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Sl.</w:t>
            </w:r>
          </w:p>
        </w:tc>
        <w:tc>
          <w:tcPr>
            <w:tcW w:type="dxa" w:w="700"/>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Study</w:t>
            </w:r>
          </w:p>
        </w:tc>
        <w:tc>
          <w:tcPr>
            <w:tcW w:type="dxa" w:w="700"/>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Year</w:t>
            </w:r>
          </w:p>
        </w:tc>
        <w:tc>
          <w:tcPr>
            <w:tcW w:type="dxa" w:w="700"/>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N</w:t>
            </w:r>
          </w:p>
        </w:tc>
        <w:tc>
          <w:tcPr>
            <w:tcW w:type="dxa" w:w="2241"/>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Design and manipulation</w:t>
            </w:r>
          </w:p>
        </w:tc>
        <w:tc>
          <w:tcPr>
            <w:tcW w:type="dxa" w:w="2240"/>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Principal finding</w:t>
            </w:r>
          </w:p>
        </w:tc>
        <w:tc>
          <w:tcPr>
            <w:tcW w:type="dxa" w:w="1745"/>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Limitation</w:t>
            </w:r>
          </w:p>
        </w:tc>
      </w:tr>
      <w:tr>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1</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Buchner &amp; Baumgartner</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2007</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NR</w:t>
            </w:r>
          </w:p>
        </w:tc>
        <w:tc>
          <w:tcPr>
            <w:tcW w:type="dxa" w:w="2241"/>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Proofreading; colour contrast vs luminance contrast (red-on-green)</w:t>
            </w:r>
          </w:p>
        </w:tc>
        <w:tc>
          <w:tcPr>
            <w:tcW w:type="dxa" w:w="224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Colour contrast cannot compensate for absent luminance contrast</w:t>
            </w:r>
          </w:p>
        </w:tc>
        <w:tc>
          <w:tcPr>
            <w:tcW w:type="dxa" w:w="1745"/>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Single chromatic pair; short task</w:t>
            </w:r>
          </w:p>
        </w:tc>
      </w:tr>
      <w:tr>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Jiménez </w:t>
            </w:r>
            <w:r>
              <w:rPr>
                <w:rFonts w:ascii="Times New Roman" w:cs="Times New Roman" w:eastAsia="Times New Roman" w:hAnsi="Times New Roman"/>
                <w:b w:val="false"/>
                <w:bCs w:val="false"/>
                <w:i/>
                <w:iCs/>
                <w:sz w:val="20"/>
                <w:szCs w:val="20"/>
              </w:rPr>
              <w:t xml:space="preserve">et al.</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2020</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20</w:t>
            </w:r>
          </w:p>
        </w:tc>
        <w:tc>
          <w:tcPr>
            <w:tcW w:type="dxa" w:w="2241"/>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Binocular open-field autorefractometry; 14 text–background colour combinations, 2-min passages</w:t>
            </w:r>
          </w:p>
        </w:tc>
        <w:tc>
          <w:tcPr>
            <w:tcW w:type="dxa" w:w="224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Colour modulated accommodative and pupillary dynamics; low-contrast pairs rated less legible; reading speed unaffected</w:t>
            </w:r>
          </w:p>
        </w:tc>
        <w:tc>
          <w:tcPr>
            <w:tcW w:type="dxa" w:w="1745"/>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2-min exposure; no symptom-level outcome; lab instrumentation</w:t>
            </w:r>
          </w:p>
        </w:tc>
      </w:tr>
      <w:tr>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3</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Xie </w:t>
            </w:r>
            <w:r>
              <w:rPr>
                <w:rFonts w:ascii="Times New Roman" w:cs="Times New Roman" w:eastAsia="Times New Roman" w:hAnsi="Times New Roman"/>
                <w:b w:val="false"/>
                <w:bCs w:val="false"/>
                <w:i/>
                <w:iCs/>
                <w:sz w:val="20"/>
                <w:szCs w:val="20"/>
              </w:rPr>
              <w:t xml:space="preserve">et al.</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2021</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NR</w:t>
            </w:r>
          </w:p>
        </w:tc>
        <w:tc>
          <w:tcPr>
            <w:tcW w:type="dxa" w:w="2241"/>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Eye tracking and Likert scales; 2 colour modes × 6 luminance-contrast ratios at night</w:t>
            </w:r>
          </w:p>
        </w:tc>
        <w:tc>
          <w:tcPr>
            <w:tcW w:type="dxa" w:w="224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Dark mode raised blink rate and pupil accommodation, yet light mode was rated less fatiguing and preferred</w:t>
            </w:r>
          </w:p>
        </w:tc>
        <w:tc>
          <w:tcPr>
            <w:tcW w:type="dxa" w:w="1745"/>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Objective–subjective dissociation unexplained; night conditions only</w:t>
            </w:r>
          </w:p>
        </w:tc>
      </w:tr>
      <w:tr>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4</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Tian </w:t>
            </w:r>
            <w:r>
              <w:rPr>
                <w:rFonts w:ascii="Times New Roman" w:cs="Times New Roman" w:eastAsia="Times New Roman" w:hAnsi="Times New Roman"/>
                <w:b w:val="false"/>
                <w:bCs w:val="false"/>
                <w:i/>
                <w:iCs/>
                <w:sz w:val="20"/>
                <w:szCs w:val="20"/>
              </w:rPr>
              <w:t xml:space="preserve">et al.</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2022</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NR</w:t>
            </w:r>
          </w:p>
        </w:tc>
        <w:tc>
          <w:tcPr>
            <w:tcW w:type="dxa" w:w="2241"/>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Eye tracker and EEG; paradigm colour × screen brightness in a dark environment</w:t>
            </w:r>
          </w:p>
        </w:tc>
        <w:tc>
          <w:tcPr>
            <w:tcW w:type="dxa" w:w="224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Low screen brightness reduced fatigue; blue preferred to red; no EEG colour effect</w:t>
            </w:r>
          </w:p>
        </w:tc>
        <w:tc>
          <w:tcPr>
            <w:tcW w:type="dxa" w:w="1745"/>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Non-reading paradigm stimuli; no ocular-surface measures</w:t>
            </w:r>
          </w:p>
        </w:tc>
      </w:tr>
      <w:tr>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5</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Fan </w:t>
            </w:r>
            <w:r>
              <w:rPr>
                <w:rFonts w:ascii="Times New Roman" w:cs="Times New Roman" w:eastAsia="Times New Roman" w:hAnsi="Times New Roman"/>
                <w:b w:val="false"/>
                <w:bCs w:val="false"/>
                <w:i/>
                <w:iCs/>
                <w:sz w:val="20"/>
                <w:szCs w:val="20"/>
              </w:rPr>
              <w:t xml:space="preserve">et al.</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2024</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NR</w:t>
            </w:r>
          </w:p>
        </w:tc>
        <w:tc>
          <w:tcPr>
            <w:tcW w:type="dxa" w:w="2241"/>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Eye tracking during reading; ambient illumination × text colour, negative polarity only</w:t>
            </w:r>
          </w:p>
        </w:tc>
        <w:tc>
          <w:tcPr>
            <w:tcW w:type="dxa" w:w="224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Red most fatiguing, yellow least; performance better with yellow and white</w:t>
            </w:r>
          </w:p>
        </w:tc>
        <w:tc>
          <w:tcPr>
            <w:tcW w:type="dxa" w:w="1745"/>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Negative polarity only; hue confounded with contrast</w:t>
            </w:r>
          </w:p>
        </w:tc>
      </w:tr>
    </w:tbl>
    <w:p>
      <w:pPr>
        <w:spacing w:after="200"/>
      </w:pPr>
      <w:r>
        <w:rPr>
          <w:sz w:val="12"/>
          <w:szCs w:val="12"/>
        </w:rPr>
        <w:t xml:space="preserve"/>
      </w:r>
    </w:p>
    <w:p>
      <w:pPr>
        <w:spacing w:after="140" w:line="340"/>
        <w:jc w:val="both"/>
      </w:pPr>
      <w:r>
        <w:rPr>
          <w:rFonts w:ascii="Times New Roman" w:cs="Times New Roman" w:eastAsia="Times New Roman" w:hAnsi="Times New Roman"/>
          <w:b w:val="false"/>
          <w:bCs w:val="false"/>
          <w:i w:val="false"/>
          <w:iCs w:val="false"/>
          <w:sz w:val="24"/>
          <w:szCs w:val="24"/>
        </w:rPr>
        <w:t xml:space="preserve">Two limitations recur. Exposure is brief, so duration is a plausible moderator of the discrepancy between studies finding no effect on reading speed (Jiménez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2020) and those finding effects on fatigue and performance (Fan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 which neither was designed to estimate. More consequentially, none separates hue from luminance contrast: chromatic pigments differ in relative luminance, so a fixed colour set rendered on light and dark fields produces unequal, polarity-asymmetric contrasts, making contrast an inseparable covarying property of any colour manipulation that must be modelled (Buchner &amp; Baumgartner, 2007). Xie and colleagues (2021) add a complication directly relevant here: their objective and subjective indices pointed in opposite directions, dark mode improving blink measures while light mode was preferred and rated less fatiguing.</w:t>
      </w:r>
    </w:p>
    <w:p>
      <w:pPr>
        <w:spacing w:after="140" w:line="340"/>
        <w:jc w:val="both"/>
      </w:pPr>
      <w:r>
        <w:rPr>
          <w:rFonts w:ascii="Times New Roman" w:cs="Times New Roman" w:eastAsia="Times New Roman" w:hAnsi="Times New Roman"/>
          <w:b w:val="false"/>
          <w:bCs w:val="false"/>
          <w:i w:val="false"/>
          <w:iCs w:val="false"/>
          <w:sz w:val="24"/>
          <w:szCs w:val="24"/>
        </w:rPr>
        <w:t xml:space="preserve">The choice of contrast metric is also consequential. The ratio defined in the accessibility guidelines is the de facto design standard (World Wide Web Consortium, 2023), but takes no account of text size, weight or polarity, and is held to overstate contrast for dark colour pairs, so nominally compliant light-on-dark combinations can be hard to read and can produce halation. A perceptual replacement incorporating polarity and typography is under development. That a polarity-blind criterion governs a domain in which polarity is among the strongest determinants of legibility (Buchner &amp; Baumgartner, 2007; Dobres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2017; Piepenbrock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2014a, 2014b) is a problem to which empirical work can contribute.</w:t>
      </w:r>
    </w:p>
    <w:p>
      <w:pPr>
        <w:pStyle w:val="Heading2"/>
        <w:keepNext/>
        <w:spacing w:after="160" w:before="280"/>
      </w:pPr>
      <w:r>
        <w:rPr>
          <w:rFonts w:ascii="Times New Roman" w:cs="Times New Roman" w:eastAsia="Times New Roman" w:hAnsi="Times New Roman"/>
          <w:b/>
          <w:bCs/>
          <w:i w:val="false"/>
          <w:iCs w:val="false"/>
          <w:sz w:val="28"/>
          <w:szCs w:val="28"/>
        </w:rPr>
        <w:t xml:space="preserve">2.4 Ambient illumination, and the decision to control rather than manipulate it</w:t>
      </w:r>
    </w:p>
    <w:p>
      <w:pPr>
        <w:spacing w:after="140" w:line="340"/>
        <w:jc w:val="both"/>
      </w:pPr>
      <w:r>
        <w:rPr>
          <w:rFonts w:ascii="Times New Roman" w:cs="Times New Roman" w:eastAsia="Times New Roman" w:hAnsi="Times New Roman"/>
          <w:b w:val="false"/>
          <w:bCs w:val="false"/>
          <w:i w:val="false"/>
          <w:iCs w:val="false"/>
          <w:sz w:val="24"/>
          <w:szCs w:val="24"/>
        </w:rPr>
        <w:t xml:space="preserve">Illumination modulates the legibility cost of negative polarity (Dobres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2017) and the fatigue cost of coloured text under it (Fan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consistent with a pupil-mediated account in which room light and display polarity trade against one another (Table 2.3).</w:t>
      </w:r>
    </w:p>
    <w:p>
      <w:pPr>
        <w:spacing w:after="140" w:line="340"/>
        <w:jc w:val="both"/>
      </w:pPr>
      <w:r>
        <w:rPr>
          <w:rFonts w:ascii="Times New Roman" w:cs="Times New Roman" w:eastAsia="Times New Roman" w:hAnsi="Times New Roman"/>
          <w:b/>
          <w:bCs/>
          <w:i w:val="false"/>
          <w:iCs w:val="false"/>
          <w:sz w:val="24"/>
          <w:szCs w:val="24"/>
        </w:rPr>
        <w:t xml:space="preserve">Table 2.3 — Studies on ambient illumination as a moderator.</w:t>
      </w:r>
    </w:p>
    <w:tbl>
      <w:tblPr>
        <w:tblW w:type="dxa" w:w="9026"/>
        <w:tblBorders>
          <w:top w:val="single" w:color="8899AA" w:sz="4"/>
          <w:left w:val="single" w:color="8899AA" w:sz="4"/>
          <w:bottom w:val="single" w:color="8899AA" w:sz="4"/>
          <w:right w:val="single" w:color="8899AA" w:sz="4"/>
          <w:insideH w:val="single" w:color="BBC4CC" w:sz="2"/>
          <w:insideV w:val="single" w:color="BBC4CC" w:sz="2"/>
        </w:tblBorders>
      </w:tblPr>
      <w:tblGrid>
        <w:gridCol w:w="700"/>
        <w:gridCol w:w="765"/>
        <w:gridCol w:w="700"/>
        <w:gridCol w:w="700"/>
        <w:gridCol w:w="1771"/>
        <w:gridCol w:w="2592"/>
        <w:gridCol w:w="1798"/>
      </w:tblGrid>
      <w:tr>
        <w:trPr>
          <w:tblHeader/>
        </w:trPr>
        <w:tc>
          <w:tcPr>
            <w:tcW w:type="dxa" w:w="700"/>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Sl.</w:t>
            </w:r>
          </w:p>
        </w:tc>
        <w:tc>
          <w:tcPr>
            <w:tcW w:type="dxa" w:w="765"/>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Study</w:t>
            </w:r>
          </w:p>
        </w:tc>
        <w:tc>
          <w:tcPr>
            <w:tcW w:type="dxa" w:w="700"/>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Year</w:t>
            </w:r>
          </w:p>
        </w:tc>
        <w:tc>
          <w:tcPr>
            <w:tcW w:type="dxa" w:w="700"/>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N</w:t>
            </w:r>
          </w:p>
        </w:tc>
        <w:tc>
          <w:tcPr>
            <w:tcW w:type="dxa" w:w="1771"/>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Illumination manipulated</w:t>
            </w:r>
          </w:p>
        </w:tc>
        <w:tc>
          <w:tcPr>
            <w:tcW w:type="dxa" w:w="2592"/>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Principal finding</w:t>
            </w:r>
          </w:p>
        </w:tc>
        <w:tc>
          <w:tcPr>
            <w:tcW w:type="dxa" w:w="1798"/>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Limitation</w:t>
            </w:r>
          </w:p>
        </w:tc>
      </w:tr>
      <w:tr>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1</w:t>
            </w:r>
          </w:p>
        </w:tc>
        <w:tc>
          <w:tcPr>
            <w:tcW w:type="dxa" w:w="765"/>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Buchner &amp; Baumgartner</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2007</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NR</w:t>
            </w:r>
          </w:p>
        </w:tc>
        <w:tc>
          <w:tcPr>
            <w:tcW w:type="dxa" w:w="1771"/>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Darkness vs typical office lighting</w:t>
            </w:r>
          </w:p>
        </w:tc>
        <w:tc>
          <w:tcPr>
            <w:tcW w:type="dxa" w:w="2592"/>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Positive polarity advantage independent of ambient lighting</w:t>
            </w:r>
          </w:p>
        </w:tc>
        <w:tc>
          <w:tcPr>
            <w:tcW w:type="dxa" w:w="1798"/>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Two coarse levels; proofreading only</w:t>
            </w:r>
          </w:p>
        </w:tc>
      </w:tr>
      <w:tr>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w:t>
            </w:r>
          </w:p>
        </w:tc>
        <w:tc>
          <w:tcPr>
            <w:tcW w:type="dxa" w:w="765"/>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Dobres </w:t>
            </w:r>
            <w:r>
              <w:rPr>
                <w:rFonts w:ascii="Times New Roman" w:cs="Times New Roman" w:eastAsia="Times New Roman" w:hAnsi="Times New Roman"/>
                <w:b w:val="false"/>
                <w:bCs w:val="false"/>
                <w:i/>
                <w:iCs/>
                <w:sz w:val="20"/>
                <w:szCs w:val="20"/>
              </w:rPr>
              <w:t xml:space="preserve">et al.</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2017</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NR</w:t>
            </w:r>
          </w:p>
        </w:tc>
        <w:tc>
          <w:tcPr>
            <w:tcW w:type="dxa" w:w="1771"/>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Near-dark vs daylight-like</w:t>
            </w:r>
          </w:p>
        </w:tc>
        <w:tc>
          <w:tcPr>
            <w:tcW w:type="dxa" w:w="2592"/>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Negative polarity worst under near-dark; raising illumination or switching polarity restored legibility</w:t>
            </w:r>
          </w:p>
        </w:tc>
        <w:tc>
          <w:tcPr>
            <w:tcW w:type="dxa" w:w="1798"/>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Threshold legibility only; no fatigue outcome</w:t>
            </w:r>
          </w:p>
        </w:tc>
      </w:tr>
      <w:tr>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3</w:t>
            </w:r>
          </w:p>
        </w:tc>
        <w:tc>
          <w:tcPr>
            <w:tcW w:type="dxa" w:w="765"/>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Xie </w:t>
            </w:r>
            <w:r>
              <w:rPr>
                <w:rFonts w:ascii="Times New Roman" w:cs="Times New Roman" w:eastAsia="Times New Roman" w:hAnsi="Times New Roman"/>
                <w:b w:val="false"/>
                <w:bCs w:val="false"/>
                <w:i/>
                <w:iCs/>
                <w:sz w:val="20"/>
                <w:szCs w:val="20"/>
              </w:rPr>
              <w:t xml:space="preserve">et al.</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2021</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NR</w:t>
            </w:r>
          </w:p>
        </w:tc>
        <w:tc>
          <w:tcPr>
            <w:tcW w:type="dxa" w:w="1771"/>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Low ambient illumination at night, 6 contrast ratios</w:t>
            </w:r>
          </w:p>
        </w:tc>
        <w:tc>
          <w:tcPr>
            <w:tcW w:type="dxa" w:w="2592"/>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Colour mode and contrast jointly affected fatigue under low light</w:t>
            </w:r>
          </w:p>
        </w:tc>
        <w:tc>
          <w:tcPr>
            <w:tcW w:type="dxa" w:w="1798"/>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Night conditions only</w:t>
            </w:r>
          </w:p>
        </w:tc>
      </w:tr>
      <w:tr>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4</w:t>
            </w:r>
          </w:p>
        </w:tc>
        <w:tc>
          <w:tcPr>
            <w:tcW w:type="dxa" w:w="765"/>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Tian </w:t>
            </w:r>
            <w:r>
              <w:rPr>
                <w:rFonts w:ascii="Times New Roman" w:cs="Times New Roman" w:eastAsia="Times New Roman" w:hAnsi="Times New Roman"/>
                <w:b w:val="false"/>
                <w:bCs w:val="false"/>
                <w:i/>
                <w:iCs/>
                <w:sz w:val="20"/>
                <w:szCs w:val="20"/>
              </w:rPr>
              <w:t xml:space="preserve">et al.</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2022</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NR</w:t>
            </w:r>
          </w:p>
        </w:tc>
        <w:tc>
          <w:tcPr>
            <w:tcW w:type="dxa" w:w="1771"/>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Dark environment, graded screen brightness</w:t>
            </w:r>
          </w:p>
        </w:tc>
        <w:tc>
          <w:tcPr>
            <w:tcW w:type="dxa" w:w="2592"/>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Low screen brightness in darkness reduced fatigue; sensitivity most vulnerable at medium-high brightness</w:t>
            </w:r>
          </w:p>
        </w:tc>
        <w:tc>
          <w:tcPr>
            <w:tcW w:type="dxa" w:w="1798"/>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Non-reading stimuli</w:t>
            </w:r>
          </w:p>
        </w:tc>
      </w:tr>
      <w:tr>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5</w:t>
            </w:r>
          </w:p>
        </w:tc>
        <w:tc>
          <w:tcPr>
            <w:tcW w:type="dxa" w:w="765"/>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Fan </w:t>
            </w:r>
            <w:r>
              <w:rPr>
                <w:rFonts w:ascii="Times New Roman" w:cs="Times New Roman" w:eastAsia="Times New Roman" w:hAnsi="Times New Roman"/>
                <w:b w:val="false"/>
                <w:bCs w:val="false"/>
                <w:i/>
                <w:iCs/>
                <w:sz w:val="20"/>
                <w:szCs w:val="20"/>
              </w:rPr>
              <w:t xml:space="preserve">et al.</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2024</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NR</w:t>
            </w:r>
          </w:p>
        </w:tc>
        <w:tc>
          <w:tcPr>
            <w:tcW w:type="dxa" w:w="1771"/>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Graded ambient illumination, negative polarity</w:t>
            </w:r>
          </w:p>
        </w:tc>
        <w:tc>
          <w:tcPr>
            <w:tcW w:type="dxa" w:w="2592"/>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Higher illumination reduced fatigue, by an amount depending on text colour</w:t>
            </w:r>
          </w:p>
        </w:tc>
        <w:tc>
          <w:tcPr>
            <w:tcW w:type="dxa" w:w="1798"/>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Negative polarity only</w:t>
            </w:r>
          </w:p>
        </w:tc>
      </w:tr>
      <w:tr>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6</w:t>
            </w:r>
          </w:p>
        </w:tc>
        <w:tc>
          <w:tcPr>
            <w:tcW w:type="dxa" w:w="765"/>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Lin, M., </w:t>
            </w:r>
            <w:r>
              <w:rPr>
                <w:rFonts w:ascii="Times New Roman" w:cs="Times New Roman" w:eastAsia="Times New Roman" w:hAnsi="Times New Roman"/>
                <w:b w:val="false"/>
                <w:bCs w:val="false"/>
                <w:i/>
                <w:iCs/>
                <w:sz w:val="20"/>
                <w:szCs w:val="20"/>
              </w:rPr>
              <w:t xml:space="preserve">et al.</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2025</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30</w:t>
            </w:r>
          </w:p>
        </w:tc>
        <w:tc>
          <w:tcPr>
            <w:tcW w:type="dxa" w:w="1771"/>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Bright vs dark room × bright vs dark screen, 30-min reading</w:t>
            </w:r>
          </w:p>
        </w:tc>
        <w:tc>
          <w:tcPr>
            <w:tcW w:type="dxa" w:w="2592"/>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Dark room with bright screen most destabilised the tear film; incomplete-blink rate rose over time in all groups</w:t>
            </w:r>
          </w:p>
        </w:tc>
        <w:tc>
          <w:tcPr>
            <w:tcW w:type="dxa" w:w="1798"/>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Smartphone; four combinations only; polarity not manipulated</w:t>
            </w:r>
          </w:p>
        </w:tc>
      </w:tr>
    </w:tbl>
    <w:p>
      <w:pPr>
        <w:spacing w:after="200"/>
      </w:pPr>
      <w:r>
        <w:rPr>
          <w:sz w:val="12"/>
          <w:szCs w:val="12"/>
        </w:rPr>
        <w:t xml:space="preserve"/>
      </w:r>
    </w:p>
    <w:p>
      <w:pPr>
        <w:spacing w:after="140" w:line="340"/>
        <w:jc w:val="both"/>
      </w:pPr>
      <w:r>
        <w:rPr>
          <w:rFonts w:ascii="Times New Roman" w:cs="Times New Roman" w:eastAsia="Times New Roman" w:hAnsi="Times New Roman"/>
          <w:b w:val="false"/>
          <w:bCs w:val="false"/>
          <w:i w:val="false"/>
          <w:iCs w:val="false"/>
          <w:sz w:val="24"/>
          <w:szCs w:val="24"/>
        </w:rPr>
        <w:t xml:space="preserve">The evidence is not uniform, and the pattern of that disagreement is what determined the present design. The proofreading advantage was independent of ambient lighting (Buchner &amp; Baumgartner, 2007), whereas threshold legibility showed a clear interaction (Dobres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2017) — that is, the performance-side effect of polarity appears not to depend on room light, while the effects that do depend on it are concentrated in the ocular and tear-film measures. The most recent work is the most directly relevant on that second point: reading in a dark room from a bright screen produced the greatest tear-film destabilisation and the largest blink changes, with incomplete blinking rising over time in every condition (Lin, M.,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2025).</w:t>
      </w:r>
    </w:p>
    <w:p>
      <w:pPr>
        <w:spacing w:after="140" w:line="340"/>
        <w:jc w:val="both"/>
      </w:pPr>
      <w:r>
        <w:rPr>
          <w:rFonts w:ascii="Times New Roman" w:cs="Times New Roman" w:eastAsia="Times New Roman" w:hAnsi="Times New Roman"/>
          <w:b w:val="false"/>
          <w:bCs w:val="false"/>
          <w:i w:val="false"/>
          <w:iCs w:val="false"/>
          <w:sz w:val="24"/>
          <w:szCs w:val="24"/>
        </w:rPr>
        <w:t xml:space="preserve">That division matters here because the ocular outcomes of this study are derived from the tablet's own front camera rather than from dedicated instrumentation. In a darkened room the display is the dominant source of light falling on the reader's face, and the two levels of the polarity factor differ greatly in how much light they emit: computed from the locked condition table used here, a positive-polarity screen casts roughly thirty times the illuminance of a negative-polarity one at the reading distance specified in §3.6. Against a 10 lux room that leaves the face lit about 2.3 times more brightly in positive than in negative polarity; against a 300 lux room the ratio falls to about 1.05. Camera exposure, and with it the achieved frame rate on which blink classification depends, would therefore have varied systematically with the primary independent variable — and undersampling biases the measured minimum eyelid aperture upward, inflating the incomplete-blink ratio in the direction the hypothesis predicts. An artefact of that shape is indistinguishable from the effect it imitates.</w:t>
      </w:r>
    </w:p>
    <w:p>
      <w:pPr>
        <w:spacing w:after="140" w:line="340"/>
        <w:jc w:val="both"/>
      </w:pPr>
      <w:r>
        <w:rPr>
          <w:rFonts w:ascii="Times New Roman" w:cs="Times New Roman" w:eastAsia="Times New Roman" w:hAnsi="Times New Roman"/>
          <w:b w:val="false"/>
          <w:bCs w:val="false"/>
          <w:i w:val="false"/>
          <w:iCs w:val="false"/>
          <w:sz w:val="24"/>
          <w:szCs w:val="24"/>
        </w:rPr>
        <w:t xml:space="preserve">Ambient illumination is consequently held constant at a single controlled level rather than manipulated. Buchner and Baumgartner's null for the performance outcomes indicates that little is forfeited on that side; what is forfeited on the ocular side is stated plainly in §4.3, and includes the finding of Sethi and Ziat (2023) that negative polarity raised cognitive load in younger adults specifically under dim conditions — the condition this design no longer includes.</w:t>
      </w:r>
    </w:p>
    <w:p>
      <w:pPr>
        <w:pStyle w:val="Heading2"/>
        <w:keepNext/>
        <w:spacing w:after="160" w:before="280"/>
      </w:pPr>
      <w:r>
        <w:rPr>
          <w:rFonts w:ascii="Times New Roman" w:cs="Times New Roman" w:eastAsia="Times New Roman" w:hAnsi="Times New Roman"/>
          <w:b/>
          <w:bCs/>
          <w:i w:val="false"/>
          <w:iCs w:val="false"/>
          <w:sz w:val="28"/>
          <w:szCs w:val="28"/>
        </w:rPr>
        <w:t xml:space="preserve">2.5 Ocular behaviour as an objective marker</w:t>
      </w:r>
    </w:p>
    <w:p>
      <w:pPr>
        <w:spacing w:after="140" w:line="340"/>
        <w:jc w:val="both"/>
      </w:pPr>
      <w:r>
        <w:rPr>
          <w:rFonts w:ascii="Times New Roman" w:cs="Times New Roman" w:eastAsia="Times New Roman" w:hAnsi="Times New Roman"/>
          <w:b w:val="false"/>
          <w:bCs w:val="false"/>
          <w:i w:val="false"/>
          <w:iCs w:val="false"/>
          <w:sz w:val="24"/>
          <w:szCs w:val="24"/>
        </w:rPr>
        <w:t xml:space="preserve">Suppression of spontaneous blinking during display use is among the most reproducible findings in the field (Fjaervoll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2022; Kamøy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2022; Sheppard &amp; Wolffsohn, 2018), and the proportion of blinks that fail to close fully has the strongest claim to specificity (Table 2.4).</w:t>
      </w:r>
    </w:p>
    <w:p>
      <w:pPr>
        <w:spacing w:after="140" w:line="340"/>
        <w:jc w:val="both"/>
      </w:pPr>
      <w:r>
        <w:rPr>
          <w:rFonts w:ascii="Times New Roman" w:cs="Times New Roman" w:eastAsia="Times New Roman" w:hAnsi="Times New Roman"/>
          <w:b/>
          <w:bCs/>
          <w:i w:val="false"/>
          <w:iCs w:val="false"/>
          <w:sz w:val="24"/>
          <w:szCs w:val="24"/>
        </w:rPr>
        <w:t xml:space="preserve">Table 2.4 — Studies on ocular behaviour as an objective marker.</w:t>
      </w:r>
    </w:p>
    <w:tbl>
      <w:tblPr>
        <w:tblW w:type="dxa" w:w="9026"/>
        <w:tblBorders>
          <w:top w:val="single" w:color="8899AA" w:sz="4"/>
          <w:left w:val="single" w:color="8899AA" w:sz="4"/>
          <w:bottom w:val="single" w:color="8899AA" w:sz="4"/>
          <w:right w:val="single" w:color="8899AA" w:sz="4"/>
          <w:insideH w:val="single" w:color="BBC4CC" w:sz="2"/>
          <w:insideV w:val="single" w:color="BBC4CC" w:sz="2"/>
        </w:tblBorders>
      </w:tblPr>
      <w:tblGrid>
        <w:gridCol w:w="700"/>
        <w:gridCol w:w="700"/>
        <w:gridCol w:w="700"/>
        <w:gridCol w:w="700"/>
        <w:gridCol w:w="2380"/>
        <w:gridCol w:w="2379"/>
        <w:gridCol w:w="1467"/>
      </w:tblGrid>
      <w:tr>
        <w:trPr>
          <w:tblHeader/>
        </w:trPr>
        <w:tc>
          <w:tcPr>
            <w:tcW w:type="dxa" w:w="700"/>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Sl.</w:t>
            </w:r>
          </w:p>
        </w:tc>
        <w:tc>
          <w:tcPr>
            <w:tcW w:type="dxa" w:w="700"/>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Study</w:t>
            </w:r>
          </w:p>
        </w:tc>
        <w:tc>
          <w:tcPr>
            <w:tcW w:type="dxa" w:w="700"/>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Year</w:t>
            </w:r>
          </w:p>
        </w:tc>
        <w:tc>
          <w:tcPr>
            <w:tcW w:type="dxa" w:w="700"/>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N</w:t>
            </w:r>
          </w:p>
        </w:tc>
        <w:tc>
          <w:tcPr>
            <w:tcW w:type="dxa" w:w="2380"/>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Measure and task</w:t>
            </w:r>
          </w:p>
        </w:tc>
        <w:tc>
          <w:tcPr>
            <w:tcW w:type="dxa" w:w="2379"/>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Principal finding</w:t>
            </w:r>
          </w:p>
        </w:tc>
        <w:tc>
          <w:tcPr>
            <w:tcW w:type="dxa" w:w="1467"/>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Limitation</w:t>
            </w:r>
          </w:p>
        </w:tc>
      </w:tr>
      <w:tr>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1</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Cardona </w:t>
            </w:r>
            <w:r>
              <w:rPr>
                <w:rFonts w:ascii="Times New Roman" w:cs="Times New Roman" w:eastAsia="Times New Roman" w:hAnsi="Times New Roman"/>
                <w:b w:val="false"/>
                <w:bCs w:val="false"/>
                <w:i/>
                <w:iCs/>
                <w:sz w:val="20"/>
                <w:szCs w:val="20"/>
              </w:rPr>
              <w:t xml:space="preserve">et al.</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2011</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25</w:t>
            </w:r>
          </w:p>
        </w:tc>
        <w:tc>
          <w:tcPr>
            <w:tcW w:type="dxa" w:w="238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Blink rate and amplitude, tear film; fast vs slow display task</w:t>
            </w:r>
          </w:p>
        </w:tc>
        <w:tc>
          <w:tcPr>
            <w:tcW w:type="dxa" w:w="237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Blink rate fell to one-third (fast) and one-half (slow) of baseline; more incomplete blinks when dynamic</w:t>
            </w:r>
          </w:p>
        </w:tc>
        <w:tc>
          <w:tcPr>
            <w:tcW w:type="dxa" w:w="146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Game task, not reading; manual video coding</w:t>
            </w:r>
          </w:p>
        </w:tc>
      </w:tr>
      <w:tr>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Portello </w:t>
            </w:r>
            <w:r>
              <w:rPr>
                <w:rFonts w:ascii="Times New Roman" w:cs="Times New Roman" w:eastAsia="Times New Roman" w:hAnsi="Times New Roman"/>
                <w:b w:val="false"/>
                <w:bCs w:val="false"/>
                <w:i/>
                <w:iCs/>
                <w:sz w:val="20"/>
                <w:szCs w:val="20"/>
              </w:rPr>
              <w:t xml:space="preserve">et al.</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2013</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21</w:t>
            </w:r>
          </w:p>
        </w:tc>
        <w:tc>
          <w:tcPr>
            <w:tcW w:type="dxa" w:w="238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Blink rate and completeness, symptom score; 15-min reading</w:t>
            </w:r>
          </w:p>
        </w:tc>
        <w:tc>
          <w:tcPr>
            <w:tcW w:type="dxa" w:w="237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Incomplete blinks 0.9–56.5% (mean 16.1); symptoms correlated with incomplete-blink % (p = 0.002); raising blink rate did not help</w:t>
            </w:r>
          </w:p>
        </w:tc>
        <w:tc>
          <w:tcPr>
            <w:tcW w:type="dxa" w:w="146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Single condition; small sample; manual coding</w:t>
            </w:r>
          </w:p>
        </w:tc>
      </w:tr>
      <w:tr>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3</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Hirota </w:t>
            </w:r>
            <w:r>
              <w:rPr>
                <w:rFonts w:ascii="Times New Roman" w:cs="Times New Roman" w:eastAsia="Times New Roman" w:hAnsi="Times New Roman"/>
                <w:b w:val="false"/>
                <w:bCs w:val="false"/>
                <w:i/>
                <w:iCs/>
                <w:sz w:val="20"/>
                <w:szCs w:val="20"/>
              </w:rPr>
              <w:t xml:space="preserve">et al.</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2013</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11</w:t>
            </w:r>
          </w:p>
        </w:tc>
        <w:tc>
          <w:tcPr>
            <w:tcW w:type="dxa" w:w="238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Blink composition and tear break-up time; 60-min task</w:t>
            </w:r>
          </w:p>
        </w:tc>
        <w:tc>
          <w:tcPr>
            <w:tcW w:type="dxa" w:w="237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Break-up time fell 8.62→4.33 s at 30 min, recovering as incomplete blinking declined; quality, not frequency, governs stability</w:t>
            </w:r>
          </w:p>
        </w:tc>
        <w:tc>
          <w:tcPr>
            <w:tcW w:type="dxa" w:w="146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Very small sample; single display condition</w:t>
            </w:r>
          </w:p>
        </w:tc>
      </w:tr>
      <w:tr>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4</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Argilés </w:t>
            </w:r>
            <w:r>
              <w:rPr>
                <w:rFonts w:ascii="Times New Roman" w:cs="Times New Roman" w:eastAsia="Times New Roman" w:hAnsi="Times New Roman"/>
                <w:b w:val="false"/>
                <w:bCs w:val="false"/>
                <w:i/>
                <w:iCs/>
                <w:sz w:val="20"/>
                <w:szCs w:val="20"/>
              </w:rPr>
              <w:t xml:space="preserve">et al.</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2015</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50</w:t>
            </w:r>
          </w:p>
        </w:tc>
        <w:tc>
          <w:tcPr>
            <w:tcW w:type="dxa" w:w="238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Blink rate and completeness across 6 hard-copy and electronic reading conditions</w:t>
            </w:r>
          </w:p>
        </w:tc>
        <w:tc>
          <w:tcPr>
            <w:tcW w:type="dxa" w:w="237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All reading reduced blink rate; incomplete blinks rose only on electronic platforms</w:t>
            </w:r>
          </w:p>
        </w:tc>
        <w:tc>
          <w:tcPr>
            <w:tcW w:type="dxa" w:w="146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Display parameters not manipulated; manual coding</w:t>
            </w:r>
          </w:p>
        </w:tc>
      </w:tr>
      <w:tr>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5</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Jackson </w:t>
            </w:r>
            <w:r>
              <w:rPr>
                <w:rFonts w:ascii="Times New Roman" w:cs="Times New Roman" w:eastAsia="Times New Roman" w:hAnsi="Times New Roman"/>
                <w:b w:val="false"/>
                <w:bCs w:val="false"/>
                <w:i/>
                <w:iCs/>
                <w:sz w:val="20"/>
                <w:szCs w:val="20"/>
              </w:rPr>
              <w:t xml:space="preserve">et al.</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2016</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12</w:t>
            </w:r>
          </w:p>
        </w:tc>
        <w:tc>
          <w:tcPr>
            <w:tcW w:type="dxa" w:w="238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PERCLOS and driving performance after 24-h sleep deprivation</w:t>
            </w:r>
          </w:p>
        </w:tc>
        <w:tc>
          <w:tcPr>
            <w:tcW w:type="dxa" w:w="237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PERCLOS correlated with vigilance variability (r = 0.68) and lane position (r = 0.61)</w:t>
            </w:r>
          </w:p>
        </w:tc>
        <w:tc>
          <w:tcPr>
            <w:tcW w:type="dxa" w:w="146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Drowsiness, not visual fatigue; extreme manipulation</w:t>
            </w:r>
          </w:p>
        </w:tc>
      </w:tr>
      <w:tr>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6</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Lin, M., </w:t>
            </w:r>
            <w:r>
              <w:rPr>
                <w:rFonts w:ascii="Times New Roman" w:cs="Times New Roman" w:eastAsia="Times New Roman" w:hAnsi="Times New Roman"/>
                <w:b w:val="false"/>
                <w:bCs w:val="false"/>
                <w:i/>
                <w:iCs/>
                <w:sz w:val="20"/>
                <w:szCs w:val="20"/>
              </w:rPr>
              <w:t xml:space="preserve">et al.</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2025</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30</w:t>
            </w:r>
          </w:p>
        </w:tc>
        <w:tc>
          <w:tcPr>
            <w:tcW w:type="dxa" w:w="238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Tear-film indices and blink parameters; 30-min reading, 4 lighting–brightness combinations</w:t>
            </w:r>
          </w:p>
        </w:tc>
        <w:tc>
          <w:tcPr>
            <w:tcW w:type="dxa" w:w="237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Dark room with bright screen most destabilised the tear film; incomplete-blink rate rose over time in all groups</w:t>
            </w:r>
          </w:p>
        </w:tc>
        <w:tc>
          <w:tcPr>
            <w:tcW w:type="dxa" w:w="146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Smartphone; polarity and text colour not manipulated</w:t>
            </w:r>
          </w:p>
        </w:tc>
      </w:tr>
    </w:tbl>
    <w:p>
      <w:pPr>
        <w:spacing w:after="200"/>
      </w:pPr>
      <w:r>
        <w:rPr>
          <w:sz w:val="12"/>
          <w:szCs w:val="12"/>
        </w:rPr>
        <w:t xml:space="preserve"/>
      </w:r>
    </w:p>
    <w:p>
      <w:pPr>
        <w:spacing w:after="140" w:line="340"/>
        <w:jc w:val="both"/>
      </w:pPr>
      <w:r>
        <w:rPr>
          <w:rFonts w:ascii="Times New Roman" w:cs="Times New Roman" w:eastAsia="Times New Roman" w:hAnsi="Times New Roman"/>
          <w:b w:val="false"/>
          <w:bCs w:val="false"/>
          <w:i w:val="false"/>
          <w:iCs w:val="false"/>
          <w:sz w:val="24"/>
          <w:szCs w:val="24"/>
        </w:rPr>
        <w:t xml:space="preserve">Three findings forbid reading blink rate as a simple fatigue index: it is suppressed by reading irrespective of medium (Argilés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2015) and by task dynamism at matched cognitive load (Cardona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2011); total rate can hold steady while the complete-to-incomplete composition shifts (Hirota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2013); and raising blink rate experimentally changed no symptom score (Portello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2013). The incomplete-blink ratio, referenced to a within-participant baseline, is therefore the better-justified primary marker. Every study in Table 2.4 relied on manual frame-by-frame coding or dedicated hardware, and none manipulated polarity or text colour — which is why the samples are eleven to fifty, and why an automated measure is worth validating.</w:t>
      </w:r>
    </w:p>
    <w:p>
      <w:pPr>
        <w:spacing w:after="140" w:line="340"/>
        <w:jc w:val="both"/>
      </w:pPr>
      <w:r>
        <w:rPr>
          <w:rFonts w:ascii="Times New Roman" w:cs="Times New Roman" w:eastAsia="Times New Roman" w:hAnsi="Times New Roman"/>
          <w:b w:val="false"/>
          <w:bCs w:val="false"/>
          <w:i w:val="false"/>
          <w:iCs w:val="false"/>
          <w:sz w:val="24"/>
          <w:szCs w:val="24"/>
        </w:rPr>
        <w:t xml:space="preserve">PERCLOS, the proportion of time the eyes are more than 80 per cent closed, is among the most validated indices for passive drowsiness detection (Abe, 2023) and correlates with vigilance-performance variability after sleep deprivation (Jackson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2016). Its documented insensitivity in moderate drowsiness (Abe, 2023) dictates its role here as a covariate for sleepiness rather than a measure of visual fatigue.</w:t>
      </w:r>
    </w:p>
    <w:p>
      <w:pPr>
        <w:pStyle w:val="Heading2"/>
        <w:keepNext/>
        <w:spacing w:after="160" w:before="280"/>
      </w:pPr>
      <w:r>
        <w:rPr>
          <w:rFonts w:ascii="Times New Roman" w:cs="Times New Roman" w:eastAsia="Times New Roman" w:hAnsi="Times New Roman"/>
          <w:b/>
          <w:bCs/>
          <w:i w:val="false"/>
          <w:iCs w:val="false"/>
          <w:sz w:val="28"/>
          <w:szCs w:val="28"/>
        </w:rPr>
        <w:t xml:space="preserve">2.6 Task performance and sustained attention</w:t>
      </w:r>
    </w:p>
    <w:p>
      <w:pPr>
        <w:spacing w:after="140" w:line="340"/>
        <w:jc w:val="both"/>
      </w:pPr>
      <w:r>
        <w:rPr>
          <w:rFonts w:ascii="Times New Roman" w:cs="Times New Roman" w:eastAsia="Times New Roman" w:hAnsi="Times New Roman"/>
          <w:b w:val="false"/>
          <w:bCs w:val="false"/>
          <w:i w:val="false"/>
          <w:iCs w:val="false"/>
          <w:sz w:val="24"/>
          <w:szCs w:val="24"/>
        </w:rPr>
        <w:t xml:space="preserve">Comparison of reading media reports an advantage for print over screen, moderated by genre and time pressure (Delgado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2018). This constrains how comprehension should be measured, since genre, difficulty and pacing must be standardised, but does not bear on the hypothesis under test, because a within-screen design removes the medium confound. Prolonged monotonous tasks also produce a vigilance decrement best accounted for by resource depletion (Warm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2008), with lapses and reaction-time variability its most fatigue-sensitive indices (Abe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2014). Attentional and visual-fatigue outcomes therefore share time on task as a driver and must be measured together if they are to be distinguished.</w:t>
      </w:r>
    </w:p>
    <w:p>
      <w:pPr>
        <w:pStyle w:val="Heading2"/>
        <w:keepNext/>
        <w:spacing w:after="160" w:before="280"/>
      </w:pPr>
      <w:r>
        <w:rPr>
          <w:rFonts w:ascii="Times New Roman" w:cs="Times New Roman" w:eastAsia="Times New Roman" w:hAnsi="Times New Roman"/>
          <w:b/>
          <w:bCs/>
          <w:i w:val="false"/>
          <w:iCs w:val="false"/>
          <w:sz w:val="28"/>
          <w:szCs w:val="28"/>
        </w:rPr>
        <w:t xml:space="preserve">2.7 Subjective instruments and scalable measurement</w:t>
      </w:r>
    </w:p>
    <w:p>
      <w:pPr>
        <w:spacing w:after="140" w:line="340"/>
        <w:jc w:val="both"/>
      </w:pPr>
      <w:r>
        <w:rPr>
          <w:rFonts w:ascii="Times New Roman" w:cs="Times New Roman" w:eastAsia="Times New Roman" w:hAnsi="Times New Roman"/>
          <w:b w:val="false"/>
          <w:bCs w:val="false"/>
          <w:i w:val="false"/>
          <w:iCs w:val="false"/>
          <w:sz w:val="24"/>
          <w:szCs w:val="24"/>
        </w:rPr>
        <w:t xml:space="preserve">The Computer Vision Syndrome Questionnaire assesses frequency and intensity of sixteen symptoms on a Rasch-fitting scale, with sensitivity and specificity above 70 per cent and test–retest intraclass correlation of 0.802 (Seguí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2015). Cross-cultural validation reports internal consistency of 0.793, sensitivity 78.5 per cent, specificity 70.7 per cent, convergent validity with the Ocular Surface Disease Index of 0.728 and a cut-off of seven (Cantó-Sancho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Cognitive workload is conventionally indexed by the NASA Task Load Index across six dimensions (Hart &amp; Staveland, 1988). Review notes that correlations between objective and subjective measures are not always apparent (Sheppard &amp; Wolffsohn, 2018), a discrepancy treated here as an object of study.</w:t>
      </w:r>
    </w:p>
    <w:p>
      <w:pPr>
        <w:spacing w:after="140" w:line="340"/>
        <w:jc w:val="both"/>
      </w:pPr>
      <w:r>
        <w:rPr>
          <w:rFonts w:ascii="Times New Roman" w:cs="Times New Roman" w:eastAsia="Times New Roman" w:hAnsi="Times New Roman"/>
          <w:b w:val="false"/>
          <w:bCs w:val="false"/>
          <w:i w:val="false"/>
          <w:iCs w:val="false"/>
          <w:sz w:val="24"/>
          <w:szCs w:val="24"/>
        </w:rPr>
        <w:t xml:space="preserve">Automated blink detection derives a scalar eye aspect ratio from facial landmarks and identifies blinks as a temporal pattern in that signal (Soukupová &amp; Čech, 2016). Being continuous and normalised, it can distinguish partial from complete closure, automating what the clinical literature has done by hand (Argilés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2015; Hirota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2013; Portello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2013). Validity differs by target: camera-based gaze estimation is lower in accuracy and sampling rate than infrared tracking and is defensible only for coarse zone classification, whereas blink measures are proportion-based and need temporal rather than spatial precision. Because a blink is complete within a few hundred milliseconds, duration-based metrics become unreliable at low sampling rates, and the achieved frame rate is therefore recorded per condition and gates the duration-based tiers, while proportion measures are more robust. No published study has validated a camera-based incomplete-blink measure against manual annotation.</w:t>
      </w:r>
    </w:p>
    <w:p>
      <w:pPr>
        <w:pStyle w:val="Heading2"/>
        <w:keepNext/>
        <w:spacing w:after="160" w:before="280"/>
      </w:pPr>
      <w:r>
        <w:rPr>
          <w:rFonts w:ascii="Times New Roman" w:cs="Times New Roman" w:eastAsia="Times New Roman" w:hAnsi="Times New Roman"/>
          <w:b/>
          <w:bCs/>
          <w:i w:val="false"/>
          <w:iCs w:val="false"/>
          <w:sz w:val="28"/>
          <w:szCs w:val="28"/>
        </w:rPr>
        <w:t xml:space="preserve">2.8 Research gaps</w:t>
      </w:r>
    </w:p>
    <w:p>
      <w:pPr>
        <w:spacing w:after="140" w:line="340"/>
        <w:jc w:val="both"/>
      </w:pPr>
      <w:r>
        <w:rPr>
          <w:rFonts w:ascii="Times New Roman" w:cs="Times New Roman" w:eastAsia="Times New Roman" w:hAnsi="Times New Roman"/>
          <w:b w:val="false"/>
          <w:bCs w:val="false"/>
          <w:i w:val="false"/>
          <w:iCs w:val="false"/>
          <w:sz w:val="24"/>
          <w:szCs w:val="24"/>
        </w:rPr>
        <w:t xml:space="preserve">Six gaps follow from the foregoing, and together they define the study.</w:t>
      </w:r>
    </w:p>
    <w:p>
      <w:pPr>
        <w:spacing w:after="120" w:line="320"/>
        <w:ind w:left="600" w:hanging="600"/>
        <w:jc w:val="both"/>
      </w:pPr>
      <w:r>
        <w:rPr>
          <w:rFonts w:ascii="Times New Roman" w:cs="Times New Roman" w:eastAsia="Times New Roman" w:hAnsi="Times New Roman"/>
          <w:sz w:val="24"/>
          <w:szCs w:val="24"/>
        </w:rPr>
        <w:t xml:space="preserve">1.</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The positive polarity advantage is established for brief, achromatic legibility tasks but untested for prolonged reading with fatigue accumulation and ocular-surface outcomes.</w:t>
      </w:r>
    </w:p>
    <w:p>
      <w:pPr>
        <w:spacing w:after="120" w:line="320"/>
        <w:ind w:left="600" w:hanging="600"/>
        <w:jc w:val="both"/>
      </w:pPr>
      <w:r>
        <w:rPr>
          <w:rFonts w:ascii="Times New Roman" w:cs="Times New Roman" w:eastAsia="Times New Roman" w:hAnsi="Times New Roman"/>
          <w:sz w:val="24"/>
          <w:szCs w:val="24"/>
        </w:rPr>
        <w:t xml:space="preserve">2.</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The interaction between polarity and text colour on visual fatigue appears unestimated, the only located text-colour fatigue study having held polarity constant (Fan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nor has hue been separated from luminance contrast in the studies located (Buchner &amp; Baumgartner, 2007; Jiménez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2020; Xie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2021).</w:t>
      </w:r>
    </w:p>
    <w:p>
      <w:pPr>
        <w:spacing w:after="120" w:line="320"/>
        <w:ind w:left="600" w:hanging="600"/>
        <w:jc w:val="both"/>
      </w:pPr>
      <w:r>
        <w:rPr>
          <w:rFonts w:ascii="Times New Roman" w:cs="Times New Roman" w:eastAsia="Times New Roman" w:hAnsi="Times New Roman"/>
          <w:sz w:val="24"/>
          <w:szCs w:val="24"/>
        </w:rPr>
        <w:t xml:space="preserve">3.</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No located study reports contrast metrics alongside measured display photometry, and the prevailing standard is polarity-blind (Advanced Perceptual Contrast Algorithm, n.d.; World Wide Web Consortium, 2023). Joint effects of polarity, colour and illumination remain uncharacterised, the two-way findings being in partial conflict (Dobres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2017; Fan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the present study addresses the polarity × colour interaction at a fixed illuminance and leaves the three-way case to designs whose ocular instrumentation is independent of room light.</w:t>
      </w:r>
    </w:p>
    <w:p>
      <w:pPr>
        <w:spacing w:after="120" w:line="320"/>
        <w:ind w:left="600" w:hanging="600"/>
        <w:jc w:val="both"/>
      </w:pPr>
      <w:r>
        <w:rPr>
          <w:rFonts w:ascii="Times New Roman" w:cs="Times New Roman" w:eastAsia="Times New Roman" w:hAnsi="Times New Roman"/>
          <w:sz w:val="24"/>
          <w:szCs w:val="24"/>
        </w:rPr>
        <w:t xml:space="preserve">4.</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Few studies co-register a validated symptom instrument with objective markers in the same condition, leaving the subjective–objective discrepancy unresolved (Sheppard &amp; Wolffsohn, 2018); where both were measured they pointed in opposite directions (Xie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2021).</w:t>
      </w:r>
    </w:p>
    <w:p>
      <w:pPr>
        <w:spacing w:after="120" w:line="320"/>
        <w:ind w:left="600" w:hanging="600"/>
        <w:jc w:val="both"/>
      </w:pPr>
      <w:r>
        <w:rPr>
          <w:rFonts w:ascii="Times New Roman" w:cs="Times New Roman" w:eastAsia="Times New Roman" w:hAnsi="Times New Roman"/>
          <w:sz w:val="24"/>
          <w:szCs w:val="24"/>
        </w:rPr>
        <w:t xml:space="preserve">5.</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The incomplete-blink ratio does not appear to have been tested as an outcome of a display manipulation despite its specificity (Lin, M.,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2025; Argilés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2015; Hirota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2013; Portello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2013), and no automated implementation was found, in the literature located, to have been validated against manual annotation, so the measure does not scale.</w:t>
      </w:r>
    </w:p>
    <w:p>
      <w:pPr>
        <w:spacing w:after="120" w:line="320"/>
        <w:ind w:left="600" w:hanging="600"/>
        <w:jc w:val="both"/>
      </w:pPr>
      <w:r>
        <w:rPr>
          <w:rFonts w:ascii="Times New Roman" w:cs="Times New Roman" w:eastAsia="Times New Roman" w:hAnsi="Times New Roman"/>
          <w:sz w:val="24"/>
          <w:szCs w:val="24"/>
        </w:rPr>
        <w:t xml:space="preserve">6.</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Individual differences in habitual display preference, exposure and lighting environment are seldom modelled as moderators, and tablet-specific, ecologically valid protocols are scarce.</w:t>
      </w:r>
    </w:p>
    <w:p>
      <w:pPr>
        <w:pBdr>
          <w:bottom w:val="single" w:color="AAAAAA" w:sz="6" w:space="1"/>
        </w:pBdr>
        <w:spacing w:after="200" w:before="120"/>
      </w:pPr>
      <w:r>
        <w:rPr>
          <w:rFonts w:ascii="Times New Roman" w:cs="Times New Roman" w:eastAsia="Times New Roman" w:hAnsi="Times New Roman"/>
          <w:sz w:val="24"/>
          <w:szCs w:val="24"/>
        </w:rPr>
        <w:t xml:space="preserve"/>
      </w:r>
    </w:p>
    <w:p>
      <w:pPr>
        <w:pStyle w:val="Heading1"/>
        <w:keepNext/>
        <w:spacing w:after="160" w:before="320"/>
      </w:pPr>
      <w:r>
        <w:rPr>
          <w:rFonts w:ascii="Times New Roman" w:cs="Times New Roman" w:eastAsia="Times New Roman" w:hAnsi="Times New Roman"/>
          <w:b/>
          <w:bCs/>
          <w:i w:val="false"/>
          <w:iCs w:val="false"/>
          <w:sz w:val="32"/>
          <w:szCs w:val="32"/>
        </w:rPr>
        <w:t xml:space="preserve">CHAPTER 3: MATERIALS AND METHODS</w:t>
      </w:r>
    </w:p>
    <w:p>
      <w:pPr>
        <w:pStyle w:val="Heading2"/>
        <w:keepNext/>
        <w:spacing w:after="160" w:before="280"/>
      </w:pPr>
      <w:r>
        <w:rPr>
          <w:rFonts w:ascii="Times New Roman" w:cs="Times New Roman" w:eastAsia="Times New Roman" w:hAnsi="Times New Roman"/>
          <w:b/>
          <w:bCs/>
          <w:i w:val="false"/>
          <w:iCs w:val="false"/>
          <w:sz w:val="28"/>
          <w:szCs w:val="28"/>
        </w:rPr>
        <w:t xml:space="preserve">3.1 Study design</w:t>
      </w:r>
    </w:p>
    <w:p>
      <w:pPr>
        <w:spacing w:after="140" w:line="340"/>
        <w:jc w:val="both"/>
      </w:pPr>
      <w:r>
        <w:rPr>
          <w:rFonts w:ascii="Times New Roman" w:cs="Times New Roman" w:eastAsia="Times New Roman" w:hAnsi="Times New Roman"/>
          <w:b w:val="false"/>
          <w:bCs w:val="false"/>
          <w:i w:val="false"/>
          <w:iCs w:val="false"/>
          <w:sz w:val="24"/>
          <w:szCs w:val="24"/>
        </w:rPr>
        <w:t xml:space="preserve">A repeated-measures factorial design in which both factors vary within participant. Display polarity (positive, negative) is crossed with text colour (achromatic, blue, red, yellow, green), giving ten display conditions, each presented once in a single sitting. Ambient illumination is held constant at 300 lux and is a controlled variable with a manipulation check, not a factor (§3.4). Each participant contributes ten condition-runs and serves as their own control. Ten reading passages cover the ten runs, so each is read exactly once and no practice effect requires adjustment.</w:t>
      </w:r>
    </w:p>
    <w:p>
      <w:pPr>
        <w:spacing w:after="140" w:line="340"/>
        <w:jc w:val="both"/>
      </w:pPr>
      <w:r>
        <w:rPr>
          <w:rFonts w:ascii="Times New Roman" w:cs="Times New Roman" w:eastAsia="Times New Roman" w:hAnsi="Times New Roman"/>
          <w:b/>
          <w:bCs/>
          <w:i w:val="false"/>
          <w:iCs w:val="false"/>
          <w:sz w:val="24"/>
          <w:szCs w:val="24"/>
        </w:rPr>
        <w:t xml:space="preserve">Figure 3.1 — Study flow.</w:t>
      </w:r>
    </w:p>
    <w:tbl>
      <w:tblPr>
        <w:tblW w:type="dxa" w:w="7200"/>
        <w:jc w:val="center"/>
        <w:tblBorders>
          <w:top w:val="single" w:color="5A6B7C" w:sz="6"/>
          <w:left w:val="single" w:color="5A6B7C" w:sz="6"/>
          <w:bottom w:val="single" w:color="5A6B7C" w:sz="6"/>
          <w:right w:val="single" w:color="5A6B7C" w:sz="6"/>
          <w:insideH w:val="none" w:color="FFFFFF" w:sz="0"/>
          <w:insideV w:val="none" w:color="FFFFFF" w:sz="0"/>
        </w:tblBorders>
      </w:tblPr>
      <w:tblGrid>
        <w:gridCol w:w="7200"/>
      </w:tblGrid>
      <w:tr>
        <w:tc>
          <w:tcPr>
            <w:tcW w:type="dxa" w:w="7200"/>
            <w:shd w:fill="EEF3FA" w:color="auto" w:val="clear"/>
            <w:tcMar>
              <w:top w:type="dxa" w:w="80"/>
              <w:left w:type="dxa" w:w="140"/>
              <w:bottom w:type="dxa" w:w="80"/>
              <w:right w:type="dxa" w:w="14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Phase I — Ethics approval; instrument development; photometric characterisation of the display</w:t>
            </w:r>
          </w:p>
        </w:tc>
      </w:tr>
    </w:tbl>
    <w:p>
      <w:pPr>
        <w:spacing w:after="0" w:before="0"/>
        <w:jc w:val="center"/>
      </w:pPr>
      <w:r>
        <w:rPr>
          <w:rFonts w:ascii="Times New Roman" w:cs="Times New Roman" w:eastAsia="Times New Roman" w:hAnsi="Times New Roman"/>
          <w:color w:val="5A6B7C"/>
          <w:sz w:val="26"/>
          <w:szCs w:val="26"/>
        </w:rPr>
        <w:t xml:space="preserve">↓</w:t>
      </w:r>
    </w:p>
    <w:tbl>
      <w:tblPr>
        <w:tblW w:type="dxa" w:w="7200"/>
        <w:jc w:val="center"/>
        <w:tblBorders>
          <w:top w:val="single" w:color="5A6B7C" w:sz="6"/>
          <w:left w:val="single" w:color="5A6B7C" w:sz="6"/>
          <w:bottom w:val="single" w:color="5A6B7C" w:sz="6"/>
          <w:right w:val="single" w:color="5A6B7C" w:sz="6"/>
          <w:insideH w:val="none" w:color="FFFFFF" w:sz="0"/>
          <w:insideV w:val="none" w:color="FFFFFF" w:sz="0"/>
        </w:tblBorders>
      </w:tblPr>
      <w:tblGrid>
        <w:gridCol w:w="7200"/>
      </w:tblGrid>
      <w:tr>
        <w:tc>
          <w:tcPr>
            <w:tcW w:type="dxa" w:w="7200"/>
            <w:shd w:fill="EEF3FA" w:color="auto" w:val="clear"/>
            <w:tcMar>
              <w:top w:type="dxa" w:w="80"/>
              <w:left w:type="dxa" w:w="140"/>
              <w:bottom w:type="dxa" w:w="80"/>
              <w:right w:type="dxa" w:w="14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Phase II — Recruitment, screening and baseline profiling</w:t>
            </w:r>
          </w:p>
        </w:tc>
      </w:tr>
    </w:tbl>
    <w:p>
      <w:pPr>
        <w:spacing w:after="0" w:before="0"/>
        <w:jc w:val="center"/>
      </w:pPr>
      <w:r>
        <w:rPr>
          <w:rFonts w:ascii="Times New Roman" w:cs="Times New Roman" w:eastAsia="Times New Roman" w:hAnsi="Times New Roman"/>
          <w:color w:val="5A6B7C"/>
          <w:sz w:val="26"/>
          <w:szCs w:val="26"/>
        </w:rPr>
        <w:t xml:space="preserve">↓</w:t>
      </w:r>
    </w:p>
    <w:tbl>
      <w:tblPr>
        <w:tblW w:type="dxa" w:w="7200"/>
        <w:jc w:val="center"/>
        <w:tblBorders>
          <w:top w:val="single" w:color="5A6B7C" w:sz="6"/>
          <w:left w:val="single" w:color="5A6B7C" w:sz="6"/>
          <w:bottom w:val="single" w:color="5A6B7C" w:sz="6"/>
          <w:right w:val="single" w:color="5A6B7C" w:sz="6"/>
          <w:insideH w:val="none" w:color="FFFFFF" w:sz="0"/>
          <w:insideV w:val="none" w:color="FFFFFF" w:sz="0"/>
        </w:tblBorders>
      </w:tblPr>
      <w:tblGrid>
        <w:gridCol w:w="7200"/>
      </w:tblGrid>
      <w:tr>
        <w:tc>
          <w:tcPr>
            <w:tcW w:type="dxa" w:w="7200"/>
            <w:shd w:fill="EEF3FA" w:color="auto" w:val="clear"/>
            <w:tcMar>
              <w:top w:type="dxa" w:w="80"/>
              <w:left w:type="dxa" w:w="140"/>
              <w:bottom w:type="dxa" w:w="80"/>
              <w:right w:type="dxa" w:w="14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Phase III — Single sitting at 300 lux: ten display conditions in Williams order</w:t>
            </w:r>
          </w:p>
        </w:tc>
      </w:tr>
    </w:tbl>
    <w:p>
      <w:pPr>
        <w:spacing w:after="0" w:before="0"/>
        <w:jc w:val="center"/>
      </w:pPr>
      <w:r>
        <w:rPr>
          <w:rFonts w:ascii="Times New Roman" w:cs="Times New Roman" w:eastAsia="Times New Roman" w:hAnsi="Times New Roman"/>
          <w:color w:val="5A6B7C"/>
          <w:sz w:val="26"/>
          <w:szCs w:val="26"/>
        </w:rPr>
        <w:t xml:space="preserve">↓</w:t>
      </w:r>
    </w:p>
    <w:tbl>
      <w:tblPr>
        <w:tblW w:type="dxa" w:w="7200"/>
        <w:jc w:val="center"/>
        <w:tblBorders>
          <w:top w:val="single" w:color="5A6B7C" w:sz="6"/>
          <w:left w:val="single" w:color="5A6B7C" w:sz="6"/>
          <w:bottom w:val="single" w:color="5A6B7C" w:sz="6"/>
          <w:right w:val="single" w:color="5A6B7C" w:sz="6"/>
          <w:insideH w:val="none" w:color="FFFFFF" w:sz="0"/>
          <w:insideV w:val="none" w:color="FFFFFF" w:sz="0"/>
        </w:tblBorders>
      </w:tblPr>
      <w:tblGrid>
        <w:gridCol w:w="7200"/>
      </w:tblGrid>
      <w:tr>
        <w:tc>
          <w:tcPr>
            <w:tcW w:type="dxa" w:w="7200"/>
            <w:shd w:fill="EEF3FA" w:color="auto" w:val="clear"/>
            <w:tcMar>
              <w:top w:type="dxa" w:w="80"/>
              <w:left w:type="dxa" w:w="140"/>
              <w:bottom w:type="dxa" w:w="80"/>
              <w:right w:type="dxa" w:w="14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Phase IV — Quality-control review of each sitting before the participant is released</w:t>
            </w:r>
          </w:p>
        </w:tc>
      </w:tr>
    </w:tbl>
    <w:p>
      <w:pPr>
        <w:spacing w:after="0" w:before="0"/>
        <w:jc w:val="center"/>
      </w:pPr>
      <w:r>
        <w:rPr>
          <w:rFonts w:ascii="Times New Roman" w:cs="Times New Roman" w:eastAsia="Times New Roman" w:hAnsi="Times New Roman"/>
          <w:color w:val="5A6B7C"/>
          <w:sz w:val="26"/>
          <w:szCs w:val="26"/>
        </w:rPr>
        <w:t xml:space="preserve">↓</w:t>
      </w:r>
    </w:p>
    <w:tbl>
      <w:tblPr>
        <w:tblW w:type="dxa" w:w="8626"/>
        <w:jc w:val="center"/>
        <w:tblBorders>
          <w:top w:val="single" w:color="5A6B7C" w:sz="6"/>
          <w:left w:val="single" w:color="5A6B7C" w:sz="6"/>
          <w:bottom w:val="single" w:color="5A6B7C" w:sz="6"/>
          <w:right w:val="single" w:color="5A6B7C" w:sz="6"/>
          <w:insideH w:val="single" w:color="9FB3C8" w:sz="4"/>
          <w:insideV w:val="single" w:color="9FB3C8" w:sz="4"/>
        </w:tblBorders>
      </w:tblPr>
      <w:tblGrid>
        <w:gridCol w:w="4313"/>
        <w:gridCol w:w="4313"/>
      </w:tblGrid>
      <w:tr>
        <w:tc>
          <w:tcPr>
            <w:tcW w:type="dxa" w:w="4313"/>
            <w:shd w:fill="EEF3FA" w:color="auto" w:val="clear"/>
            <w:tcMar>
              <w:top w:type="dxa" w:w="80"/>
              <w:left w:type="dxa" w:w="120"/>
              <w:bottom w:type="dxa" w:w="80"/>
              <w:right w:type="dxa" w:w="12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Phase V — Automated ocular metrics</w:t>
            </w:r>
          </w:p>
        </w:tc>
        <w:tc>
          <w:tcPr>
            <w:tcW w:type="dxa" w:w="4313"/>
            <w:shd w:fill="EEF3FA" w:color="auto" w:val="clear"/>
            <w:tcMar>
              <w:top w:type="dxa" w:w="80"/>
              <w:left w:type="dxa" w:w="120"/>
              <w:bottom w:type="dxa" w:w="80"/>
              <w:right w:type="dxa" w:w="12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Manual-annotation validation sub-study</w:t>
            </w:r>
          </w:p>
        </w:tc>
      </w:tr>
    </w:tbl>
    <w:p>
      <w:pPr>
        <w:spacing w:after="0" w:before="0"/>
        <w:jc w:val="center"/>
      </w:pPr>
      <w:r>
        <w:rPr>
          <w:rFonts w:ascii="Times New Roman" w:cs="Times New Roman" w:eastAsia="Times New Roman" w:hAnsi="Times New Roman"/>
          <w:color w:val="5A6B7C"/>
          <w:sz w:val="26"/>
          <w:szCs w:val="26"/>
        </w:rPr>
        <w:t xml:space="preserve">↓</w:t>
      </w:r>
    </w:p>
    <w:tbl>
      <w:tblPr>
        <w:tblW w:type="dxa" w:w="7200"/>
        <w:jc w:val="center"/>
        <w:tblBorders>
          <w:top w:val="single" w:color="5A6B7C" w:sz="6"/>
          <w:left w:val="single" w:color="5A6B7C" w:sz="6"/>
          <w:bottom w:val="single" w:color="5A6B7C" w:sz="6"/>
          <w:right w:val="single" w:color="5A6B7C" w:sz="6"/>
          <w:insideH w:val="none" w:color="FFFFFF" w:sz="0"/>
          <w:insideV w:val="none" w:color="FFFFFF" w:sz="0"/>
        </w:tblBorders>
      </w:tblPr>
      <w:tblGrid>
        <w:gridCol w:w="7200"/>
      </w:tblGrid>
      <w:tr>
        <w:tc>
          <w:tcPr>
            <w:tcW w:type="dxa" w:w="7200"/>
            <w:shd w:fill="EEF3FA" w:color="auto" w:val="clear"/>
            <w:tcMar>
              <w:top w:type="dxa" w:w="80"/>
              <w:left w:type="dxa" w:w="140"/>
              <w:bottom w:type="dxa" w:w="80"/>
              <w:right w:type="dxa" w:w="14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Phase VI — Mixed-effects analysis and reporting</w:t>
            </w:r>
          </w:p>
        </w:tc>
      </w:tr>
    </w:tbl>
    <w:p>
      <w:pPr>
        <w:spacing w:after="160"/>
      </w:pPr>
      <w:r>
        <w:rPr>
          <w:rFonts w:ascii="Times New Roman" w:cs="Times New Roman" w:eastAsia="Times New Roman" w:hAnsi="Times New Roman"/>
          <w:sz w:val="24"/>
          <w:szCs w:val="24"/>
        </w:rPr>
        <w:t xml:space="preserve"/>
      </w:r>
    </w:p>
    <w:p>
      <w:pPr>
        <w:pStyle w:val="Heading2"/>
        <w:keepNext/>
        <w:spacing w:after="160" w:before="280"/>
      </w:pPr>
      <w:r>
        <w:rPr>
          <w:rFonts w:ascii="Times New Roman" w:cs="Times New Roman" w:eastAsia="Times New Roman" w:hAnsi="Times New Roman"/>
          <w:b/>
          <w:bCs/>
          <w:i w:val="false"/>
          <w:iCs w:val="false"/>
          <w:sz w:val="28"/>
          <w:szCs w:val="28"/>
        </w:rPr>
        <w:t xml:space="preserve">3.2 Setting, participants and sampling</w:t>
      </w:r>
    </w:p>
    <w:p>
      <w:pPr>
        <w:spacing w:after="140" w:line="340"/>
        <w:jc w:val="both"/>
      </w:pPr>
      <w:r>
        <w:rPr>
          <w:rFonts w:ascii="Times New Roman" w:cs="Times New Roman" w:eastAsia="Times New Roman" w:hAnsi="Times New Roman"/>
          <w:b w:val="false"/>
          <w:bCs w:val="false"/>
          <w:i w:val="false"/>
          <w:iCs w:val="false"/>
          <w:sz w:val="24"/>
          <w:szCs w:val="24"/>
        </w:rPr>
        <w:t xml:space="preserve">The study runs in a light-controlled room at Assam down town University, with adults aged 18 to 35 recruited by purposive sampling from the university population.</w:t>
      </w:r>
    </w:p>
    <w:p>
      <w:pPr>
        <w:spacing w:after="140" w:line="340"/>
        <w:jc w:val="both"/>
      </w:pPr>
      <w:r>
        <w:rPr>
          <w:rFonts w:ascii="Times New Roman" w:cs="Times New Roman" w:eastAsia="Times New Roman" w:hAnsi="Times New Roman"/>
          <w:b w:val="false"/>
          <w:bCs w:val="false"/>
          <w:i w:val="false"/>
          <w:iCs w:val="false"/>
          <w:sz w:val="24"/>
          <w:szCs w:val="24"/>
        </w:rPr>
        <w:t xml:space="preserve">The target is 130 participants for analysis, with 145 enrolled to allow for withdrawal and exclusion. It is a multiple of ten, as the Williams counterbalancing requires (§3.8), and was set by simulation rather than by a formula assuming independent observations. Precision on the primary outcome follows the number of condition-runs, not participants: 130 participants give 1,300 runs.</w:t>
      </w:r>
    </w:p>
    <w:p>
      <w:pPr>
        <w:spacing w:after="140" w:line="340"/>
        <w:jc w:val="both"/>
      </w:pPr>
      <w:r>
        <w:rPr>
          <w:rFonts w:ascii="Times New Roman" w:cs="Times New Roman" w:eastAsia="Times New Roman" w:hAnsi="Times New Roman"/>
          <w:b/>
          <w:bCs/>
          <w:i w:val="false"/>
          <w:iCs w:val="false"/>
          <w:sz w:val="24"/>
          <w:szCs w:val="24"/>
        </w:rPr>
        <w:t xml:space="preserve">Table 3.1 — Eligibility criteria.</w:t>
      </w:r>
    </w:p>
    <w:tbl>
      <w:tblPr>
        <w:tblW w:type="dxa" w:w="9026"/>
        <w:tblBorders>
          <w:top w:val="single" w:color="8899AA" w:sz="4"/>
          <w:left w:val="single" w:color="8899AA" w:sz="4"/>
          <w:bottom w:val="single" w:color="8899AA" w:sz="4"/>
          <w:right w:val="single" w:color="8899AA" w:sz="4"/>
          <w:insideH w:val="single" w:color="BBC4CC" w:sz="2"/>
          <w:insideV w:val="single" w:color="BBC4CC" w:sz="2"/>
        </w:tblBorders>
      </w:tblPr>
      <w:tblGrid>
        <w:gridCol w:w="4513"/>
        <w:gridCol w:w="4513"/>
      </w:tblGrid>
      <w:tr>
        <w:trPr>
          <w:tblHeader/>
        </w:trPr>
        <w:tc>
          <w:tcPr>
            <w:tcW w:type="dxa" w:w="4513"/>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Inclusion</w:t>
            </w:r>
          </w:p>
        </w:tc>
        <w:tc>
          <w:tcPr>
            <w:tcW w:type="dxa" w:w="4513"/>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Exclusion</w:t>
            </w:r>
          </w:p>
        </w:tc>
      </w:tr>
      <w:tr>
        <w:tc>
          <w:tcPr>
            <w:tcW w:type="dxa" w:w="4513"/>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Age 18 to 35 years</w:t>
            </w:r>
          </w:p>
        </w:tc>
        <w:tc>
          <w:tcPr>
            <w:tcW w:type="dxa" w:w="4513"/>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Refractive error beyond ±3.00 D</w:t>
            </w:r>
          </w:p>
        </w:tc>
      </w:tr>
      <w:tr>
        <w:tc>
          <w:tcPr>
            <w:tcW w:type="dxa" w:w="4513"/>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Distance visual acuity 6/6 or better, with or without correction</w:t>
            </w:r>
          </w:p>
        </w:tc>
        <w:tc>
          <w:tcPr>
            <w:tcW w:type="dxa" w:w="4513"/>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Manifest binocular vision disorder</w:t>
            </w:r>
          </w:p>
        </w:tc>
      </w:tr>
      <w:tr>
        <w:tc>
          <w:tcPr>
            <w:tcW w:type="dxa" w:w="4513"/>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Habitual screen use of at least four hours daily</w:t>
            </w:r>
          </w:p>
        </w:tc>
        <w:tc>
          <w:tcPr>
            <w:tcW w:type="dxa" w:w="4513"/>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Colour-vision deficiency on screening</w:t>
            </w:r>
          </w:p>
        </w:tc>
      </w:tr>
      <w:tr>
        <w:tc>
          <w:tcPr>
            <w:tcW w:type="dxa" w:w="4513"/>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No known ocular, systemic or neurological illness</w:t>
            </w:r>
          </w:p>
        </w:tc>
        <w:tc>
          <w:tcPr>
            <w:tcW w:type="dxa" w:w="4513"/>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History of photosensitivity or migraine</w:t>
            </w:r>
          </w:p>
        </w:tc>
      </w:tr>
      <w:tr>
        <w:tc>
          <w:tcPr>
            <w:tcW w:type="dxa" w:w="4513"/>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Able to give written informed consent</w:t>
            </w:r>
          </w:p>
        </w:tc>
        <w:tc>
          <w:tcPr>
            <w:tcW w:type="dxa" w:w="4513"/>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Medication affecting vision, accommodation or tear film</w:t>
            </w:r>
          </w:p>
        </w:tc>
      </w:tr>
      <w:tr>
        <w:tc>
          <w:tcPr>
            <w:tcW w:type="dxa" w:w="4513"/>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Able to attend one sitting of approximately 100 minutes</w:t>
            </w:r>
          </w:p>
        </w:tc>
        <w:tc>
          <w:tcPr>
            <w:tcW w:type="dxa" w:w="4513"/>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Diagnosed learning or psychiatric disorder</w:t>
            </w:r>
          </w:p>
        </w:tc>
      </w:tr>
      <w:tr>
        <w:tc>
          <w:tcPr>
            <w:tcW w:type="dxa" w:w="4513"/>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w:t>
            </w:r>
          </w:p>
        </w:tc>
        <w:tc>
          <w:tcPr>
            <w:tcW w:type="dxa" w:w="4513"/>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Contact-lens wear on test days; ocular surgery within six months</w:t>
            </w:r>
          </w:p>
        </w:tc>
      </w:tr>
    </w:tbl>
    <w:p>
      <w:pPr>
        <w:spacing w:after="200"/>
      </w:pPr>
      <w:r>
        <w:rPr>
          <w:sz w:val="12"/>
          <w:szCs w:val="12"/>
        </w:rPr>
        <w:t xml:space="preserve"/>
      </w:r>
    </w:p>
    <w:p>
      <w:pPr>
        <w:spacing w:after="140" w:line="340"/>
        <w:jc w:val="both"/>
      </w:pPr>
      <w:r>
        <w:rPr>
          <w:rFonts w:ascii="Times New Roman" w:cs="Times New Roman" w:eastAsia="Times New Roman" w:hAnsi="Times New Roman"/>
          <w:b w:val="false"/>
          <w:bCs w:val="false"/>
          <w:i w:val="false"/>
          <w:iCs w:val="false"/>
          <w:sz w:val="24"/>
          <w:szCs w:val="24"/>
        </w:rPr>
        <w:t xml:space="preserve">Screening comprises visual acuity, non-cycloplegic refraction, cover test, near point of convergence and Ishihara colour-vision screening on the study display (Klinke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it is an aid rather than a diagnosis and its outcomes are covariates. A profiling questionnaire supplies the moderators for Objective 3 and the sleepiness covariates.</w:t>
      </w:r>
    </w:p>
    <w:p>
      <w:pPr>
        <w:spacing w:after="140" w:line="340"/>
        <w:jc w:val="both"/>
      </w:pPr>
      <w:r>
        <w:rPr>
          <w:rFonts w:ascii="Times New Roman" w:cs="Times New Roman" w:eastAsia="Times New Roman" w:hAnsi="Times New Roman"/>
          <w:b/>
          <w:bCs/>
          <w:i w:val="false"/>
          <w:iCs w:val="false"/>
          <w:sz w:val="24"/>
          <w:szCs w:val="24"/>
        </w:rPr>
        <w:t xml:space="preserve">Figure 3.2 — Participant flow.</w:t>
      </w:r>
    </w:p>
    <w:tbl>
      <w:tblPr>
        <w:tblW w:type="dxa" w:w="7200"/>
        <w:jc w:val="center"/>
        <w:tblBorders>
          <w:top w:val="single" w:color="5A6B7C" w:sz="6"/>
          <w:left w:val="single" w:color="5A6B7C" w:sz="6"/>
          <w:bottom w:val="single" w:color="5A6B7C" w:sz="6"/>
          <w:right w:val="single" w:color="5A6B7C" w:sz="6"/>
          <w:insideH w:val="none" w:color="FFFFFF" w:sz="0"/>
          <w:insideV w:val="none" w:color="FFFFFF" w:sz="0"/>
        </w:tblBorders>
      </w:tblPr>
      <w:tblGrid>
        <w:gridCol w:w="7200"/>
      </w:tblGrid>
      <w:tr>
        <w:tc>
          <w:tcPr>
            <w:tcW w:type="dxa" w:w="7200"/>
            <w:shd w:fill="EEF3FA" w:color="auto" w:val="clear"/>
            <w:tcMar>
              <w:top w:type="dxa" w:w="80"/>
              <w:left w:type="dxa" w:w="140"/>
              <w:bottom w:type="dxa" w:w="80"/>
              <w:right w:type="dxa" w:w="14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Approached and assessed for eligibility (target ≈ 180)</w:t>
            </w:r>
          </w:p>
        </w:tc>
      </w:tr>
    </w:tbl>
    <w:p>
      <w:pPr>
        <w:spacing w:after="0" w:before="0"/>
        <w:jc w:val="center"/>
      </w:pPr>
      <w:r>
        <w:rPr>
          <w:rFonts w:ascii="Times New Roman" w:cs="Times New Roman" w:eastAsia="Times New Roman" w:hAnsi="Times New Roman"/>
          <w:color w:val="5A6B7C"/>
          <w:sz w:val="26"/>
          <w:szCs w:val="26"/>
        </w:rPr>
        <w:t xml:space="preserve">↓</w:t>
      </w:r>
    </w:p>
    <w:tbl>
      <w:tblPr>
        <w:tblW w:type="dxa" w:w="7200"/>
        <w:jc w:val="center"/>
        <w:tblBorders>
          <w:top w:val="single" w:color="5A6B7C" w:sz="6"/>
          <w:left w:val="single" w:color="5A6B7C" w:sz="6"/>
          <w:bottom w:val="single" w:color="5A6B7C" w:sz="6"/>
          <w:right w:val="single" w:color="5A6B7C" w:sz="6"/>
          <w:insideH w:val="none" w:color="FFFFFF" w:sz="0"/>
          <w:insideV w:val="none" w:color="FFFFFF" w:sz="0"/>
        </w:tblBorders>
      </w:tblPr>
      <w:tblGrid>
        <w:gridCol w:w="7200"/>
      </w:tblGrid>
      <w:tr>
        <w:tc>
          <w:tcPr>
            <w:tcW w:type="dxa" w:w="7200"/>
            <w:shd w:fill="EEF3FA" w:color="auto" w:val="clear"/>
            <w:tcMar>
              <w:top w:type="dxa" w:w="80"/>
              <w:left w:type="dxa" w:w="140"/>
              <w:bottom w:type="dxa" w:w="80"/>
              <w:right w:type="dxa" w:w="14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Screened: acuity, refraction, binocular status, colour vision</w:t>
            </w:r>
          </w:p>
        </w:tc>
      </w:tr>
    </w:tbl>
    <w:p>
      <w:pPr>
        <w:spacing w:after="0" w:before="0"/>
        <w:jc w:val="center"/>
      </w:pPr>
      <w:r>
        <w:rPr>
          <w:rFonts w:ascii="Times New Roman" w:cs="Times New Roman" w:eastAsia="Times New Roman" w:hAnsi="Times New Roman"/>
          <w:color w:val="5A6B7C"/>
          <w:sz w:val="26"/>
          <w:szCs w:val="26"/>
        </w:rPr>
        <w:t xml:space="preserve">↓</w:t>
      </w:r>
    </w:p>
    <w:tbl>
      <w:tblPr>
        <w:tblW w:type="dxa" w:w="7200"/>
        <w:jc w:val="center"/>
        <w:tblBorders>
          <w:top w:val="single" w:color="5A6B7C" w:sz="6"/>
          <w:left w:val="single" w:color="5A6B7C" w:sz="6"/>
          <w:bottom w:val="single" w:color="5A6B7C" w:sz="6"/>
          <w:right w:val="single" w:color="5A6B7C" w:sz="6"/>
          <w:insideH w:val="none" w:color="FFFFFF" w:sz="0"/>
          <w:insideV w:val="none" w:color="FFFFFF" w:sz="0"/>
        </w:tblBorders>
      </w:tblPr>
      <w:tblGrid>
        <w:gridCol w:w="7200"/>
      </w:tblGrid>
      <w:tr>
        <w:tc>
          <w:tcPr>
            <w:tcW w:type="dxa" w:w="7200"/>
            <w:shd w:fill="EEF3FA" w:color="auto" w:val="clear"/>
            <w:tcMar>
              <w:top w:type="dxa" w:w="80"/>
              <w:left w:type="dxa" w:w="140"/>
              <w:bottom w:type="dxa" w:w="80"/>
              <w:right w:type="dxa" w:w="14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Enrolled and consented (n = 145); sequential enrolment number assigned</w:t>
            </w:r>
          </w:p>
        </w:tc>
      </w:tr>
    </w:tbl>
    <w:p>
      <w:pPr>
        <w:spacing w:after="0" w:before="0"/>
        <w:jc w:val="center"/>
      </w:pPr>
      <w:r>
        <w:rPr>
          <w:rFonts w:ascii="Times New Roman" w:cs="Times New Roman" w:eastAsia="Times New Roman" w:hAnsi="Times New Roman"/>
          <w:color w:val="5A6B7C"/>
          <w:sz w:val="26"/>
          <w:szCs w:val="26"/>
        </w:rPr>
        <w:t xml:space="preserve">↓</w:t>
      </w:r>
    </w:p>
    <w:tbl>
      <w:tblPr>
        <w:tblW w:type="dxa" w:w="7200"/>
        <w:jc w:val="center"/>
        <w:tblBorders>
          <w:top w:val="single" w:color="5A6B7C" w:sz="6"/>
          <w:left w:val="single" w:color="5A6B7C" w:sz="6"/>
          <w:bottom w:val="single" w:color="5A6B7C" w:sz="6"/>
          <w:right w:val="single" w:color="5A6B7C" w:sz="6"/>
          <w:insideH w:val="none" w:color="FFFFFF" w:sz="0"/>
          <w:insideV w:val="none" w:color="FFFFFF" w:sz="0"/>
        </w:tblBorders>
      </w:tblPr>
      <w:tblGrid>
        <w:gridCol w:w="7200"/>
      </w:tblGrid>
      <w:tr>
        <w:tc>
          <w:tcPr>
            <w:tcW w:type="dxa" w:w="7200"/>
            <w:shd w:fill="EEF3FA" w:color="auto" w:val="clear"/>
            <w:tcMar>
              <w:top w:type="dxa" w:w="80"/>
              <w:left w:type="dxa" w:w="140"/>
              <w:bottom w:type="dxa" w:w="80"/>
              <w:right w:type="dxa" w:w="14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Single sitting at 300 lux: ten conditions in Williams order</w:t>
            </w:r>
          </w:p>
        </w:tc>
      </w:tr>
    </w:tbl>
    <w:p>
      <w:pPr>
        <w:spacing w:after="0" w:before="0"/>
        <w:jc w:val="center"/>
      </w:pPr>
      <w:r>
        <w:rPr>
          <w:rFonts w:ascii="Times New Roman" w:cs="Times New Roman" w:eastAsia="Times New Roman" w:hAnsi="Times New Roman"/>
          <w:color w:val="5A6B7C"/>
          <w:sz w:val="26"/>
          <w:szCs w:val="26"/>
        </w:rPr>
        <w:t xml:space="preserve">↓</w:t>
      </w:r>
    </w:p>
    <w:tbl>
      <w:tblPr>
        <w:tblW w:type="dxa" w:w="7200"/>
        <w:jc w:val="center"/>
        <w:tblBorders>
          <w:top w:val="single" w:color="5A6B7C" w:sz="6"/>
          <w:left w:val="single" w:color="5A6B7C" w:sz="6"/>
          <w:bottom w:val="single" w:color="5A6B7C" w:sz="6"/>
          <w:right w:val="single" w:color="5A6B7C" w:sz="6"/>
          <w:insideH w:val="none" w:color="FFFFFF" w:sz="0"/>
          <w:insideV w:val="none" w:color="FFFFFF" w:sz="0"/>
        </w:tblBorders>
      </w:tblPr>
      <w:tblGrid>
        <w:gridCol w:w="7200"/>
      </w:tblGrid>
      <w:tr>
        <w:tc>
          <w:tcPr>
            <w:tcW w:type="dxa" w:w="7200"/>
            <w:shd w:fill="EEF3FA" w:color="auto" w:val="clear"/>
            <w:tcMar>
              <w:top w:type="dxa" w:w="80"/>
              <w:left w:type="dxa" w:w="140"/>
              <w:bottom w:type="dxa" w:w="80"/>
              <w:right w:type="dxa" w:w="14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Withdrawal, non-completion or data-quality exclusion recorded</w:t>
            </w:r>
          </w:p>
        </w:tc>
      </w:tr>
    </w:tbl>
    <w:p>
      <w:pPr>
        <w:spacing w:after="0" w:before="0"/>
        <w:jc w:val="center"/>
      </w:pPr>
      <w:r>
        <w:rPr>
          <w:rFonts w:ascii="Times New Roman" w:cs="Times New Roman" w:eastAsia="Times New Roman" w:hAnsi="Times New Roman"/>
          <w:color w:val="5A6B7C"/>
          <w:sz w:val="26"/>
          <w:szCs w:val="26"/>
        </w:rPr>
        <w:t xml:space="preserve">↓</w:t>
      </w:r>
    </w:p>
    <w:tbl>
      <w:tblPr>
        <w:tblW w:type="dxa" w:w="7200"/>
        <w:jc w:val="center"/>
        <w:tblBorders>
          <w:top w:val="single" w:color="5A6B7C" w:sz="6"/>
          <w:left w:val="single" w:color="5A6B7C" w:sz="6"/>
          <w:bottom w:val="single" w:color="5A6B7C" w:sz="6"/>
          <w:right w:val="single" w:color="5A6B7C" w:sz="6"/>
          <w:insideH w:val="none" w:color="FFFFFF" w:sz="0"/>
          <w:insideV w:val="none" w:color="FFFFFF" w:sz="0"/>
        </w:tblBorders>
      </w:tblPr>
      <w:tblGrid>
        <w:gridCol w:w="7200"/>
      </w:tblGrid>
      <w:tr>
        <w:tc>
          <w:tcPr>
            <w:tcW w:type="dxa" w:w="7200"/>
            <w:shd w:fill="EEF3FA" w:color="auto" w:val="clear"/>
            <w:tcMar>
              <w:top w:type="dxa" w:w="80"/>
              <w:left w:type="dxa" w:w="140"/>
              <w:bottom w:type="dxa" w:w="80"/>
              <w:right w:type="dxa" w:w="14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Analysed (target n = 130; 1,300 condition-runs)</w:t>
            </w:r>
          </w:p>
        </w:tc>
      </w:tr>
    </w:tbl>
    <w:p>
      <w:pPr>
        <w:spacing w:after="160"/>
      </w:pPr>
      <w:r>
        <w:rPr>
          <w:rFonts w:ascii="Times New Roman" w:cs="Times New Roman" w:eastAsia="Times New Roman" w:hAnsi="Times New Roman"/>
          <w:sz w:val="24"/>
          <w:szCs w:val="24"/>
        </w:rPr>
        <w:t xml:space="preserve"/>
      </w:r>
    </w:p>
    <w:p>
      <w:pPr>
        <w:pStyle w:val="Heading2"/>
        <w:keepNext/>
        <w:spacing w:after="160" w:before="280"/>
      </w:pPr>
      <w:r>
        <w:rPr>
          <w:rFonts w:ascii="Times New Roman" w:cs="Times New Roman" w:eastAsia="Times New Roman" w:hAnsi="Times New Roman"/>
          <w:b/>
          <w:bCs/>
          <w:i w:val="false"/>
          <w:iCs w:val="false"/>
          <w:sz w:val="28"/>
          <w:szCs w:val="28"/>
        </w:rPr>
        <w:t xml:space="preserve">3.3 Display conditions</w:t>
      </w:r>
    </w:p>
    <w:p>
      <w:pPr>
        <w:spacing w:after="140" w:line="340"/>
        <w:jc w:val="both"/>
      </w:pPr>
      <w:r>
        <w:rPr>
          <w:rFonts w:ascii="Times New Roman" w:cs="Times New Roman" w:eastAsia="Times New Roman" w:hAnsi="Times New Roman"/>
          <w:b w:val="false"/>
          <w:bCs w:val="false"/>
          <w:i w:val="false"/>
          <w:iCs w:val="false"/>
          <w:sz w:val="24"/>
          <w:szCs w:val="24"/>
        </w:rPr>
        <w:t xml:space="preserve">All conditions are presented on one tablet at a fixed white luminance, characterised photometrically before collection. Hex values are locked and contrast is computed from them, entering the analysis as a covariate.</w:t>
      </w:r>
    </w:p>
    <w:p>
      <w:pPr>
        <w:spacing w:after="140" w:line="340"/>
        <w:jc w:val="both"/>
      </w:pPr>
      <w:r>
        <w:rPr>
          <w:rFonts w:ascii="Times New Roman" w:cs="Times New Roman" w:eastAsia="Times New Roman" w:hAnsi="Times New Roman"/>
          <w:b/>
          <w:bCs/>
          <w:i w:val="false"/>
          <w:iCs w:val="false"/>
          <w:sz w:val="24"/>
          <w:szCs w:val="24"/>
        </w:rPr>
        <w:t xml:space="preserve">Table 3.2 — The ten display conditions with computed contrast.</w:t>
      </w:r>
    </w:p>
    <w:tbl>
      <w:tblPr>
        <w:tblW w:type="dxa" w:w="9026"/>
        <w:tblBorders>
          <w:top w:val="single" w:color="8899AA" w:sz="4"/>
          <w:left w:val="single" w:color="8899AA" w:sz="4"/>
          <w:bottom w:val="single" w:color="8899AA" w:sz="4"/>
          <w:right w:val="single" w:color="8899AA" w:sz="4"/>
          <w:insideH w:val="single" w:color="BBC4CC" w:sz="2"/>
          <w:insideV w:val="single" w:color="BBC4CC" w:sz="2"/>
        </w:tblBorders>
      </w:tblPr>
      <w:tblGrid>
        <w:gridCol w:w="946"/>
        <w:gridCol w:w="700"/>
        <w:gridCol w:w="1471"/>
        <w:gridCol w:w="1077"/>
        <w:gridCol w:w="1339"/>
        <w:gridCol w:w="1339"/>
        <w:gridCol w:w="1077"/>
        <w:gridCol w:w="1077"/>
      </w:tblGrid>
      <w:tr>
        <w:trPr>
          <w:tblHeader/>
        </w:trPr>
        <w:tc>
          <w:tcPr>
            <w:tcW w:type="dxa" w:w="946"/>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Sl. No.</w:t>
            </w:r>
          </w:p>
        </w:tc>
        <w:tc>
          <w:tcPr>
            <w:tcW w:type="dxa" w:w="700"/>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Code</w:t>
            </w:r>
          </w:p>
        </w:tc>
        <w:tc>
          <w:tcPr>
            <w:tcW w:type="dxa" w:w="1471"/>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Text colour</w:t>
            </w:r>
          </w:p>
        </w:tc>
        <w:tc>
          <w:tcPr>
            <w:tcW w:type="dxa" w:w="1077"/>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Text hex</w:t>
            </w:r>
          </w:p>
        </w:tc>
        <w:tc>
          <w:tcPr>
            <w:tcW w:type="dxa" w:w="1339"/>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Background</w:t>
            </w:r>
          </w:p>
        </w:tc>
        <w:tc>
          <w:tcPr>
            <w:tcW w:type="dxa" w:w="1339"/>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WCAG ratio</w:t>
            </w:r>
          </w:p>
        </w:tc>
        <w:tc>
          <w:tcPr>
            <w:tcW w:type="dxa" w:w="1077"/>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Level</w:t>
            </w:r>
          </w:p>
        </w:tc>
        <w:tc>
          <w:tcPr>
            <w:tcW w:type="dxa" w:w="1077"/>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Below AA</w:t>
            </w:r>
          </w:p>
        </w:tc>
      </w:tr>
      <w:tr>
        <w:tc>
          <w:tcPr>
            <w:tcW w:type="dxa" w:w="946"/>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1</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P1</w:t>
            </w:r>
          </w:p>
        </w:tc>
        <w:tc>
          <w:tcPr>
            <w:tcW w:type="dxa" w:w="1471"/>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Achromatic</w:t>
            </w:r>
          </w:p>
        </w:tc>
        <w:tc>
          <w:tcPr>
            <w:tcW w:type="dxa" w:w="107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#000000</w:t>
            </w:r>
          </w:p>
        </w:tc>
        <w:tc>
          <w:tcPr>
            <w:tcW w:type="dxa" w:w="133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#FFFFFF</w:t>
            </w:r>
          </w:p>
        </w:tc>
        <w:tc>
          <w:tcPr>
            <w:tcW w:type="dxa" w:w="133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21.00 : 1</w:t>
            </w:r>
          </w:p>
        </w:tc>
        <w:tc>
          <w:tcPr>
            <w:tcW w:type="dxa" w:w="107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AAA</w:t>
            </w:r>
          </w:p>
        </w:tc>
        <w:tc>
          <w:tcPr>
            <w:tcW w:type="dxa" w:w="107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No</w:t>
            </w:r>
          </w:p>
        </w:tc>
      </w:tr>
      <w:tr>
        <w:tc>
          <w:tcPr>
            <w:tcW w:type="dxa" w:w="946"/>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P2</w:t>
            </w:r>
          </w:p>
        </w:tc>
        <w:tc>
          <w:tcPr>
            <w:tcW w:type="dxa" w:w="1471"/>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Blue</w:t>
            </w:r>
          </w:p>
        </w:tc>
        <w:tc>
          <w:tcPr>
            <w:tcW w:type="dxa" w:w="107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#1E4ED8</w:t>
            </w:r>
          </w:p>
        </w:tc>
        <w:tc>
          <w:tcPr>
            <w:tcW w:type="dxa" w:w="133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#FFFFFF</w:t>
            </w:r>
          </w:p>
        </w:tc>
        <w:tc>
          <w:tcPr>
            <w:tcW w:type="dxa" w:w="133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6.70 : 1</w:t>
            </w:r>
          </w:p>
        </w:tc>
        <w:tc>
          <w:tcPr>
            <w:tcW w:type="dxa" w:w="107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AA</w:t>
            </w:r>
          </w:p>
        </w:tc>
        <w:tc>
          <w:tcPr>
            <w:tcW w:type="dxa" w:w="107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No</w:t>
            </w:r>
          </w:p>
        </w:tc>
      </w:tr>
      <w:tr>
        <w:tc>
          <w:tcPr>
            <w:tcW w:type="dxa" w:w="946"/>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3</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P3</w:t>
            </w:r>
          </w:p>
        </w:tc>
        <w:tc>
          <w:tcPr>
            <w:tcW w:type="dxa" w:w="1471"/>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Red</w:t>
            </w:r>
          </w:p>
        </w:tc>
        <w:tc>
          <w:tcPr>
            <w:tcW w:type="dxa" w:w="107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#C81E1E</w:t>
            </w:r>
          </w:p>
        </w:tc>
        <w:tc>
          <w:tcPr>
            <w:tcW w:type="dxa" w:w="133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#FFFFFF</w:t>
            </w:r>
          </w:p>
        </w:tc>
        <w:tc>
          <w:tcPr>
            <w:tcW w:type="dxa" w:w="133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5.74 : 1</w:t>
            </w:r>
          </w:p>
        </w:tc>
        <w:tc>
          <w:tcPr>
            <w:tcW w:type="dxa" w:w="107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AA</w:t>
            </w:r>
          </w:p>
        </w:tc>
        <w:tc>
          <w:tcPr>
            <w:tcW w:type="dxa" w:w="107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No</w:t>
            </w:r>
          </w:p>
        </w:tc>
      </w:tr>
      <w:tr>
        <w:tc>
          <w:tcPr>
            <w:tcW w:type="dxa" w:w="946"/>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4</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P4</w:t>
            </w:r>
          </w:p>
        </w:tc>
        <w:tc>
          <w:tcPr>
            <w:tcW w:type="dxa" w:w="1471"/>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Yellow</w:t>
            </w:r>
          </w:p>
        </w:tc>
        <w:tc>
          <w:tcPr>
            <w:tcW w:type="dxa" w:w="107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#C9A400</w:t>
            </w:r>
          </w:p>
        </w:tc>
        <w:tc>
          <w:tcPr>
            <w:tcW w:type="dxa" w:w="133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#FFFFFF</w:t>
            </w:r>
          </w:p>
        </w:tc>
        <w:tc>
          <w:tcPr>
            <w:tcW w:type="dxa" w:w="133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2.39 : 1</w:t>
            </w:r>
          </w:p>
        </w:tc>
        <w:tc>
          <w:tcPr>
            <w:tcW w:type="dxa" w:w="107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Fail</w:t>
            </w:r>
          </w:p>
        </w:tc>
        <w:tc>
          <w:tcPr>
            <w:tcW w:type="dxa" w:w="107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Yes</w:t>
            </w:r>
          </w:p>
        </w:tc>
      </w:tr>
      <w:tr>
        <w:tc>
          <w:tcPr>
            <w:tcW w:type="dxa" w:w="946"/>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5</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P5</w:t>
            </w:r>
          </w:p>
        </w:tc>
        <w:tc>
          <w:tcPr>
            <w:tcW w:type="dxa" w:w="1471"/>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Green</w:t>
            </w:r>
          </w:p>
        </w:tc>
        <w:tc>
          <w:tcPr>
            <w:tcW w:type="dxa" w:w="107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#00A651</w:t>
            </w:r>
          </w:p>
        </w:tc>
        <w:tc>
          <w:tcPr>
            <w:tcW w:type="dxa" w:w="133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#FFFFFF</w:t>
            </w:r>
          </w:p>
        </w:tc>
        <w:tc>
          <w:tcPr>
            <w:tcW w:type="dxa" w:w="133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3.19 : 1</w:t>
            </w:r>
          </w:p>
        </w:tc>
        <w:tc>
          <w:tcPr>
            <w:tcW w:type="dxa" w:w="107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AA Large</w:t>
            </w:r>
          </w:p>
        </w:tc>
        <w:tc>
          <w:tcPr>
            <w:tcW w:type="dxa" w:w="107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Yes</w:t>
            </w:r>
          </w:p>
        </w:tc>
      </w:tr>
      <w:tr>
        <w:tc>
          <w:tcPr>
            <w:tcW w:type="dxa" w:w="946"/>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6</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N1</w:t>
            </w:r>
          </w:p>
        </w:tc>
        <w:tc>
          <w:tcPr>
            <w:tcW w:type="dxa" w:w="1471"/>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Achromatic</w:t>
            </w:r>
          </w:p>
        </w:tc>
        <w:tc>
          <w:tcPr>
            <w:tcW w:type="dxa" w:w="107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#FFFFFF</w:t>
            </w:r>
          </w:p>
        </w:tc>
        <w:tc>
          <w:tcPr>
            <w:tcW w:type="dxa" w:w="133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#000000</w:t>
            </w:r>
          </w:p>
        </w:tc>
        <w:tc>
          <w:tcPr>
            <w:tcW w:type="dxa" w:w="133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21.00 : 1</w:t>
            </w:r>
          </w:p>
        </w:tc>
        <w:tc>
          <w:tcPr>
            <w:tcW w:type="dxa" w:w="107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AAA</w:t>
            </w:r>
          </w:p>
        </w:tc>
        <w:tc>
          <w:tcPr>
            <w:tcW w:type="dxa" w:w="107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No</w:t>
            </w:r>
          </w:p>
        </w:tc>
      </w:tr>
      <w:tr>
        <w:tc>
          <w:tcPr>
            <w:tcW w:type="dxa" w:w="946"/>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7</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N2</w:t>
            </w:r>
          </w:p>
        </w:tc>
        <w:tc>
          <w:tcPr>
            <w:tcW w:type="dxa" w:w="1471"/>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Blue</w:t>
            </w:r>
          </w:p>
        </w:tc>
        <w:tc>
          <w:tcPr>
            <w:tcW w:type="dxa" w:w="107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#1E4ED8</w:t>
            </w:r>
          </w:p>
        </w:tc>
        <w:tc>
          <w:tcPr>
            <w:tcW w:type="dxa" w:w="133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#000000</w:t>
            </w:r>
          </w:p>
        </w:tc>
        <w:tc>
          <w:tcPr>
            <w:tcW w:type="dxa" w:w="133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3.14 : 1</w:t>
            </w:r>
          </w:p>
        </w:tc>
        <w:tc>
          <w:tcPr>
            <w:tcW w:type="dxa" w:w="107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AA Large</w:t>
            </w:r>
          </w:p>
        </w:tc>
        <w:tc>
          <w:tcPr>
            <w:tcW w:type="dxa" w:w="107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Yes</w:t>
            </w:r>
          </w:p>
        </w:tc>
      </w:tr>
      <w:tr>
        <w:tc>
          <w:tcPr>
            <w:tcW w:type="dxa" w:w="946"/>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8</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N3</w:t>
            </w:r>
          </w:p>
        </w:tc>
        <w:tc>
          <w:tcPr>
            <w:tcW w:type="dxa" w:w="1471"/>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Red</w:t>
            </w:r>
          </w:p>
        </w:tc>
        <w:tc>
          <w:tcPr>
            <w:tcW w:type="dxa" w:w="107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#C81E1E</w:t>
            </w:r>
          </w:p>
        </w:tc>
        <w:tc>
          <w:tcPr>
            <w:tcW w:type="dxa" w:w="133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#000000</w:t>
            </w:r>
          </w:p>
        </w:tc>
        <w:tc>
          <w:tcPr>
            <w:tcW w:type="dxa" w:w="133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3.66 : 1</w:t>
            </w:r>
          </w:p>
        </w:tc>
        <w:tc>
          <w:tcPr>
            <w:tcW w:type="dxa" w:w="107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AA Large</w:t>
            </w:r>
          </w:p>
        </w:tc>
        <w:tc>
          <w:tcPr>
            <w:tcW w:type="dxa" w:w="107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Yes</w:t>
            </w:r>
          </w:p>
        </w:tc>
      </w:tr>
      <w:tr>
        <w:tc>
          <w:tcPr>
            <w:tcW w:type="dxa" w:w="946"/>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9</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N4</w:t>
            </w:r>
          </w:p>
        </w:tc>
        <w:tc>
          <w:tcPr>
            <w:tcW w:type="dxa" w:w="1471"/>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Yellow</w:t>
            </w:r>
          </w:p>
        </w:tc>
        <w:tc>
          <w:tcPr>
            <w:tcW w:type="dxa" w:w="107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#C9A400</w:t>
            </w:r>
          </w:p>
        </w:tc>
        <w:tc>
          <w:tcPr>
            <w:tcW w:type="dxa" w:w="133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#000000</w:t>
            </w:r>
          </w:p>
        </w:tc>
        <w:tc>
          <w:tcPr>
            <w:tcW w:type="dxa" w:w="133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8.79 : 1</w:t>
            </w:r>
          </w:p>
        </w:tc>
        <w:tc>
          <w:tcPr>
            <w:tcW w:type="dxa" w:w="107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AAA</w:t>
            </w:r>
          </w:p>
        </w:tc>
        <w:tc>
          <w:tcPr>
            <w:tcW w:type="dxa" w:w="107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No</w:t>
            </w:r>
          </w:p>
        </w:tc>
      </w:tr>
      <w:tr>
        <w:tc>
          <w:tcPr>
            <w:tcW w:type="dxa" w:w="946"/>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10</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N5</w:t>
            </w:r>
          </w:p>
        </w:tc>
        <w:tc>
          <w:tcPr>
            <w:tcW w:type="dxa" w:w="1471"/>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Green</w:t>
            </w:r>
          </w:p>
        </w:tc>
        <w:tc>
          <w:tcPr>
            <w:tcW w:type="dxa" w:w="107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#00A651</w:t>
            </w:r>
          </w:p>
        </w:tc>
        <w:tc>
          <w:tcPr>
            <w:tcW w:type="dxa" w:w="133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#000000</w:t>
            </w:r>
          </w:p>
        </w:tc>
        <w:tc>
          <w:tcPr>
            <w:tcW w:type="dxa" w:w="133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6.57 : 1</w:t>
            </w:r>
          </w:p>
        </w:tc>
        <w:tc>
          <w:tcPr>
            <w:tcW w:type="dxa" w:w="107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AA</w:t>
            </w:r>
          </w:p>
        </w:tc>
        <w:tc>
          <w:tcPr>
            <w:tcW w:type="dxa" w:w="107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No</w:t>
            </w:r>
          </w:p>
        </w:tc>
      </w:tr>
    </w:tbl>
    <w:p>
      <w:pPr>
        <w:spacing w:after="200"/>
      </w:pPr>
      <w:r>
        <w:rPr>
          <w:sz w:val="12"/>
          <w:szCs w:val="12"/>
        </w:rPr>
        <w:t xml:space="preserve"/>
      </w:r>
    </w:p>
    <w:p>
      <w:pPr>
        <w:spacing w:after="140" w:line="340"/>
        <w:jc w:val="both"/>
      </w:pPr>
      <w:r>
        <w:rPr>
          <w:rFonts w:ascii="Times New Roman" w:cs="Times New Roman" w:eastAsia="Times New Roman" w:hAnsi="Times New Roman"/>
          <w:b w:val="false"/>
          <w:bCs w:val="false"/>
          <w:i w:val="false"/>
          <w:iCs w:val="false"/>
          <w:sz w:val="24"/>
          <w:szCs w:val="24"/>
        </w:rPr>
        <w:t xml:space="preserve">Two properties govern the analysis. The contrast ordering is exactly inverted between polarities — arithmetic, not design — so a contrast-mediated colour effect must cross over between them and a residual hue effect must not. The achromatic pair is contrast-matched at 21.00:1 in both, giving the one comparison in which a polarity effect cannot be attributed to contrast. Two conditions fall below the accessibility minimum in each polarity, so polarity is unconfounded with compliance.</w:t>
      </w:r>
    </w:p>
    <w:p>
      <w:pPr>
        <w:pStyle w:val="Heading2"/>
        <w:keepNext/>
        <w:spacing w:after="160" w:before="280"/>
      </w:pPr>
      <w:r>
        <w:rPr>
          <w:rFonts w:ascii="Times New Roman" w:cs="Times New Roman" w:eastAsia="Times New Roman" w:hAnsi="Times New Roman"/>
          <w:b/>
          <w:bCs/>
          <w:i w:val="false"/>
          <w:iCs w:val="false"/>
          <w:sz w:val="28"/>
          <w:szCs w:val="28"/>
        </w:rPr>
        <w:t xml:space="preserve">3.4 Ambient illumination as a controlled constant</w:t>
      </w:r>
    </w:p>
    <w:p>
      <w:pPr>
        <w:spacing w:after="140" w:line="340"/>
        <w:jc w:val="both"/>
      </w:pPr>
      <w:r>
        <w:rPr>
          <w:rFonts w:ascii="Times New Roman" w:cs="Times New Roman" w:eastAsia="Times New Roman" w:hAnsi="Times New Roman"/>
          <w:b w:val="false"/>
          <w:bCs w:val="false"/>
          <w:i w:val="false"/>
          <w:iCs w:val="false"/>
          <w:sz w:val="24"/>
          <w:szCs w:val="24"/>
        </w:rPr>
        <w:t xml:space="preserve">Illuminance is set to 300 lux (accepted 250–350), verified at the eye position and the display plane with a calibrated meter and logged at the start, middle and end of every sitting; a reading outside the band is a recorded protocol deviation. Colour temperature and light-source type are held constant and daylight excluded.</w:t>
      </w:r>
    </w:p>
    <w:p>
      <w:pPr>
        <w:spacing w:after="140" w:line="340"/>
        <w:jc w:val="both"/>
      </w:pPr>
      <w:r>
        <w:rPr>
          <w:rFonts w:ascii="Times New Roman" w:cs="Times New Roman" w:eastAsia="Times New Roman" w:hAnsi="Times New Roman"/>
          <w:b w:val="false"/>
          <w:bCs w:val="false"/>
          <w:i w:val="false"/>
          <w:iCs w:val="false"/>
          <w:sz w:val="24"/>
          <w:szCs w:val="24"/>
        </w:rPr>
        <w:t xml:space="preserve">The level was fixed on photometric grounds rather than by reference to a lighting standard: published guidance for work with self-luminous displays places ambient illuminance around this range, but the specific figures could not be verified against the standards themselves and are therefore not cited. Critically, it is high enough that room light rather than the display dominates the illuminance on the reader's face: because the ocular measures are camera-derived, and the modelled ratio of face illuminance between polarities is about 2.3 at 10 lux against 1.05 at 300, a dimmer room would make camera exposure vary with the primary independent variable.</w:t>
      </w:r>
    </w:p>
    <w:p>
      <w:pPr>
        <w:pStyle w:val="Heading2"/>
        <w:keepNext/>
        <w:spacing w:after="160" w:before="280"/>
      </w:pPr>
      <w:r>
        <w:rPr>
          <w:rFonts w:ascii="Times New Roman" w:cs="Times New Roman" w:eastAsia="Times New Roman" w:hAnsi="Times New Roman"/>
          <w:b/>
          <w:bCs/>
          <w:i w:val="false"/>
          <w:iCs w:val="false"/>
          <w:sz w:val="28"/>
          <w:szCs w:val="28"/>
        </w:rPr>
        <w:t xml:space="preserve">3.5 Instrumentation and measures</w:t>
      </w:r>
    </w:p>
    <w:p>
      <w:pPr>
        <w:spacing w:after="140" w:line="340"/>
        <w:jc w:val="both"/>
      </w:pPr>
      <w:r>
        <w:rPr>
          <w:rFonts w:ascii="Times New Roman" w:cs="Times New Roman" w:eastAsia="Times New Roman" w:hAnsi="Times New Roman"/>
          <w:b w:val="false"/>
          <w:bCs w:val="false"/>
          <w:i w:val="false"/>
          <w:iCs w:val="false"/>
          <w:sz w:val="24"/>
          <w:szCs w:val="24"/>
        </w:rPr>
        <w:t xml:space="preserve">A purpose-built, offline-capable tablet application presents the ten conditions with locked colour values and a neutral grey adaptation field between them, timestamping task onsets to the frame. Ocular measures come from the front camera by facial-landmark tracking; no video leaves the device unless separately consented.</w:t>
      </w:r>
    </w:p>
    <w:p>
      <w:pPr>
        <w:spacing w:after="140" w:line="340"/>
        <w:jc w:val="both"/>
      </w:pPr>
      <w:r>
        <w:rPr>
          <w:rFonts w:ascii="Times New Roman" w:cs="Times New Roman" w:eastAsia="Times New Roman" w:hAnsi="Times New Roman"/>
          <w:b/>
          <w:bCs/>
          <w:i w:val="false"/>
          <w:iCs w:val="false"/>
          <w:sz w:val="24"/>
          <w:szCs w:val="24"/>
        </w:rPr>
        <w:t xml:space="preserve">Precision.</w:t>
      </w:r>
      <w:r>
        <w:rPr>
          <w:rFonts w:ascii="Times New Roman" w:cs="Times New Roman" w:eastAsia="Times New Roman" w:hAnsi="Times New Roman"/>
          <w:b w:val="false"/>
          <w:bCs w:val="false"/>
          <w:i w:val="false"/>
          <w:iCs w:val="false"/>
          <w:sz w:val="24"/>
          <w:szCs w:val="24"/>
        </w:rPr>
        <w:t xml:space="preserve"> The incomplete-blink ratio is a binomial proportion, so precision follows the blinks captured. Passages of four pages and 570 to 600 words give an exposure of 178 seconds, about 39 blinks, and a condition-level standard error near 0.06; the count is exported with every ratio, and runs below 20 blinks are flagged.</w:t>
      </w:r>
    </w:p>
    <w:p>
      <w:pPr>
        <w:spacing w:after="140" w:line="340"/>
        <w:jc w:val="both"/>
      </w:pPr>
      <w:r>
        <w:rPr>
          <w:rFonts w:ascii="Times New Roman" w:cs="Times New Roman" w:eastAsia="Times New Roman" w:hAnsi="Times New Roman"/>
          <w:b/>
          <w:bCs/>
          <w:i w:val="false"/>
          <w:iCs w:val="false"/>
          <w:sz w:val="24"/>
          <w:szCs w:val="24"/>
        </w:rPr>
        <w:t xml:space="preserve">Validation.</w:t>
      </w:r>
      <w:r>
        <w:rPr>
          <w:rFonts w:ascii="Times New Roman" w:cs="Times New Roman" w:eastAsia="Times New Roman" w:hAnsi="Times New Roman"/>
          <w:b w:val="false"/>
          <w:bCs w:val="false"/>
          <w:i w:val="false"/>
          <w:iCs w:val="false"/>
          <w:sz w:val="24"/>
          <w:szCs w:val="24"/>
        </w:rPr>
        <w:t xml:space="preserve"> A subsample of twenty participants contributes two 3-minute segments each for masked frame-by-frame annotation, against which the automated classifier is assessed by Cohen's kappa and Bland–Altman bias (criteria: kappa ≥ 0.60, the conventional threshold for substantial agreement, and bias within ±5 percentage points).</w:t>
      </w:r>
    </w:p>
    <w:p>
      <w:pPr>
        <w:pStyle w:val="Heading2"/>
        <w:keepNext/>
        <w:spacing w:after="160" w:before="280"/>
      </w:pPr>
      <w:r>
        <w:rPr>
          <w:rFonts w:ascii="Times New Roman" w:cs="Times New Roman" w:eastAsia="Times New Roman" w:hAnsi="Times New Roman"/>
          <w:b/>
          <w:bCs/>
          <w:i w:val="false"/>
          <w:iCs w:val="false"/>
          <w:sz w:val="28"/>
          <w:szCs w:val="28"/>
        </w:rPr>
        <w:t xml:space="preserve">3.6 Procedure</w:t>
      </w:r>
    </w:p>
    <w:p>
      <w:pPr>
        <w:spacing w:after="140" w:line="340"/>
        <w:jc w:val="both"/>
      </w:pPr>
      <w:r>
        <w:rPr>
          <w:rFonts w:ascii="Times New Roman" w:cs="Times New Roman" w:eastAsia="Times New Roman" w:hAnsi="Times New Roman"/>
          <w:b w:val="false"/>
          <w:bCs w:val="false"/>
          <w:i w:val="false"/>
          <w:iCs w:val="false"/>
          <w:sz w:val="24"/>
          <w:szCs w:val="24"/>
        </w:rPr>
        <w:t xml:space="preserve">After consent, screening and profiling, the participant is seated 50 to 60 cm from the display, the room verified at 300 lux, and calibration and baseline questionnaires completed. The ten conditions then run in the assigned Williams order.</w:t>
      </w:r>
    </w:p>
    <w:p>
      <w:pPr>
        <w:spacing w:after="140" w:line="340"/>
        <w:jc w:val="both"/>
      </w:pPr>
      <w:r>
        <w:rPr>
          <w:rFonts w:ascii="Times New Roman" w:cs="Times New Roman" w:eastAsia="Times New Roman" w:hAnsi="Times New Roman"/>
          <w:b/>
          <w:bCs/>
          <w:i w:val="false"/>
          <w:iCs w:val="false"/>
          <w:sz w:val="24"/>
          <w:szCs w:val="24"/>
        </w:rPr>
        <w:t xml:space="preserve">Figure 3.4 — One condition-run.</w:t>
      </w:r>
    </w:p>
    <w:tbl>
      <w:tblPr>
        <w:tblW w:type="dxa" w:w="7200"/>
        <w:jc w:val="center"/>
        <w:tblBorders>
          <w:top w:val="single" w:color="5A6B7C" w:sz="6"/>
          <w:left w:val="single" w:color="5A6B7C" w:sz="6"/>
          <w:bottom w:val="single" w:color="5A6B7C" w:sz="6"/>
          <w:right w:val="single" w:color="5A6B7C" w:sz="6"/>
          <w:insideH w:val="none" w:color="FFFFFF" w:sz="0"/>
          <w:insideV w:val="none" w:color="FFFFFF" w:sz="0"/>
        </w:tblBorders>
      </w:tblPr>
      <w:tblGrid>
        <w:gridCol w:w="7200"/>
      </w:tblGrid>
      <w:tr>
        <w:tc>
          <w:tcPr>
            <w:tcW w:type="dxa" w:w="7200"/>
            <w:shd w:fill="EEF3FA" w:color="auto" w:val="clear"/>
            <w:tcMar>
              <w:top w:type="dxa" w:w="80"/>
              <w:left w:type="dxa" w:w="140"/>
              <w:bottom w:type="dxa" w:w="80"/>
              <w:right w:type="dxa" w:w="14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Adaptation on neutral grey, 60 s (120 s when polarity switches)</w:t>
            </w:r>
          </w:p>
        </w:tc>
      </w:tr>
    </w:tbl>
    <w:p>
      <w:pPr>
        <w:spacing w:after="0" w:before="0"/>
        <w:jc w:val="center"/>
      </w:pPr>
      <w:r>
        <w:rPr>
          <w:rFonts w:ascii="Times New Roman" w:cs="Times New Roman" w:eastAsia="Times New Roman" w:hAnsi="Times New Roman"/>
          <w:color w:val="5A6B7C"/>
          <w:sz w:val="26"/>
          <w:szCs w:val="26"/>
        </w:rPr>
        <w:t xml:space="preserve">↓</w:t>
      </w:r>
    </w:p>
    <w:tbl>
      <w:tblPr>
        <w:tblW w:type="dxa" w:w="7200"/>
        <w:jc w:val="center"/>
        <w:tblBorders>
          <w:top w:val="single" w:color="5A6B7C" w:sz="6"/>
          <w:left w:val="single" w:color="5A6B7C" w:sz="6"/>
          <w:bottom w:val="single" w:color="5A6B7C" w:sz="6"/>
          <w:right w:val="single" w:color="5A6B7C" w:sz="6"/>
          <w:insideH w:val="none" w:color="FFFFFF" w:sz="0"/>
          <w:insideV w:val="none" w:color="FFFFFF" w:sz="0"/>
        </w:tblBorders>
      </w:tblPr>
      <w:tblGrid>
        <w:gridCol w:w="7200"/>
      </w:tblGrid>
      <w:tr>
        <w:tc>
          <w:tcPr>
            <w:tcW w:type="dxa" w:w="7200"/>
            <w:shd w:fill="EEF3FA" w:color="auto" w:val="clear"/>
            <w:tcMar>
              <w:top w:type="dxa" w:w="80"/>
              <w:left w:type="dxa" w:w="140"/>
              <w:bottom w:type="dxa" w:w="80"/>
              <w:right w:type="dxa" w:w="14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Reading task — the exposure that produces the primary outcome</w:t>
            </w:r>
          </w:p>
        </w:tc>
      </w:tr>
    </w:tbl>
    <w:p>
      <w:pPr>
        <w:spacing w:after="0" w:before="0"/>
        <w:jc w:val="center"/>
      </w:pPr>
      <w:r>
        <w:rPr>
          <w:rFonts w:ascii="Times New Roman" w:cs="Times New Roman" w:eastAsia="Times New Roman" w:hAnsi="Times New Roman"/>
          <w:color w:val="5A6B7C"/>
          <w:sz w:val="26"/>
          <w:szCs w:val="26"/>
        </w:rPr>
        <w:t xml:space="preserve">↓</w:t>
      </w:r>
    </w:p>
    <w:tbl>
      <w:tblPr>
        <w:tblW w:type="dxa" w:w="8625"/>
        <w:jc w:val="center"/>
        <w:tblBorders>
          <w:top w:val="single" w:color="5A6B7C" w:sz="6"/>
          <w:left w:val="single" w:color="5A6B7C" w:sz="6"/>
          <w:bottom w:val="single" w:color="5A6B7C" w:sz="6"/>
          <w:right w:val="single" w:color="5A6B7C" w:sz="6"/>
          <w:insideH w:val="single" w:color="9FB3C8" w:sz="4"/>
          <w:insideV w:val="single" w:color="9FB3C8" w:sz="4"/>
        </w:tblBorders>
      </w:tblPr>
      <w:tblGrid>
        <w:gridCol w:w="2875"/>
        <w:gridCol w:w="2875"/>
        <w:gridCol w:w="2875"/>
      </w:tblGrid>
      <w:tr>
        <w:tc>
          <w:tcPr>
            <w:tcW w:type="dxa" w:w="2875"/>
            <w:shd w:fill="EEF3FA" w:color="auto" w:val="clear"/>
            <w:tcMar>
              <w:top w:type="dxa" w:w="80"/>
              <w:left w:type="dxa" w:w="120"/>
              <w:bottom w:type="dxa" w:w="80"/>
              <w:right w:type="dxa" w:w="12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Comprehension, three questions</w:t>
            </w:r>
          </w:p>
        </w:tc>
        <w:tc>
          <w:tcPr>
            <w:tcW w:type="dxa" w:w="2875"/>
            <w:shd w:fill="EEF3FA" w:color="auto" w:val="clear"/>
            <w:tcMar>
              <w:top w:type="dxa" w:w="80"/>
              <w:left w:type="dxa" w:w="120"/>
              <w:bottom w:type="dxa" w:w="80"/>
              <w:right w:type="dxa" w:w="12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Display-perception rating</w:t>
            </w:r>
          </w:p>
        </w:tc>
        <w:tc>
          <w:tcPr>
            <w:tcW w:type="dxa" w:w="2875"/>
            <w:shd w:fill="EEF3FA" w:color="auto" w:val="clear"/>
            <w:tcMar>
              <w:top w:type="dxa" w:w="80"/>
              <w:left w:type="dxa" w:w="120"/>
              <w:bottom w:type="dxa" w:w="80"/>
              <w:right w:type="dxa" w:w="12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Visual-fatigue VAS</w:t>
            </w:r>
          </w:p>
        </w:tc>
      </w:tr>
    </w:tbl>
    <w:p>
      <w:pPr>
        <w:spacing w:after="0" w:before="0"/>
        <w:jc w:val="center"/>
      </w:pPr>
      <w:r>
        <w:rPr>
          <w:rFonts w:ascii="Times New Roman" w:cs="Times New Roman" w:eastAsia="Times New Roman" w:hAnsi="Times New Roman"/>
          <w:color w:val="5A6B7C"/>
          <w:sz w:val="26"/>
          <w:szCs w:val="26"/>
        </w:rPr>
        <w:t xml:space="preserve">↓</w:t>
      </w:r>
    </w:p>
    <w:tbl>
      <w:tblPr>
        <w:tblW w:type="dxa" w:w="7200"/>
        <w:jc w:val="center"/>
        <w:tblBorders>
          <w:top w:val="single" w:color="5A6B7C" w:sz="6"/>
          <w:left w:val="single" w:color="5A6B7C" w:sz="6"/>
          <w:bottom w:val="single" w:color="5A6B7C" w:sz="6"/>
          <w:right w:val="single" w:color="5A6B7C" w:sz="6"/>
          <w:insideH w:val="none" w:color="FFFFFF" w:sz="0"/>
          <w:insideV w:val="none" w:color="FFFFFF" w:sz="0"/>
        </w:tblBorders>
      </w:tblPr>
      <w:tblGrid>
        <w:gridCol w:w="7200"/>
      </w:tblGrid>
      <w:tr>
        <w:tc>
          <w:tcPr>
            <w:tcW w:type="dxa" w:w="7200"/>
            <w:shd w:fill="EEF3FA" w:color="auto" w:val="clear"/>
            <w:tcMar>
              <w:top w:type="dxa" w:w="80"/>
              <w:left w:type="dxa" w:w="140"/>
              <w:bottom w:type="dxa" w:w="80"/>
              <w:right w:type="dxa" w:w="14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Visual search — tap every occurrence of a target word</w:t>
            </w:r>
          </w:p>
        </w:tc>
      </w:tr>
    </w:tbl>
    <w:p>
      <w:pPr>
        <w:spacing w:after="0" w:before="0"/>
        <w:jc w:val="center"/>
      </w:pPr>
      <w:r>
        <w:rPr>
          <w:rFonts w:ascii="Times New Roman" w:cs="Times New Roman" w:eastAsia="Times New Roman" w:hAnsi="Times New Roman"/>
          <w:color w:val="5A6B7C"/>
          <w:sz w:val="26"/>
          <w:szCs w:val="26"/>
        </w:rPr>
        <w:t xml:space="preserve">↓</w:t>
      </w:r>
    </w:p>
    <w:tbl>
      <w:tblPr>
        <w:tblW w:type="dxa" w:w="7200"/>
        <w:jc w:val="center"/>
        <w:tblBorders>
          <w:top w:val="single" w:color="5A6B7C" w:sz="6"/>
          <w:left w:val="single" w:color="5A6B7C" w:sz="6"/>
          <w:bottom w:val="single" w:color="5A6B7C" w:sz="6"/>
          <w:right w:val="single" w:color="5A6B7C" w:sz="6"/>
          <w:insideH w:val="none" w:color="FFFFFF" w:sz="0"/>
          <w:insideV w:val="none" w:color="FFFFFF" w:sz="0"/>
        </w:tblBorders>
      </w:tblPr>
      <w:tblGrid>
        <w:gridCol w:w="7200"/>
      </w:tblGrid>
      <w:tr>
        <w:tc>
          <w:tcPr>
            <w:tcW w:type="dxa" w:w="7200"/>
            <w:shd w:fill="EEF3FA" w:color="auto" w:val="clear"/>
            <w:tcMar>
              <w:top w:type="dxa" w:w="80"/>
              <w:left w:type="dxa" w:w="140"/>
              <w:bottom w:type="dxa" w:w="80"/>
              <w:right w:type="dxa" w:w="14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Go/no-go reaction time — 32 trials on the active background</w:t>
            </w:r>
          </w:p>
        </w:tc>
      </w:tr>
    </w:tbl>
    <w:p>
      <w:pPr>
        <w:spacing w:after="160"/>
      </w:pPr>
      <w:r>
        <w:rPr>
          <w:rFonts w:ascii="Times New Roman" w:cs="Times New Roman" w:eastAsia="Times New Roman" w:hAnsi="Times New Roman"/>
          <w:sz w:val="24"/>
          <w:szCs w:val="24"/>
        </w:rPr>
        <w:t xml:space="preserve"/>
      </w:r>
    </w:p>
    <w:p>
      <w:pPr>
        <w:spacing w:after="140" w:line="340"/>
        <w:jc w:val="both"/>
      </w:pPr>
      <w:r>
        <w:rPr>
          <w:rFonts w:ascii="Times New Roman" w:cs="Times New Roman" w:eastAsia="Times New Roman" w:hAnsi="Times New Roman"/>
          <w:b w:val="false"/>
          <w:bCs w:val="false"/>
          <w:i w:val="false"/>
          <w:iCs w:val="false"/>
          <w:sz w:val="24"/>
          <w:szCs w:val="24"/>
        </w:rPr>
        <w:t xml:space="preserve">A self-paced rest follows every second condition and no performance feedback is given. The sitting closes with the CVS-Q repeated and NASA-TLX once. Simulation over 2,000 synthetic participants gives a median of 98 minutes and a 95th percentile of 119 — also the total contact time, there being one visit. A pilot of ten precedes the main study; failing a 120-minute median, one withdrawal in ten, or 0.90 face presence in a tenth of runs, the conditions are split across two sittings of five.</w:t>
      </w:r>
    </w:p>
    <w:p>
      <w:pPr>
        <w:pStyle w:val="Heading2"/>
        <w:keepNext/>
        <w:spacing w:after="160" w:before="280"/>
      </w:pPr>
      <w:r>
        <w:rPr>
          <w:rFonts w:ascii="Times New Roman" w:cs="Times New Roman" w:eastAsia="Times New Roman" w:hAnsi="Times New Roman"/>
          <w:b/>
          <w:bCs/>
          <w:i w:val="false"/>
          <w:iCs w:val="false"/>
          <w:sz w:val="28"/>
          <w:szCs w:val="28"/>
        </w:rPr>
        <w:t xml:space="preserve">3.7 Variables and outcomes</w:t>
      </w:r>
    </w:p>
    <w:p>
      <w:pPr>
        <w:spacing w:after="140" w:line="340"/>
        <w:jc w:val="both"/>
      </w:pPr>
      <w:r>
        <w:rPr>
          <w:rFonts w:ascii="Times New Roman" w:cs="Times New Roman" w:eastAsia="Times New Roman" w:hAnsi="Times New Roman"/>
          <w:b w:val="false"/>
          <w:bCs w:val="false"/>
          <w:i w:val="false"/>
          <w:iCs w:val="false"/>
          <w:sz w:val="24"/>
          <w:szCs w:val="24"/>
        </w:rPr>
        <w:t xml:space="preserve">Independent variables are display polarity and text colour; ambient illuminance is a controlled constant and a manipulation check. Covariates are serial position, measured illuminance and display luminance, computed contrast, PERCLOS, achieved sampling rate, refractive and binocular status, and the profiling variables.</w:t>
      </w:r>
    </w:p>
    <w:p>
      <w:pPr>
        <w:spacing w:after="140" w:line="340"/>
        <w:jc w:val="both"/>
      </w:pPr>
      <w:r>
        <w:rPr>
          <w:rFonts w:ascii="Times New Roman" w:cs="Times New Roman" w:eastAsia="Times New Roman" w:hAnsi="Times New Roman"/>
          <w:b w:val="false"/>
          <w:bCs w:val="false"/>
          <w:i w:val="false"/>
          <w:iCs w:val="false"/>
          <w:sz w:val="24"/>
          <w:szCs w:val="24"/>
        </w:rPr>
        <w:t xml:space="preserve">The primary outcome is the incomplete-blink ratio; the key secondary outcome is the change in CVS-Q from baseline (Seguí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2015). Secondary and exploratory measures are blink rate and inter-blink interval; PERCLOS, head pose and face-presence ratio as drowsiness and quality indices; a five-item visual-fatigue VAS and display comfort and clarity ratings per condition; NASA-TLX once per sitting (Hart &amp; Staveland, 1988); and, for performance, reading rate, comprehension accuracy, visual-search accuracy and efficiency, and reaction-time mean, variability, lapse rate, d′ and criterion. Confirmatory inference is confined to the primary outcome.</w:t>
      </w:r>
    </w:p>
    <w:p>
      <w:pPr>
        <w:pStyle w:val="Heading2"/>
        <w:keepNext/>
        <w:spacing w:after="160" w:before="280"/>
      </w:pPr>
      <w:r>
        <w:rPr>
          <w:rFonts w:ascii="Times New Roman" w:cs="Times New Roman" w:eastAsia="Times New Roman" w:hAnsi="Times New Roman"/>
          <w:b/>
          <w:bCs/>
          <w:i w:val="false"/>
          <w:iCs w:val="false"/>
          <w:sz w:val="28"/>
          <w:szCs w:val="28"/>
        </w:rPr>
        <w:t xml:space="preserve">3.8 Counterbalancing</w:t>
      </w:r>
    </w:p>
    <w:p>
      <w:pPr>
        <w:spacing w:after="140" w:line="340"/>
        <w:jc w:val="both"/>
      </w:pPr>
      <w:r>
        <w:rPr>
          <w:rFonts w:ascii="Times New Roman" w:cs="Times New Roman" w:eastAsia="Times New Roman" w:hAnsi="Times New Roman"/>
          <w:b w:val="false"/>
          <w:bCs w:val="false"/>
          <w:i w:val="false"/>
          <w:iCs w:val="false"/>
          <w:sz w:val="24"/>
          <w:szCs w:val="24"/>
        </w:rPr>
        <w:t xml:space="preserve">Two order-related threats arise: serial-position effects from the vigilance decrement and accumulating fatigue, and first-order carryover, notably the light-adaptation transient at a polarity switch. A balanced Williams-type Latin square over the ten conditions addresses both, since each condition occupies each serial position equally often across a complete block and precedes and follows every other equally often. Participants are assigned to rows by sequential enrolment index, with complete balance in blocks of ten. Where a sitting is split for scheduling, the row continues rather than restarting.</w:t>
      </w:r>
    </w:p>
    <w:p>
      <w:pPr>
        <w:pStyle w:val="Heading2"/>
        <w:keepNext/>
        <w:spacing w:after="160" w:before="280"/>
      </w:pPr>
      <w:r>
        <w:rPr>
          <w:rFonts w:ascii="Times New Roman" w:cs="Times New Roman" w:eastAsia="Times New Roman" w:hAnsi="Times New Roman"/>
          <w:b/>
          <w:bCs/>
          <w:i w:val="false"/>
          <w:iCs w:val="false"/>
          <w:sz w:val="28"/>
          <w:szCs w:val="28"/>
        </w:rPr>
        <w:t xml:space="preserve">3.9 Statistical analysis</w:t>
      </w:r>
    </w:p>
    <w:p>
      <w:pPr>
        <w:spacing w:after="140" w:line="340"/>
        <w:jc w:val="both"/>
      </w:pPr>
      <w:r>
        <w:rPr>
          <w:rFonts w:ascii="Times New Roman" w:cs="Times New Roman" w:eastAsia="Times New Roman" w:hAnsi="Times New Roman"/>
          <w:b w:val="false"/>
          <w:bCs w:val="false"/>
          <w:i w:val="false"/>
          <w:iCs w:val="false"/>
          <w:sz w:val="24"/>
          <w:szCs w:val="24"/>
        </w:rPr>
        <w:t xml:space="preserve">The confirmatory analysis is a binomial mixed-effects model of the incomplete-blink counts, with fixed effects for polarity, text colour, their interaction and serial position, and a random intercept for participant with a random slope for polarity where supported. Modelling counts rather than the ratio is deliberate: a proportion from five blinks and one from sixty are not equally informative, and a Gaussian model would treat them as though they were. A non-converging random structure is reduced in a pre-specified order and the reduction reported.</w:t>
      </w:r>
    </w:p>
    <w:p>
      <w:pPr>
        <w:spacing w:after="140" w:line="340"/>
        <w:jc w:val="both"/>
      </w:pPr>
      <w:r>
        <w:rPr>
          <w:rFonts w:ascii="Times New Roman" w:cs="Times New Roman" w:eastAsia="Times New Roman" w:hAnsi="Times New Roman"/>
          <w:b w:val="false"/>
          <w:bCs w:val="false"/>
          <w:i w:val="false"/>
          <w:iCs w:val="false"/>
          <w:sz w:val="24"/>
          <w:szCs w:val="24"/>
        </w:rPr>
        <w:t xml:space="preserve">For Objective 2, colour as a categorical factor is compared against luminance contrast as a continuous predictor, so comparative fit and residual hue terms quantify each contribution. Moderation is tested by condition-by-moderator interactions. Ordinal cumulative-link models serve rating outcomes and binomial models accuracy. Sensitivity analyses exclude flagged conditions and add PERCLOS as a covariate. Effect sizes with confidence intervals and multiplicity control within outcome families are reported throughout.</w:t>
      </w:r>
    </w:p>
    <w:p>
      <w:pPr>
        <w:spacing w:after="140" w:line="340"/>
        <w:jc w:val="both"/>
      </w:pPr>
      <w:r>
        <w:rPr>
          <w:rFonts w:ascii="Times New Roman" w:cs="Times New Roman" w:eastAsia="Times New Roman" w:hAnsi="Times New Roman"/>
          <w:b w:val="false"/>
          <w:bCs w:val="false"/>
          <w:i w:val="false"/>
          <w:iCs w:val="false"/>
          <w:sz w:val="24"/>
          <w:szCs w:val="24"/>
        </w:rPr>
        <w:t xml:space="preserve">Each export carries a manifest of per-file checksums and build provenance, and an integrity report flagging incomplete condition sets, gaps in serial position and unattributable sessions; failing rows are retained and flagged rather than dropped, so exclusions are auditable and missingness is never silent.</w:t>
      </w:r>
    </w:p>
    <w:p>
      <w:pPr>
        <w:pStyle w:val="Heading2"/>
        <w:keepNext/>
        <w:spacing w:after="160" w:before="280"/>
      </w:pPr>
      <w:r>
        <w:rPr>
          <w:rFonts w:ascii="Times New Roman" w:cs="Times New Roman" w:eastAsia="Times New Roman" w:hAnsi="Times New Roman"/>
          <w:b/>
          <w:bCs/>
          <w:i w:val="false"/>
          <w:iCs w:val="false"/>
          <w:sz w:val="28"/>
          <w:szCs w:val="28"/>
        </w:rPr>
        <w:t xml:space="preserve">3.10 Ethical considerations</w:t>
      </w:r>
    </w:p>
    <w:p>
      <w:pPr>
        <w:spacing w:after="140" w:line="340"/>
        <w:jc w:val="both"/>
      </w:pPr>
      <w:r>
        <w:rPr>
          <w:rFonts w:ascii="Times New Roman" w:cs="Times New Roman" w:eastAsia="Times New Roman" w:hAnsi="Times New Roman"/>
          <w:b w:val="false"/>
          <w:bCs w:val="false"/>
          <w:i w:val="false"/>
          <w:iCs w:val="false"/>
          <w:sz w:val="24"/>
          <w:szCs w:val="24"/>
        </w:rPr>
        <w:t xml:space="preserve">The study begins after Institutional Ethics Committee approval and follows the Declaration of Helsinki. Written informed consent precedes any procedure, and participation is voluntary and withdrawable without penalty.</w:t>
      </w:r>
    </w:p>
    <w:p>
      <w:pPr>
        <w:spacing w:after="140" w:line="340"/>
        <w:jc w:val="both"/>
      </w:pPr>
      <w:r>
        <w:rPr>
          <w:rFonts w:ascii="Times New Roman" w:cs="Times New Roman" w:eastAsia="Times New Roman" w:hAnsi="Times New Roman"/>
          <w:b w:val="false"/>
          <w:bCs w:val="false"/>
          <w:i w:val="false"/>
          <w:iCs w:val="false"/>
          <w:sz w:val="24"/>
          <w:szCs w:val="24"/>
        </w:rPr>
        <w:t xml:space="preserve">Camera use is separately consented. By default the front camera computes numeric measures only — blink metrics and head position — and images are discarded immediately and never stored. Retaining two setup photographs, and reading video for the annotation sub-study, are separate default-off grants; declining either does not affect participation, and a grant may be withdrawn afterwards, whereupon the recordings it covered are destroyed while the numeric data are retained. Records are held under a participant code with the link to identity stored separately. Risks are limited to transient visual fatigue, mitigated by rest breaks, the right to stop at any time, and advice not to drive immediately afterwards.</w:t>
      </w:r>
    </w:p>
    <w:p>
      <w:pPr>
        <w:pBdr>
          <w:bottom w:val="single" w:color="AAAAAA" w:sz="6" w:space="1"/>
        </w:pBdr>
        <w:spacing w:after="200" w:before="120"/>
      </w:pPr>
      <w:r>
        <w:rPr>
          <w:rFonts w:ascii="Times New Roman" w:cs="Times New Roman" w:eastAsia="Times New Roman" w:hAnsi="Times New Roman"/>
          <w:sz w:val="24"/>
          <w:szCs w:val="24"/>
        </w:rPr>
        <w:t xml:space="preserve"/>
      </w:r>
    </w:p>
    <w:p>
      <w:pPr>
        <w:pStyle w:val="Heading1"/>
        <w:keepNext/>
        <w:spacing w:after="160" w:before="320"/>
      </w:pPr>
      <w:r>
        <w:rPr>
          <w:rFonts w:ascii="Times New Roman" w:cs="Times New Roman" w:eastAsia="Times New Roman" w:hAnsi="Times New Roman"/>
          <w:b/>
          <w:bCs/>
          <w:i w:val="false"/>
          <w:iCs w:val="false"/>
          <w:sz w:val="32"/>
          <w:szCs w:val="32"/>
        </w:rPr>
        <w:t xml:space="preserve">CHAPTER 4: CONCLUSION</w:t>
      </w:r>
    </w:p>
    <w:p>
      <w:pPr>
        <w:pStyle w:val="Heading2"/>
        <w:keepNext/>
        <w:spacing w:after="160" w:before="280"/>
      </w:pPr>
      <w:r>
        <w:rPr>
          <w:rFonts w:ascii="Times New Roman" w:cs="Times New Roman" w:eastAsia="Times New Roman" w:hAnsi="Times New Roman"/>
          <w:b/>
          <w:bCs/>
          <w:i w:val="false"/>
          <w:iCs w:val="false"/>
          <w:sz w:val="28"/>
          <w:szCs w:val="28"/>
        </w:rPr>
        <w:t xml:space="preserve">4.1 Expected outcomes</w:t>
      </w:r>
    </w:p>
    <w:p>
      <w:pPr>
        <w:spacing w:after="140" w:line="340"/>
        <w:jc w:val="both"/>
      </w:pPr>
      <w:r>
        <w:rPr>
          <w:rFonts w:ascii="Times New Roman" w:cs="Times New Roman" w:eastAsia="Times New Roman" w:hAnsi="Times New Roman"/>
          <w:b w:val="false"/>
          <w:bCs w:val="false"/>
          <w:i w:val="false"/>
          <w:iCs w:val="false"/>
          <w:sz w:val="24"/>
          <w:szCs w:val="24"/>
        </w:rPr>
        <w:t xml:space="preserve">The study is expected to yield quantified effects, with confidence intervals, of display polarity and text colour on subjective visual fatigue, ocular behaviour, cognitive workload and task performance at a controlled ambient illuminance, and, to the best of the available evidence, will provide among the first estimates of the polarity-by-colour interaction on fatigue outcomes, and is expected to determine whether the positive polarity advantage extends from brief legibility tasks to hour-scale reading and ocular-surface outcomes.</w:t>
      </w:r>
    </w:p>
    <w:p>
      <w:pPr>
        <w:spacing w:after="140" w:line="340"/>
        <w:jc w:val="both"/>
      </w:pPr>
      <w:r>
        <w:rPr>
          <w:rFonts w:ascii="Times New Roman" w:cs="Times New Roman" w:eastAsia="Times New Roman" w:hAnsi="Times New Roman"/>
          <w:b w:val="false"/>
          <w:bCs w:val="false"/>
          <w:i w:val="false"/>
          <w:iCs w:val="false"/>
          <w:sz w:val="24"/>
          <w:szCs w:val="24"/>
        </w:rPr>
        <w:t xml:space="preserve">Because the contrast ordering of colours reverses across polarity, the results are expected to indicate the extent to which colour-related effects are mediated by luminance contrast rather than hue: a crossover interaction would support contrast mediation, a preserved ordering would suggest residual hue-specific effects, with contrast expected to account for most colour-related variance and red a candidate exception. The study will further identify the configurations that minimise and maximise fatigue, indicate whether a polarity-blind contrast criterion adequately predicts measured readability, and produce an account of subjective–objective correspondence and a validated instrument whose agreement with manual annotation is reported.</w:t>
      </w:r>
    </w:p>
    <w:p>
      <w:pPr>
        <w:pStyle w:val="Heading2"/>
        <w:keepNext/>
        <w:spacing w:after="160" w:before="280"/>
      </w:pPr>
      <w:r>
        <w:rPr>
          <w:rFonts w:ascii="Times New Roman" w:cs="Times New Roman" w:eastAsia="Times New Roman" w:hAnsi="Times New Roman"/>
          <w:b/>
          <w:bCs/>
          <w:i w:val="false"/>
          <w:iCs w:val="false"/>
          <w:sz w:val="28"/>
          <w:szCs w:val="28"/>
        </w:rPr>
        <w:t xml:space="preserve">4.2 Significance of the study</w:t>
      </w:r>
    </w:p>
    <w:p>
      <w:pPr>
        <w:spacing w:after="140" w:line="340"/>
        <w:jc w:val="both"/>
      </w:pPr>
      <w:r>
        <w:rPr>
          <w:rFonts w:ascii="Times New Roman" w:cs="Times New Roman" w:eastAsia="Times New Roman" w:hAnsi="Times New Roman"/>
          <w:b w:val="false"/>
          <w:bCs w:val="false"/>
          <w:i w:val="false"/>
          <w:iCs w:val="false"/>
          <w:sz w:val="24"/>
          <w:szCs w:val="24"/>
        </w:rPr>
        <w:t xml:space="preserve">The findings map onto interface and product design, giving empirically grounded specification of text presentation and dark-mode implementation for reading applications, e-readers, e-learning platforms and operating-system themes, and they bear on accessibility standards by indicating whether and how polarity must enter a contrast criterion. For occupational and public health, display configuration is a preventive measure that costs nothing and can be deployed at population scale for a condition affecting roughly seven in ten screen users. In education the work informs the configuration of tablet-based learning materials; for optometric practice it provides actionable device-configuration advice in an area where practitioners are documented to lack quality evidence; and methodologically, a scalable instrument relieves the annotation bottleneck that has confined this literature to small samples.</w:t>
      </w:r>
    </w:p>
    <w:p>
      <w:pPr>
        <w:pStyle w:val="Heading2"/>
        <w:keepNext/>
        <w:spacing w:after="160" w:before="280"/>
      </w:pPr>
      <w:r>
        <w:rPr>
          <w:rFonts w:ascii="Times New Roman" w:cs="Times New Roman" w:eastAsia="Times New Roman" w:hAnsi="Times New Roman"/>
          <w:b/>
          <w:bCs/>
          <w:i w:val="false"/>
          <w:iCs w:val="false"/>
          <w:sz w:val="28"/>
          <w:szCs w:val="28"/>
        </w:rPr>
        <w:t xml:space="preserve">4.3 Limitations and delimitations</w:t>
      </w:r>
    </w:p>
    <w:p>
      <w:pPr>
        <w:spacing w:after="140" w:line="340"/>
        <w:jc w:val="both"/>
      </w:pPr>
      <w:r>
        <w:rPr>
          <w:rFonts w:ascii="Times New Roman" w:cs="Times New Roman" w:eastAsia="Times New Roman" w:hAnsi="Times New Roman"/>
          <w:b w:val="false"/>
          <w:bCs w:val="false"/>
          <w:i w:val="false"/>
          <w:iCs w:val="false"/>
          <w:sz w:val="24"/>
          <w:szCs w:val="24"/>
        </w:rPr>
        <w:t xml:space="preserve">Polarity and luminance contrast are not fully orthogonal, because chromatic pigments differ intrinsically in luminance and contrast cannot be equalised across polarity while the colour set is held fixed. This is mitigated by measuring and modelling contrast, and is deliberately exploited as a crossover test, but it constrains fully independent causal attribution.</w:t>
      </w:r>
    </w:p>
    <w:p>
      <w:pPr>
        <w:spacing w:after="140" w:line="340"/>
        <w:jc w:val="both"/>
      </w:pPr>
      <w:r>
        <w:rPr>
          <w:rFonts w:ascii="Times New Roman" w:cs="Times New Roman" w:eastAsia="Times New Roman" w:hAnsi="Times New Roman"/>
          <w:b w:val="false"/>
          <w:bCs w:val="false"/>
          <w:i w:val="false"/>
          <w:iCs w:val="false"/>
          <w:sz w:val="24"/>
          <w:szCs w:val="24"/>
        </w:rPr>
        <w:t xml:space="preserve">Camera-based measurement is screening-grade, lower in spatial accuracy and sampling rate than infrared eye tracking, and does not measure accommodation, so gaze measures are limited to coarse zones and duration-based blink metrics are gated on achieved frame rate.</w:t>
      </w:r>
    </w:p>
    <w:p>
      <w:pPr>
        <w:spacing w:after="140" w:line="340"/>
        <w:jc w:val="both"/>
      </w:pPr>
      <w:r>
        <w:rPr>
          <w:rFonts w:ascii="Times New Roman" w:cs="Times New Roman" w:eastAsia="Times New Roman" w:hAnsi="Times New Roman"/>
          <w:b w:val="false"/>
          <w:bCs w:val="false"/>
          <w:i w:val="false"/>
          <w:iCs w:val="false"/>
          <w:sz w:val="24"/>
          <w:szCs w:val="24"/>
        </w:rPr>
        <w:t xml:space="preserve">The precision of the primary outcome within a single condition is bounded by the blinks that condition captures. The three-minute exposure adopted in §3.5 brings the standard error of a condition-level ratio to about 0.06, adequate for the participant-level contrasts carrying Objectives 1 and 2 but leaving individual condition estimates comparatively imprecise. Measurement error attenuates observed effect sizes, so the power figures in Table 3.1 are upper bounds on what the design can detect; the blinks contributing to each condition are exported alongside the ratio so this can be quantified rather than assumed. Accommodative outcomes, which require open-field autorefractometry, fall outside the scope of this study.</w:t>
      </w:r>
    </w:p>
    <w:p>
      <w:pPr>
        <w:spacing w:after="140" w:line="340"/>
        <w:jc w:val="both"/>
      </w:pPr>
      <w:r>
        <w:rPr>
          <w:rFonts w:ascii="Times New Roman" w:cs="Times New Roman" w:eastAsia="Times New Roman" w:hAnsi="Times New Roman"/>
          <w:b w:val="false"/>
          <w:bCs w:val="false"/>
          <w:i w:val="false"/>
          <w:iCs w:val="false"/>
          <w:sz w:val="24"/>
          <w:szCs w:val="24"/>
        </w:rPr>
        <w:t xml:space="preserve">The manipulation cannot be blinded, since polarity and colour are visible, so expectation effects on subjective ratings cannot be excluded, although objective markers, the absence of feedback and counterbalancing mitigate this. Sessions accumulate generic fatigue and boredom alongside visual fatigue, which are counterbalanced, measured and modelled rather than eliminated. The NASA Task Load Index is administered once per sitting and therefore describes the sitting as a whole: it cannot be attributed to polarity or colour, both of which vary within it, and it is reported as a descriptive session-level index rather than as a contrast. PERCLOS, while serving as a sleepiness covariate, is itself insensitive to moderate drowsiness.</w:t>
      </w:r>
    </w:p>
    <w:p>
      <w:pPr>
        <w:spacing w:after="140" w:line="340"/>
        <w:jc w:val="both"/>
      </w:pPr>
      <w:r>
        <w:rPr>
          <w:rFonts w:ascii="Times New Roman" w:cs="Times New Roman" w:eastAsia="Times New Roman" w:hAnsi="Times New Roman"/>
          <w:b w:val="false"/>
          <w:bCs w:val="false"/>
          <w:i w:val="false"/>
          <w:iCs w:val="false"/>
          <w:sz w:val="24"/>
          <w:szCs w:val="24"/>
        </w:rPr>
        <w:t xml:space="preserve">Holding ambient illumination constant is the most consequential delimitation of this design, and it forfeits three things that should be stated rather than implied. The interaction between polarity and room light cannot be estimated, and that interaction is the form the popular claim about dark mode actually takes. The night-time reading scenario, which the earlier two-level version of this protocol included at approximately 10 lux, is outside the present scope altogether. And Sethi and Ziat (2023) located the cognitive cost of negative polarity in younger adults specifically under dim conditions — that is, in the very condition removed — so this study cannot speak to their finding for its own age group. The decision rests on the measurement argument set out in §2.4: at low ambient illuminance the light reaching the participant's face is dominated by the display and therefore varies with polarity, so camera-derived blink measures would have carried an artefact aligned with the primary independent variable. A narrower question answered with a trustworthy instrument was judged preferable to a broader one answered with a compromised one, but the narrowing is real.</w:t>
      </w:r>
    </w:p>
    <w:p>
      <w:pPr>
        <w:spacing w:after="140" w:line="340"/>
        <w:jc w:val="both"/>
      </w:pPr>
      <w:r>
        <w:rPr>
          <w:rFonts w:ascii="Times New Roman" w:cs="Times New Roman" w:eastAsia="Times New Roman" w:hAnsi="Times New Roman"/>
          <w:b w:val="false"/>
          <w:bCs w:val="false"/>
          <w:i w:val="false"/>
          <w:iCs w:val="false"/>
          <w:sz w:val="24"/>
          <w:szCs w:val="24"/>
        </w:rPr>
        <w:t xml:space="preserve">Two further points bear on interpretation. The polarity contrast is confounded with mean display luminance by construction, since white luminance rather than mean luminance is held constant across polarities; Buchner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(2009) report that the positive-polarity advantage disappears when overall display luminance is equalised, so the effect estimated here is properly described as an effect of polarity-with-its-attendant-luminance rather than of polarity alone. And the single illumination level means the findings apply at a display-to-ambient ratio fixed at 300 lux, not across the range of ratios encountered in ordinary use.</w:t>
      </w:r>
    </w:p>
    <w:p>
      <w:pPr>
        <w:spacing w:after="140" w:line="340"/>
        <w:jc w:val="both"/>
      </w:pPr>
      <w:r>
        <w:rPr>
          <w:rFonts w:ascii="Times New Roman" w:cs="Times New Roman" w:eastAsia="Times New Roman" w:hAnsi="Times New Roman"/>
          <w:b w:val="false"/>
          <w:bCs w:val="false"/>
          <w:i w:val="false"/>
          <w:iCs w:val="false"/>
          <w:sz w:val="24"/>
          <w:szCs w:val="24"/>
        </w:rPr>
        <w:t xml:space="preserve">Findings will be specific to the device, display technology, luminance range and population studied. The sample is delimited to adults aged 18 to 35 with normal or corrected vision and no colour-vision deficiency, so presbyopic, paediatric and colour-vision-deficient populations, for whom polarity effects may differ, lie outside the present scope and are identified as future work.</w:t>
      </w:r>
    </w:p>
    <w:p>
      <w:pPr>
        <w:pStyle w:val="Heading2"/>
        <w:keepNext/>
        <w:spacing w:after="160" w:before="280"/>
      </w:pPr>
      <w:r>
        <w:rPr>
          <w:rFonts w:ascii="Times New Roman" w:cs="Times New Roman" w:eastAsia="Times New Roman" w:hAnsi="Times New Roman"/>
          <w:b/>
          <w:bCs/>
          <w:i w:val="false"/>
          <w:iCs w:val="false"/>
          <w:sz w:val="28"/>
          <w:szCs w:val="28"/>
        </w:rPr>
        <w:t xml:space="preserve">4.4 Concluding remarks</w:t>
      </w:r>
    </w:p>
    <w:p>
      <w:pPr>
        <w:spacing w:after="140" w:line="340"/>
        <w:jc w:val="both"/>
      </w:pPr>
      <w:r>
        <w:rPr>
          <w:rFonts w:ascii="Times New Roman" w:cs="Times New Roman" w:eastAsia="Times New Roman" w:hAnsi="Times New Roman"/>
          <w:b w:val="false"/>
          <w:bCs w:val="false"/>
          <w:i w:val="false"/>
          <w:iCs w:val="false"/>
          <w:sz w:val="24"/>
          <w:szCs w:val="24"/>
        </w:rPr>
        <w:t xml:space="preserve">The proposed research addresses a determinant of visual health that is ubiquitous, freely modifiable and inadequately evidenced. By crossing display polarity with a five-level text-colour factor at a controlled ambient illuminance, and measuring validated symptoms alongside ocular behaviour, workload and task performance in a single instrumented protocol, it is intended to provide quantified, standards-relevant evidence on display configuration for prolonged reading, and to contribute a measurement approach that may reduce reliance on manual annotation in this field.</w:t>
      </w:r>
    </w:p>
    <w:p>
      <w:pPr>
        <w:pBdr>
          <w:bottom w:val="single" w:color="AAAAAA" w:sz="6" w:space="1"/>
        </w:pBdr>
        <w:spacing w:after="200" w:before="120"/>
      </w:pPr>
      <w:r>
        <w:rPr>
          <w:rFonts w:ascii="Times New Roman" w:cs="Times New Roman" w:eastAsia="Times New Roman" w:hAnsi="Times New Roman"/>
          <w:sz w:val="24"/>
          <w:szCs w:val="24"/>
        </w:rPr>
        <w:t xml:space="preserve"/>
      </w:r>
    </w:p>
    <w:p>
      <w:pPr>
        <w:pStyle w:val="Heading1"/>
        <w:keepNext/>
        <w:spacing w:after="160" w:before="320"/>
      </w:pPr>
      <w:r>
        <w:rPr>
          <w:rFonts w:ascii="Times New Roman" w:cs="Times New Roman" w:eastAsia="Times New Roman" w:hAnsi="Times New Roman"/>
          <w:b/>
          <w:bCs/>
          <w:i w:val="false"/>
          <w:iCs w:val="false"/>
          <w:sz w:val="32"/>
          <w:szCs w:val="32"/>
        </w:rPr>
        <w:t xml:space="preserve">REFERENCES</w:t>
      </w:r>
    </w:p>
    <w:p>
      <w:pPr>
        <w:spacing w:after="140" w:line="340"/>
        <w:jc w:val="both"/>
      </w:pPr>
      <w:r>
        <w:rPr>
          <w:rFonts w:ascii="Times New Roman" w:cs="Times New Roman" w:eastAsia="Times New Roman" w:hAnsi="Times New Roman"/>
          <w:b w:val="false"/>
          <w:bCs w:val="false"/>
          <w:i w:val="false"/>
          <w:iCs w:val="false"/>
          <w:sz w:val="24"/>
          <w:szCs w:val="24"/>
        </w:rPr>
        <w:t xml:space="preserve">Lin, M., Zheng, X., He, C., Li, M., Lu, F., &amp; Hu, L. (2025). Effects of ambient illuminance and mobile phone screen brightness on tear film stability, visual fatigue, and blink patterns during reading. </w:t>
      </w:r>
      <w:r>
        <w:rPr>
          <w:rFonts w:ascii="Times New Roman" w:cs="Times New Roman" w:eastAsia="Times New Roman" w:hAnsi="Times New Roman"/>
          <w:b w:val="false"/>
          <w:bCs w:val="false"/>
          <w:i/>
          <w:iCs/>
          <w:sz w:val="24"/>
          <w:szCs w:val="24"/>
        </w:rPr>
        <w:t xml:space="preserve">Contact Lens and Anterior Eye</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49</w:t>
      </w:r>
      <w:r>
        <w:rPr>
          <w:rFonts w:ascii="Times New Roman" w:cs="Times New Roman" w:eastAsia="Times New Roman" w:hAnsi="Times New Roman"/>
          <w:b w:val="false"/>
          <w:bCs w:val="false"/>
          <w:i w:val="false"/>
          <w:iCs w:val="false"/>
          <w:sz w:val="24"/>
          <w:szCs w:val="24"/>
        </w:rPr>
        <w:t xml:space="preserve">(1), 102515. https://doi.org/10.1016/j.clae.2025.102515</w:t>
      </w:r>
    </w:p>
    <w:p>
      <w:pPr>
        <w:spacing w:after="140" w:line="340"/>
        <w:jc w:val="both"/>
      </w:pPr>
      <w:r>
        <w:rPr>
          <w:rFonts w:ascii="Times New Roman" w:cs="Times New Roman" w:eastAsia="Times New Roman" w:hAnsi="Times New Roman"/>
          <w:b w:val="false"/>
          <w:bCs w:val="false"/>
          <w:i w:val="false"/>
          <w:iCs w:val="false"/>
          <w:sz w:val="24"/>
          <w:szCs w:val="24"/>
        </w:rPr>
        <w:t xml:space="preserve">Abe, T. (2023). PERCLOS-based technologies for detecting drowsiness: Current evidence and future directions. </w:t>
      </w:r>
      <w:r>
        <w:rPr>
          <w:rFonts w:ascii="Times New Roman" w:cs="Times New Roman" w:eastAsia="Times New Roman" w:hAnsi="Times New Roman"/>
          <w:b w:val="false"/>
          <w:bCs w:val="false"/>
          <w:i/>
          <w:iCs/>
          <w:sz w:val="24"/>
          <w:szCs w:val="24"/>
        </w:rPr>
        <w:t xml:space="preserve">SLEEP Advances</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4</w:t>
      </w:r>
      <w:r>
        <w:rPr>
          <w:rFonts w:ascii="Times New Roman" w:cs="Times New Roman" w:eastAsia="Times New Roman" w:hAnsi="Times New Roman"/>
          <w:b w:val="false"/>
          <w:bCs w:val="false"/>
          <w:i w:val="false"/>
          <w:iCs w:val="false"/>
          <w:sz w:val="24"/>
          <w:szCs w:val="24"/>
        </w:rPr>
        <w:t xml:space="preserve">(1), zpad006. https://doi.org/10.1093/sleepadvances/zpad006</w:t>
      </w:r>
    </w:p>
    <w:p>
      <w:pPr>
        <w:spacing w:after="140" w:line="340"/>
        <w:jc w:val="both"/>
      </w:pPr>
      <w:r>
        <w:rPr>
          <w:rFonts w:ascii="Times New Roman" w:cs="Times New Roman" w:eastAsia="Times New Roman" w:hAnsi="Times New Roman"/>
          <w:b w:val="false"/>
          <w:bCs w:val="false"/>
          <w:i w:val="false"/>
          <w:iCs w:val="false"/>
          <w:sz w:val="24"/>
          <w:szCs w:val="24"/>
        </w:rPr>
        <w:t xml:space="preserve">Abe, T., Mollicone, D., Basner, M., &amp; Dinges, D. F. (2014). Sleepiness and safety: Where biology needs technology. </w:t>
      </w:r>
      <w:r>
        <w:rPr>
          <w:rFonts w:ascii="Times New Roman" w:cs="Times New Roman" w:eastAsia="Times New Roman" w:hAnsi="Times New Roman"/>
          <w:b w:val="false"/>
          <w:bCs w:val="false"/>
          <w:i/>
          <w:iCs/>
          <w:sz w:val="24"/>
          <w:szCs w:val="24"/>
        </w:rPr>
        <w:t xml:space="preserve">Sleep and Biological Rhythms</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12</w:t>
      </w:r>
      <w:r>
        <w:rPr>
          <w:rFonts w:ascii="Times New Roman" w:cs="Times New Roman" w:eastAsia="Times New Roman" w:hAnsi="Times New Roman"/>
          <w:b w:val="false"/>
          <w:bCs w:val="false"/>
          <w:i w:val="false"/>
          <w:iCs w:val="false"/>
          <w:sz w:val="24"/>
          <w:szCs w:val="24"/>
        </w:rPr>
        <w:t xml:space="preserve">(2), 74–84. https://doi.org/10.1111/sbr.12067</w:t>
      </w:r>
    </w:p>
    <w:p>
      <w:pPr>
        <w:spacing w:after="140" w:line="340"/>
        <w:jc w:val="both"/>
      </w:pPr>
      <w:r>
        <w:rPr>
          <w:rFonts w:ascii="Times New Roman" w:cs="Times New Roman" w:eastAsia="Times New Roman" w:hAnsi="Times New Roman"/>
          <w:b w:val="false"/>
          <w:bCs w:val="false"/>
          <w:i w:val="false"/>
          <w:iCs w:val="false"/>
          <w:sz w:val="24"/>
          <w:szCs w:val="24"/>
        </w:rPr>
        <w:t xml:space="preserve">Argilés, M., Cardona, G., Pérez-Cabré, E., &amp; Rodríguez, M. (2015). Blink rate and incomplete blinks in six different controlled hard-copy and electronic reading conditions. </w:t>
      </w:r>
      <w:r>
        <w:rPr>
          <w:rFonts w:ascii="Times New Roman" w:cs="Times New Roman" w:eastAsia="Times New Roman" w:hAnsi="Times New Roman"/>
          <w:b w:val="false"/>
          <w:bCs w:val="false"/>
          <w:i/>
          <w:iCs/>
          <w:sz w:val="24"/>
          <w:szCs w:val="24"/>
        </w:rPr>
        <w:t xml:space="preserve">Investigative Ophthalmology &amp; Visual Science</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56</w:t>
      </w:r>
      <w:r>
        <w:rPr>
          <w:rFonts w:ascii="Times New Roman" w:cs="Times New Roman" w:eastAsia="Times New Roman" w:hAnsi="Times New Roman"/>
          <w:b w:val="false"/>
          <w:bCs w:val="false"/>
          <w:i w:val="false"/>
          <w:iCs w:val="false"/>
          <w:sz w:val="24"/>
          <w:szCs w:val="24"/>
        </w:rPr>
        <w:t xml:space="preserve">(11), 6679–6685. https://doi.org/10.1167/iovs.15-16967</w:t>
      </w:r>
    </w:p>
    <w:p>
      <w:pPr>
        <w:spacing w:after="140" w:line="340"/>
        <w:jc w:val="both"/>
      </w:pPr>
      <w:r>
        <w:rPr>
          <w:rFonts w:ascii="Times New Roman" w:cs="Times New Roman" w:eastAsia="Times New Roman" w:hAnsi="Times New Roman"/>
          <w:b w:val="false"/>
          <w:bCs w:val="false"/>
          <w:i w:val="false"/>
          <w:iCs w:val="false"/>
          <w:sz w:val="24"/>
          <w:szCs w:val="24"/>
        </w:rPr>
        <w:t xml:space="preserve">Buchner, A., &amp; Baumgartner, N. (2007). Text–background polarity affects performance irrespective of ambient illumination and colour contrast. </w:t>
      </w:r>
      <w:r>
        <w:rPr>
          <w:rFonts w:ascii="Times New Roman" w:cs="Times New Roman" w:eastAsia="Times New Roman" w:hAnsi="Times New Roman"/>
          <w:b w:val="false"/>
          <w:bCs w:val="false"/>
          <w:i/>
          <w:iCs/>
          <w:sz w:val="24"/>
          <w:szCs w:val="24"/>
        </w:rPr>
        <w:t xml:space="preserve">Ergonomics</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50</w:t>
      </w:r>
      <w:r>
        <w:rPr>
          <w:rFonts w:ascii="Times New Roman" w:cs="Times New Roman" w:eastAsia="Times New Roman" w:hAnsi="Times New Roman"/>
          <w:b w:val="false"/>
          <w:bCs w:val="false"/>
          <w:i w:val="false"/>
          <w:iCs w:val="false"/>
          <w:sz w:val="24"/>
          <w:szCs w:val="24"/>
        </w:rPr>
        <w:t xml:space="preserve">(7), 1036–1063. https://doi.org/10.1080/00140130701306413</w:t>
      </w:r>
    </w:p>
    <w:p>
      <w:pPr>
        <w:spacing w:after="140" w:line="340"/>
        <w:jc w:val="both"/>
      </w:pPr>
      <w:r>
        <w:rPr>
          <w:rFonts w:ascii="Times New Roman" w:cs="Times New Roman" w:eastAsia="Times New Roman" w:hAnsi="Times New Roman"/>
          <w:b w:val="false"/>
          <w:bCs w:val="false"/>
          <w:i w:val="false"/>
          <w:iCs w:val="false"/>
          <w:sz w:val="24"/>
          <w:szCs w:val="24"/>
        </w:rPr>
        <w:t xml:space="preserve">Buchner, A., Mayr, S., &amp; Brandt, M. (2009). The advantage of positive text–background polarity is due to high display luminance. </w:t>
      </w:r>
      <w:r>
        <w:rPr>
          <w:rFonts w:ascii="Times New Roman" w:cs="Times New Roman" w:eastAsia="Times New Roman" w:hAnsi="Times New Roman"/>
          <w:b w:val="false"/>
          <w:bCs w:val="false"/>
          <w:i/>
          <w:iCs/>
          <w:sz w:val="24"/>
          <w:szCs w:val="24"/>
        </w:rPr>
        <w:t xml:space="preserve">Ergonomics</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52</w:t>
      </w:r>
      <w:r>
        <w:rPr>
          <w:rFonts w:ascii="Times New Roman" w:cs="Times New Roman" w:eastAsia="Times New Roman" w:hAnsi="Times New Roman"/>
          <w:b w:val="false"/>
          <w:bCs w:val="false"/>
          <w:i w:val="false"/>
          <w:iCs w:val="false"/>
          <w:sz w:val="24"/>
          <w:szCs w:val="24"/>
        </w:rPr>
        <w:t xml:space="preserve">(7), 882–886. https://doi.org/10.1080/00140130802641635</w:t>
      </w:r>
    </w:p>
    <w:p>
      <w:pPr>
        <w:spacing w:after="140" w:line="340"/>
        <w:jc w:val="both"/>
      </w:pPr>
      <w:r>
        <w:rPr>
          <w:rFonts w:ascii="Times New Roman" w:cs="Times New Roman" w:eastAsia="Times New Roman" w:hAnsi="Times New Roman"/>
          <w:b w:val="false"/>
          <w:bCs w:val="false"/>
          <w:i w:val="false"/>
          <w:iCs w:val="false"/>
          <w:sz w:val="24"/>
          <w:szCs w:val="24"/>
        </w:rPr>
        <w:t xml:space="preserve">Cantó-Sancho, N., Linhares, J., Ronda-Pérez, E., Franco, S., Perales, E., &amp; Seguí-Crespo, M. (2024). Cross-cultural validation into Portuguese of a questionnaire to assess computer vision syndrome in workers exposed to digital devices. </w:t>
      </w:r>
      <w:r>
        <w:rPr>
          <w:rFonts w:ascii="Times New Roman" w:cs="Times New Roman" w:eastAsia="Times New Roman" w:hAnsi="Times New Roman"/>
          <w:b w:val="false"/>
          <w:bCs w:val="false"/>
          <w:i/>
          <w:iCs/>
          <w:sz w:val="24"/>
          <w:szCs w:val="24"/>
        </w:rPr>
        <w:t xml:space="preserve">Arquivos Brasileiros de Oftalmologia</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87</w:t>
      </w:r>
      <w:r>
        <w:rPr>
          <w:rFonts w:ascii="Times New Roman" w:cs="Times New Roman" w:eastAsia="Times New Roman" w:hAnsi="Times New Roman"/>
          <w:b w:val="false"/>
          <w:bCs w:val="false"/>
          <w:i w:val="false"/>
          <w:iCs w:val="false"/>
          <w:sz w:val="24"/>
          <w:szCs w:val="24"/>
        </w:rPr>
        <w:t xml:space="preserve">(6), e20220256. https://doi.org/10.5935/0004-2749.2022-0256</w:t>
      </w:r>
    </w:p>
    <w:p>
      <w:pPr>
        <w:spacing w:after="140" w:line="340"/>
        <w:jc w:val="both"/>
      </w:pPr>
      <w:r>
        <w:rPr>
          <w:rFonts w:ascii="Times New Roman" w:cs="Times New Roman" w:eastAsia="Times New Roman" w:hAnsi="Times New Roman"/>
          <w:b w:val="false"/>
          <w:bCs w:val="false"/>
          <w:i w:val="false"/>
          <w:iCs w:val="false"/>
          <w:sz w:val="24"/>
          <w:szCs w:val="24"/>
        </w:rPr>
        <w:t xml:space="preserve">Cardona, G., García, C., Serés, C., Vilaseca, M., &amp; Gispets, J. (2011). Blink rate, blink amplitude, and tear film integrity during dynamic visual display terminal tasks. </w:t>
      </w:r>
      <w:r>
        <w:rPr>
          <w:rFonts w:ascii="Times New Roman" w:cs="Times New Roman" w:eastAsia="Times New Roman" w:hAnsi="Times New Roman"/>
          <w:b w:val="false"/>
          <w:bCs w:val="false"/>
          <w:i/>
          <w:iCs/>
          <w:sz w:val="24"/>
          <w:szCs w:val="24"/>
        </w:rPr>
        <w:t xml:space="preserve">Current Eye Research</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36</w:t>
      </w:r>
      <w:r>
        <w:rPr>
          <w:rFonts w:ascii="Times New Roman" w:cs="Times New Roman" w:eastAsia="Times New Roman" w:hAnsi="Times New Roman"/>
          <w:b w:val="false"/>
          <w:bCs w:val="false"/>
          <w:i w:val="false"/>
          <w:iCs w:val="false"/>
          <w:sz w:val="24"/>
          <w:szCs w:val="24"/>
        </w:rPr>
        <w:t xml:space="preserve">(3), 190–197. https://doi.org/10.3109/02713683.2010.544442</w:t>
      </w:r>
    </w:p>
    <w:p>
      <w:pPr>
        <w:spacing w:after="140" w:line="340"/>
        <w:jc w:val="both"/>
      </w:pPr>
      <w:r>
        <w:rPr>
          <w:rFonts w:ascii="Times New Roman" w:cs="Times New Roman" w:eastAsia="Times New Roman" w:hAnsi="Times New Roman"/>
          <w:b w:val="false"/>
          <w:bCs w:val="false"/>
          <w:i w:val="false"/>
          <w:iCs w:val="false"/>
          <w:sz w:val="24"/>
          <w:szCs w:val="24"/>
        </w:rPr>
        <w:t xml:space="preserve">Ccami-Bernal, F., Soriano-Moreno, D. R., Romero-Robles, M. A., Barriga-Chambi, F., Tuco, K. G., Castro-Diaz, S. D., Nuñez-Lupaca, J. N., Pacheco-Mendoza, J., Galvez-Olortegui, T., &amp; Benites-Zapata, V. A. (2024). Prevalence of computer vision syndrome: A systematic review and meta-analysis. </w:t>
      </w:r>
      <w:r>
        <w:rPr>
          <w:rFonts w:ascii="Times New Roman" w:cs="Times New Roman" w:eastAsia="Times New Roman" w:hAnsi="Times New Roman"/>
          <w:b w:val="false"/>
          <w:bCs w:val="false"/>
          <w:i/>
          <w:iCs/>
          <w:sz w:val="24"/>
          <w:szCs w:val="24"/>
        </w:rPr>
        <w:t xml:space="preserve">Journal of Optometry</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17</w:t>
      </w:r>
      <w:r>
        <w:rPr>
          <w:rFonts w:ascii="Times New Roman" w:cs="Times New Roman" w:eastAsia="Times New Roman" w:hAnsi="Times New Roman"/>
          <w:b w:val="false"/>
          <w:bCs w:val="false"/>
          <w:i w:val="false"/>
          <w:iCs w:val="false"/>
          <w:sz w:val="24"/>
          <w:szCs w:val="24"/>
        </w:rPr>
        <w:t xml:space="preserve">(1), 100482. https://doi.org/10.1016/j.optom.2023.100482</w:t>
      </w:r>
    </w:p>
    <w:p>
      <w:pPr>
        <w:spacing w:after="140" w:line="340"/>
        <w:jc w:val="both"/>
      </w:pPr>
      <w:r>
        <w:rPr>
          <w:rFonts w:ascii="Times New Roman" w:cs="Times New Roman" w:eastAsia="Times New Roman" w:hAnsi="Times New Roman"/>
          <w:b w:val="false"/>
          <w:bCs w:val="false"/>
          <w:i w:val="false"/>
          <w:iCs w:val="false"/>
          <w:sz w:val="24"/>
          <w:szCs w:val="24"/>
        </w:rPr>
        <w:t xml:space="preserve">Delgado, P., Vargas, C., Ackerman, R., &amp; Salmerón, L. (2018). Don't throw away your printed books: A meta-analysis on the effects of reading media on reading comprehension. </w:t>
      </w:r>
      <w:r>
        <w:rPr>
          <w:rFonts w:ascii="Times New Roman" w:cs="Times New Roman" w:eastAsia="Times New Roman" w:hAnsi="Times New Roman"/>
          <w:b w:val="false"/>
          <w:bCs w:val="false"/>
          <w:i/>
          <w:iCs/>
          <w:sz w:val="24"/>
          <w:szCs w:val="24"/>
        </w:rPr>
        <w:t xml:space="preserve">Educational Research Review</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25</w:t>
      </w:r>
      <w:r>
        <w:rPr>
          <w:rFonts w:ascii="Times New Roman" w:cs="Times New Roman" w:eastAsia="Times New Roman" w:hAnsi="Times New Roman"/>
          <w:b w:val="false"/>
          <w:bCs w:val="false"/>
          <w:i w:val="false"/>
          <w:iCs w:val="false"/>
          <w:sz w:val="24"/>
          <w:szCs w:val="24"/>
        </w:rPr>
        <w:t xml:space="preserve">, 23–38. https://doi.org/10.1016/j.edurev.2018.09.003</w:t>
      </w:r>
    </w:p>
    <w:p>
      <w:pPr>
        <w:spacing w:after="140" w:line="340"/>
        <w:jc w:val="both"/>
      </w:pPr>
      <w:r>
        <w:rPr>
          <w:rFonts w:ascii="Times New Roman" w:cs="Times New Roman" w:eastAsia="Times New Roman" w:hAnsi="Times New Roman"/>
          <w:b w:val="false"/>
          <w:bCs w:val="false"/>
          <w:i w:val="false"/>
          <w:iCs w:val="false"/>
          <w:sz w:val="24"/>
          <w:szCs w:val="24"/>
        </w:rPr>
        <w:t xml:space="preserve">Dobres, J., Chahine, N., Reimer, B., Gould, D., Mehler, B., &amp; Coughlin, J. F. (2016). Utilising psychophysical techniques to investigate the effects of age, typeface design, size and display polarity on glance legibility. </w:t>
      </w:r>
      <w:r>
        <w:rPr>
          <w:rFonts w:ascii="Times New Roman" w:cs="Times New Roman" w:eastAsia="Times New Roman" w:hAnsi="Times New Roman"/>
          <w:b w:val="false"/>
          <w:bCs w:val="false"/>
          <w:i/>
          <w:iCs/>
          <w:sz w:val="24"/>
          <w:szCs w:val="24"/>
        </w:rPr>
        <w:t xml:space="preserve">Ergonomics</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59</w:t>
      </w:r>
      <w:r>
        <w:rPr>
          <w:rFonts w:ascii="Times New Roman" w:cs="Times New Roman" w:eastAsia="Times New Roman" w:hAnsi="Times New Roman"/>
          <w:b w:val="false"/>
          <w:bCs w:val="false"/>
          <w:i w:val="false"/>
          <w:iCs w:val="false"/>
          <w:sz w:val="24"/>
          <w:szCs w:val="24"/>
        </w:rPr>
        <w:t xml:space="preserve">(10), 1377–1391. https://doi.org/10.1080/00140139.2015.1137637</w:t>
      </w:r>
    </w:p>
    <w:p>
      <w:pPr>
        <w:spacing w:after="140" w:line="340"/>
        <w:jc w:val="both"/>
      </w:pPr>
      <w:r>
        <w:rPr>
          <w:rFonts w:ascii="Times New Roman" w:cs="Times New Roman" w:eastAsia="Times New Roman" w:hAnsi="Times New Roman"/>
          <w:b w:val="false"/>
          <w:bCs w:val="false"/>
          <w:i w:val="false"/>
          <w:iCs w:val="false"/>
          <w:sz w:val="24"/>
          <w:szCs w:val="24"/>
        </w:rPr>
        <w:t xml:space="preserve">Dobres, J., Chahine, N., &amp; Reimer, B. (2017). Effects of ambient illumination, contrast polarity, and letter size on text legibility under glance-like reading. </w:t>
      </w:r>
      <w:r>
        <w:rPr>
          <w:rFonts w:ascii="Times New Roman" w:cs="Times New Roman" w:eastAsia="Times New Roman" w:hAnsi="Times New Roman"/>
          <w:b w:val="false"/>
          <w:bCs w:val="false"/>
          <w:i/>
          <w:iCs/>
          <w:sz w:val="24"/>
          <w:szCs w:val="24"/>
        </w:rPr>
        <w:t xml:space="preserve">Applied Ergonomics</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60</w:t>
      </w:r>
      <w:r>
        <w:rPr>
          <w:rFonts w:ascii="Times New Roman" w:cs="Times New Roman" w:eastAsia="Times New Roman" w:hAnsi="Times New Roman"/>
          <w:b w:val="false"/>
          <w:bCs w:val="false"/>
          <w:i w:val="false"/>
          <w:iCs w:val="false"/>
          <w:sz w:val="24"/>
          <w:szCs w:val="24"/>
        </w:rPr>
        <w:t xml:space="preserve">, 68–73. https://doi.org/10.1016/j.apergo.2016.11.001</w:t>
      </w:r>
    </w:p>
    <w:p>
      <w:pPr>
        <w:spacing w:after="140" w:line="340"/>
        <w:jc w:val="both"/>
      </w:pPr>
      <w:r>
        <w:rPr>
          <w:rFonts w:ascii="Times New Roman" w:cs="Times New Roman" w:eastAsia="Times New Roman" w:hAnsi="Times New Roman"/>
          <w:b w:val="false"/>
          <w:bCs w:val="false"/>
          <w:i w:val="false"/>
          <w:iCs w:val="false"/>
          <w:sz w:val="24"/>
          <w:szCs w:val="24"/>
        </w:rPr>
        <w:t xml:space="preserve">Fan, Q., Xie, J., Dong, Z., &amp; Wang, Y. (2024). The effect of ambient illumination and text color on visual fatigue under negative polarity. </w:t>
      </w:r>
      <w:r>
        <w:rPr>
          <w:rFonts w:ascii="Times New Roman" w:cs="Times New Roman" w:eastAsia="Times New Roman" w:hAnsi="Times New Roman"/>
          <w:b w:val="false"/>
          <w:bCs w:val="false"/>
          <w:i/>
          <w:iCs/>
          <w:sz w:val="24"/>
          <w:szCs w:val="24"/>
        </w:rPr>
        <w:t xml:space="preserve">Sensors</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24</w:t>
      </w:r>
      <w:r>
        <w:rPr>
          <w:rFonts w:ascii="Times New Roman" w:cs="Times New Roman" w:eastAsia="Times New Roman" w:hAnsi="Times New Roman"/>
          <w:b w:val="false"/>
          <w:bCs w:val="false"/>
          <w:i w:val="false"/>
          <w:iCs w:val="false"/>
          <w:sz w:val="24"/>
          <w:szCs w:val="24"/>
        </w:rPr>
        <w:t xml:space="preserve">(11), 3516. https://doi.org/10.3390/s24113516</w:t>
      </w:r>
    </w:p>
    <w:p>
      <w:pPr>
        <w:spacing w:after="140" w:line="340"/>
        <w:jc w:val="both"/>
      </w:pPr>
      <w:r>
        <w:rPr>
          <w:rFonts w:ascii="Times New Roman" w:cs="Times New Roman" w:eastAsia="Times New Roman" w:hAnsi="Times New Roman"/>
          <w:b w:val="false"/>
          <w:bCs w:val="false"/>
          <w:i w:val="false"/>
          <w:iCs w:val="false"/>
          <w:sz w:val="24"/>
          <w:szCs w:val="24"/>
        </w:rPr>
        <w:t xml:space="preserve">Fjaervoll, K., Fjaervoll, H., Magno, M., Nøland, S. T., Dartt, D. A., Vehof, J., &amp; Utheim, T. P. (2022). Review on the possible pathophysiological mechanisms underlying visual display terminal-associated dry eye disease. </w:t>
      </w:r>
      <w:r>
        <w:rPr>
          <w:rFonts w:ascii="Times New Roman" w:cs="Times New Roman" w:eastAsia="Times New Roman" w:hAnsi="Times New Roman"/>
          <w:b w:val="false"/>
          <w:bCs w:val="false"/>
          <w:i/>
          <w:iCs/>
          <w:sz w:val="24"/>
          <w:szCs w:val="24"/>
        </w:rPr>
        <w:t xml:space="preserve">Acta Ophthalmologica</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100</w:t>
      </w:r>
      <w:r>
        <w:rPr>
          <w:rFonts w:ascii="Times New Roman" w:cs="Times New Roman" w:eastAsia="Times New Roman" w:hAnsi="Times New Roman"/>
          <w:b w:val="false"/>
          <w:bCs w:val="false"/>
          <w:i w:val="false"/>
          <w:iCs w:val="false"/>
          <w:sz w:val="24"/>
          <w:szCs w:val="24"/>
        </w:rPr>
        <w:t xml:space="preserve">(8), 861–877. https://doi.org/10.1111/aos.15150</w:t>
      </w:r>
    </w:p>
    <w:p>
      <w:pPr>
        <w:spacing w:after="140" w:line="340"/>
        <w:jc w:val="both"/>
      </w:pPr>
      <w:r>
        <w:rPr>
          <w:rFonts w:ascii="Times New Roman" w:cs="Times New Roman" w:eastAsia="Times New Roman" w:hAnsi="Times New Roman"/>
          <w:b w:val="false"/>
          <w:bCs w:val="false"/>
          <w:i w:val="false"/>
          <w:iCs w:val="false"/>
          <w:sz w:val="24"/>
          <w:szCs w:val="24"/>
        </w:rPr>
        <w:t xml:space="preserve">Hart, S. G., &amp; Staveland, L. E. (1988). Development of NASA-TLX (Task Load Index): Results of empirical and theoretical research. In P. A. Hancock &amp; N. Meshkati (Eds.), </w:t>
      </w:r>
      <w:r>
        <w:rPr>
          <w:rFonts w:ascii="Times New Roman" w:cs="Times New Roman" w:eastAsia="Times New Roman" w:hAnsi="Times New Roman"/>
          <w:b w:val="false"/>
          <w:bCs w:val="false"/>
          <w:i/>
          <w:iCs/>
          <w:sz w:val="24"/>
          <w:szCs w:val="24"/>
        </w:rPr>
        <w:t xml:space="preserve">Human mental workload</w:t>
      </w:r>
      <w:r>
        <w:rPr>
          <w:rFonts w:ascii="Times New Roman" w:cs="Times New Roman" w:eastAsia="Times New Roman" w:hAnsi="Times New Roman"/>
          <w:b w:val="false"/>
          <w:bCs w:val="false"/>
          <w:i w:val="false"/>
          <w:iCs w:val="false"/>
          <w:sz w:val="24"/>
          <w:szCs w:val="24"/>
        </w:rPr>
        <w:t xml:space="preserve"> (pp. 139–183). North-Holland.</w:t>
      </w:r>
    </w:p>
    <w:p>
      <w:pPr>
        <w:spacing w:after="140" w:line="340"/>
        <w:jc w:val="both"/>
      </w:pPr>
      <w:r>
        <w:rPr>
          <w:rFonts w:ascii="Times New Roman" w:cs="Times New Roman" w:eastAsia="Times New Roman" w:hAnsi="Times New Roman"/>
          <w:b w:val="false"/>
          <w:bCs w:val="false"/>
          <w:i w:val="false"/>
          <w:iCs w:val="false"/>
          <w:sz w:val="24"/>
          <w:szCs w:val="24"/>
        </w:rPr>
        <w:t xml:space="preserve">Hirota, M., Uozato, H., Kawamorita, T., Shibata, Y., &amp; Yamamoto, S. (2013). Effect of incomplete blinking on tear film stability. </w:t>
      </w:r>
      <w:r>
        <w:rPr>
          <w:rFonts w:ascii="Times New Roman" w:cs="Times New Roman" w:eastAsia="Times New Roman" w:hAnsi="Times New Roman"/>
          <w:b w:val="false"/>
          <w:bCs w:val="false"/>
          <w:i/>
          <w:iCs/>
          <w:sz w:val="24"/>
          <w:szCs w:val="24"/>
        </w:rPr>
        <w:t xml:space="preserve">Optometry and Vision Science</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90</w:t>
      </w:r>
      <w:r>
        <w:rPr>
          <w:rFonts w:ascii="Times New Roman" w:cs="Times New Roman" w:eastAsia="Times New Roman" w:hAnsi="Times New Roman"/>
          <w:b w:val="false"/>
          <w:bCs w:val="false"/>
          <w:i w:val="false"/>
          <w:iCs w:val="false"/>
          <w:sz w:val="24"/>
          <w:szCs w:val="24"/>
        </w:rPr>
        <w:t xml:space="preserve">(7), 650–657. https://doi.org/10.1097/OPX.0b013e31829962ec</w:t>
      </w:r>
    </w:p>
    <w:p>
      <w:pPr>
        <w:spacing w:after="140" w:line="340"/>
        <w:jc w:val="both"/>
      </w:pPr>
      <w:r>
        <w:rPr>
          <w:rFonts w:ascii="Times New Roman" w:cs="Times New Roman" w:eastAsia="Times New Roman" w:hAnsi="Times New Roman"/>
          <w:b w:val="false"/>
          <w:bCs w:val="false"/>
          <w:i w:val="false"/>
          <w:iCs w:val="false"/>
          <w:sz w:val="24"/>
          <w:szCs w:val="24"/>
        </w:rPr>
        <w:t xml:space="preserve">Jackson, M. L., Raj, S., Croft, R. J., Hayley, A. C., Downey, L. A., Kennedy, G. A., &amp; Howard, M. E. (2016). Slow eyelid closure as a measure of driver drowsiness and its relationship to performance. </w:t>
      </w:r>
      <w:r>
        <w:rPr>
          <w:rFonts w:ascii="Times New Roman" w:cs="Times New Roman" w:eastAsia="Times New Roman" w:hAnsi="Times New Roman"/>
          <w:b w:val="false"/>
          <w:bCs w:val="false"/>
          <w:i/>
          <w:iCs/>
          <w:sz w:val="24"/>
          <w:szCs w:val="24"/>
        </w:rPr>
        <w:t xml:space="preserve">Traffic Injury Prevention</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17</w:t>
      </w:r>
      <w:r>
        <w:rPr>
          <w:rFonts w:ascii="Times New Roman" w:cs="Times New Roman" w:eastAsia="Times New Roman" w:hAnsi="Times New Roman"/>
          <w:b w:val="false"/>
          <w:bCs w:val="false"/>
          <w:i w:val="false"/>
          <w:iCs w:val="false"/>
          <w:sz w:val="24"/>
          <w:szCs w:val="24"/>
        </w:rPr>
        <w:t xml:space="preserve">(3), 251–257. https://doi.org/10.1080/15389588.2015.1055327</w:t>
      </w:r>
    </w:p>
    <w:p>
      <w:pPr>
        <w:spacing w:after="140" w:line="340"/>
        <w:jc w:val="both"/>
      </w:pPr>
      <w:r>
        <w:rPr>
          <w:rFonts w:ascii="Times New Roman" w:cs="Times New Roman" w:eastAsia="Times New Roman" w:hAnsi="Times New Roman"/>
          <w:b w:val="false"/>
          <w:bCs w:val="false"/>
          <w:i w:val="false"/>
          <w:iCs w:val="false"/>
          <w:sz w:val="24"/>
          <w:szCs w:val="24"/>
        </w:rPr>
        <w:t xml:space="preserve">Jiménez, R., Redondo, B., Molina, R., Martínez-Domingo, M. Á., Hernández-Andrés, J., &amp; Vera, J. (2020). Short-term effects of text-background color combinations on the dynamics of the accommodative response. </w:t>
      </w:r>
      <w:r>
        <w:rPr>
          <w:rFonts w:ascii="Times New Roman" w:cs="Times New Roman" w:eastAsia="Times New Roman" w:hAnsi="Times New Roman"/>
          <w:b w:val="false"/>
          <w:bCs w:val="false"/>
          <w:i/>
          <w:iCs/>
          <w:sz w:val="24"/>
          <w:szCs w:val="24"/>
        </w:rPr>
        <w:t xml:space="preserve">Vision Research</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166</w:t>
      </w:r>
      <w:r>
        <w:rPr>
          <w:rFonts w:ascii="Times New Roman" w:cs="Times New Roman" w:eastAsia="Times New Roman" w:hAnsi="Times New Roman"/>
          <w:b w:val="false"/>
          <w:bCs w:val="false"/>
          <w:i w:val="false"/>
          <w:iCs w:val="false"/>
          <w:sz w:val="24"/>
          <w:szCs w:val="24"/>
        </w:rPr>
        <w:t xml:space="preserve">, 33–42. https://doi.org/10.1016/j.visres.2019.11.006</w:t>
      </w:r>
    </w:p>
    <w:p>
      <w:pPr>
        <w:spacing w:after="140" w:line="340"/>
        <w:jc w:val="both"/>
      </w:pPr>
      <w:r>
        <w:rPr>
          <w:rFonts w:ascii="Times New Roman" w:cs="Times New Roman" w:eastAsia="Times New Roman" w:hAnsi="Times New Roman"/>
          <w:b w:val="false"/>
          <w:bCs w:val="false"/>
          <w:i w:val="false"/>
          <w:iCs w:val="false"/>
          <w:sz w:val="24"/>
          <w:szCs w:val="24"/>
        </w:rPr>
        <w:t xml:space="preserve">Kamøy, B., Magno, M., Nøland, S. T., Moe, M. C., Petrovski, G., Vehof, J., &amp; Utheim, T. P. (2022). Video display terminal use and dry eye: Preventive measures and future perspectives. </w:t>
      </w:r>
      <w:r>
        <w:rPr>
          <w:rFonts w:ascii="Times New Roman" w:cs="Times New Roman" w:eastAsia="Times New Roman" w:hAnsi="Times New Roman"/>
          <w:b w:val="false"/>
          <w:bCs w:val="false"/>
          <w:i/>
          <w:iCs/>
          <w:sz w:val="24"/>
          <w:szCs w:val="24"/>
        </w:rPr>
        <w:t xml:space="preserve">Acta Ophthalmologica</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100</w:t>
      </w:r>
      <w:r>
        <w:rPr>
          <w:rFonts w:ascii="Times New Roman" w:cs="Times New Roman" w:eastAsia="Times New Roman" w:hAnsi="Times New Roman"/>
          <w:b w:val="false"/>
          <w:bCs w:val="false"/>
          <w:i w:val="false"/>
          <w:iCs w:val="false"/>
          <w:sz w:val="24"/>
          <w:szCs w:val="24"/>
        </w:rPr>
        <w:t xml:space="preserve">(7), 723–739. https://doi.org/10.1111/aos.15105</w:t>
      </w:r>
    </w:p>
    <w:p>
      <w:pPr>
        <w:spacing w:after="140" w:line="340"/>
        <w:jc w:val="both"/>
      </w:pPr>
      <w:r>
        <w:rPr>
          <w:rFonts w:ascii="Times New Roman" w:cs="Times New Roman" w:eastAsia="Times New Roman" w:hAnsi="Times New Roman"/>
          <w:b w:val="false"/>
          <w:bCs w:val="false"/>
          <w:i w:val="false"/>
          <w:iCs w:val="false"/>
          <w:sz w:val="24"/>
          <w:szCs w:val="24"/>
        </w:rPr>
        <w:t xml:space="preserve">Kaur, K., Gurnani, B., Nayak, S., Deori, N., Kaur, S., Jethani, J., Singh, D., Agarkar, S., Hussaindeen, J. R., Sukhija, J., &amp; Mishra, D. (2022). Digital eye strain: A comprehensive review. </w:t>
      </w:r>
      <w:r>
        <w:rPr>
          <w:rFonts w:ascii="Times New Roman" w:cs="Times New Roman" w:eastAsia="Times New Roman" w:hAnsi="Times New Roman"/>
          <w:b w:val="false"/>
          <w:bCs w:val="false"/>
          <w:i/>
          <w:iCs/>
          <w:sz w:val="24"/>
          <w:szCs w:val="24"/>
        </w:rPr>
        <w:t xml:space="preserve">Ophthalmology and Therapy</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11</w:t>
      </w:r>
      <w:r>
        <w:rPr>
          <w:rFonts w:ascii="Times New Roman" w:cs="Times New Roman" w:eastAsia="Times New Roman" w:hAnsi="Times New Roman"/>
          <w:b w:val="false"/>
          <w:bCs w:val="false"/>
          <w:i w:val="false"/>
          <w:iCs w:val="false"/>
          <w:sz w:val="24"/>
          <w:szCs w:val="24"/>
        </w:rPr>
        <w:t xml:space="preserve">(5), 1655–1680. https://doi.org/10.1007/s40123-022-00540-9</w:t>
      </w:r>
    </w:p>
    <w:p>
      <w:pPr>
        <w:spacing w:after="140" w:line="340"/>
        <w:jc w:val="both"/>
      </w:pPr>
      <w:r>
        <w:rPr>
          <w:rFonts w:ascii="Times New Roman" w:cs="Times New Roman" w:eastAsia="Times New Roman" w:hAnsi="Times New Roman"/>
          <w:b w:val="false"/>
          <w:bCs w:val="false"/>
          <w:i w:val="false"/>
          <w:iCs w:val="false"/>
          <w:sz w:val="24"/>
          <w:szCs w:val="24"/>
        </w:rPr>
        <w:t xml:space="preserve">Klinke, T., Hannak, W., Böning, K., &amp; Jakstat, H. (2024). A comparative study of the sensitivity and specificity of the Ishihara test with various displays. </w:t>
      </w:r>
      <w:r>
        <w:rPr>
          <w:rFonts w:ascii="Times New Roman" w:cs="Times New Roman" w:eastAsia="Times New Roman" w:hAnsi="Times New Roman"/>
          <w:b w:val="false"/>
          <w:bCs w:val="false"/>
          <w:i/>
          <w:iCs/>
          <w:sz w:val="24"/>
          <w:szCs w:val="24"/>
        </w:rPr>
        <w:t xml:space="preserve">International Dental Journal</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74</w:t>
      </w:r>
      <w:r>
        <w:rPr>
          <w:rFonts w:ascii="Times New Roman" w:cs="Times New Roman" w:eastAsia="Times New Roman" w:hAnsi="Times New Roman"/>
          <w:b w:val="false"/>
          <w:bCs w:val="false"/>
          <w:i w:val="false"/>
          <w:iCs w:val="false"/>
          <w:sz w:val="24"/>
          <w:szCs w:val="24"/>
        </w:rPr>
        <w:t xml:space="preserve">(4), 892–896. https://doi.org/10.1016/j.identj.2023.12.009</w:t>
      </w:r>
    </w:p>
    <w:p>
      <w:pPr>
        <w:spacing w:after="140" w:line="340"/>
        <w:jc w:val="both"/>
      </w:pPr>
      <w:r>
        <w:rPr>
          <w:rFonts w:ascii="Times New Roman" w:cs="Times New Roman" w:eastAsia="Times New Roman" w:hAnsi="Times New Roman"/>
          <w:b w:val="false"/>
          <w:bCs w:val="false"/>
          <w:i w:val="false"/>
          <w:iCs w:val="false"/>
          <w:sz w:val="24"/>
          <w:szCs w:val="24"/>
        </w:rPr>
        <w:t xml:space="preserve">Lin, C., Ji, Z., &amp; Lin, Y. (2024). Optimum display luminance and contrast polarity of desktop head-up display under office lighting level based on visual ergonomic study. </w:t>
      </w:r>
      <w:r>
        <w:rPr>
          <w:rFonts w:ascii="Times New Roman" w:cs="Times New Roman" w:eastAsia="Times New Roman" w:hAnsi="Times New Roman"/>
          <w:b w:val="false"/>
          <w:bCs w:val="false"/>
          <w:i/>
          <w:iCs/>
          <w:sz w:val="24"/>
          <w:szCs w:val="24"/>
        </w:rPr>
        <w:t xml:space="preserve">Ergonomics</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67</w:t>
      </w:r>
      <w:r>
        <w:rPr>
          <w:rFonts w:ascii="Times New Roman" w:cs="Times New Roman" w:eastAsia="Times New Roman" w:hAnsi="Times New Roman"/>
          <w:b w:val="false"/>
          <w:bCs w:val="false"/>
          <w:i w:val="false"/>
          <w:iCs w:val="false"/>
          <w:sz w:val="24"/>
          <w:szCs w:val="24"/>
        </w:rPr>
        <w:t xml:space="preserve">(11), 1491–1503. https://doi.org/10.1080/00140139.2024.2339439</w:t>
      </w:r>
    </w:p>
    <w:p>
      <w:pPr>
        <w:spacing w:after="140" w:line="340"/>
        <w:jc w:val="both"/>
      </w:pPr>
      <w:r>
        <w:rPr>
          <w:rFonts w:ascii="Times New Roman" w:cs="Times New Roman" w:eastAsia="Times New Roman" w:hAnsi="Times New Roman"/>
          <w:b w:val="false"/>
          <w:bCs w:val="false"/>
          <w:i w:val="false"/>
          <w:iCs w:val="false"/>
          <w:sz w:val="24"/>
          <w:szCs w:val="24"/>
        </w:rPr>
        <w:t xml:space="preserve">Mataftsi, A., Seliniotaki, A. K., Moutzouri, S., Prousali, E., Darusman, K. R., Adio, A. O., Haidich, A. B., &amp; Nischal, K. K. (2023). Digital eye strain in young screen users: A systematic review. </w:t>
      </w:r>
      <w:r>
        <w:rPr>
          <w:rFonts w:ascii="Times New Roman" w:cs="Times New Roman" w:eastAsia="Times New Roman" w:hAnsi="Times New Roman"/>
          <w:b w:val="false"/>
          <w:bCs w:val="false"/>
          <w:i/>
          <w:iCs/>
          <w:sz w:val="24"/>
          <w:szCs w:val="24"/>
        </w:rPr>
        <w:t xml:space="preserve">Preventive Medicine</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170</w:t>
      </w:r>
      <w:r>
        <w:rPr>
          <w:rFonts w:ascii="Times New Roman" w:cs="Times New Roman" w:eastAsia="Times New Roman" w:hAnsi="Times New Roman"/>
          <w:b w:val="false"/>
          <w:bCs w:val="false"/>
          <w:i w:val="false"/>
          <w:iCs w:val="false"/>
          <w:sz w:val="24"/>
          <w:szCs w:val="24"/>
        </w:rPr>
        <w:t xml:space="preserve">, 107493. https://doi.org/10.1016/j.ypmed.2023.107493</w:t>
      </w:r>
    </w:p>
    <w:p>
      <w:pPr>
        <w:spacing w:after="140" w:line="340"/>
        <w:jc w:val="both"/>
      </w:pPr>
      <w:r>
        <w:rPr>
          <w:rFonts w:ascii="Times New Roman" w:cs="Times New Roman" w:eastAsia="Times New Roman" w:hAnsi="Times New Roman"/>
          <w:b w:val="false"/>
          <w:bCs w:val="false"/>
          <w:i w:val="false"/>
          <w:iCs w:val="false"/>
          <w:sz w:val="24"/>
          <w:szCs w:val="24"/>
        </w:rPr>
        <w:t xml:space="preserve">Piepenbrock, C., Mayr, S., &amp; Buchner, A. (2014a). Positive display polarity is particularly advantageous for small character sizes: Implications for display design. </w:t>
      </w:r>
      <w:r>
        <w:rPr>
          <w:rFonts w:ascii="Times New Roman" w:cs="Times New Roman" w:eastAsia="Times New Roman" w:hAnsi="Times New Roman"/>
          <w:b w:val="false"/>
          <w:bCs w:val="false"/>
          <w:i/>
          <w:iCs/>
          <w:sz w:val="24"/>
          <w:szCs w:val="24"/>
        </w:rPr>
        <w:t xml:space="preserve">Human Factors</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56</w:t>
      </w:r>
      <w:r>
        <w:rPr>
          <w:rFonts w:ascii="Times New Roman" w:cs="Times New Roman" w:eastAsia="Times New Roman" w:hAnsi="Times New Roman"/>
          <w:b w:val="false"/>
          <w:bCs w:val="false"/>
          <w:i w:val="false"/>
          <w:iCs w:val="false"/>
          <w:sz w:val="24"/>
          <w:szCs w:val="24"/>
        </w:rPr>
        <w:t xml:space="preserve">(5), 942–951. https://doi.org/10.1177/0018720813515509</w:t>
      </w:r>
    </w:p>
    <w:p>
      <w:pPr>
        <w:spacing w:after="140" w:line="340"/>
        <w:jc w:val="both"/>
      </w:pPr>
      <w:r>
        <w:rPr>
          <w:rFonts w:ascii="Times New Roman" w:cs="Times New Roman" w:eastAsia="Times New Roman" w:hAnsi="Times New Roman"/>
          <w:b w:val="false"/>
          <w:bCs w:val="false"/>
          <w:i w:val="false"/>
          <w:iCs w:val="false"/>
          <w:sz w:val="24"/>
          <w:szCs w:val="24"/>
        </w:rPr>
        <w:t xml:space="preserve">Piepenbrock, C., Mayr, S., &amp; Buchner, A. (2014b). Smaller pupil size and better proofreading performance with positive than with negative polarity displays. </w:t>
      </w:r>
      <w:r>
        <w:rPr>
          <w:rFonts w:ascii="Times New Roman" w:cs="Times New Roman" w:eastAsia="Times New Roman" w:hAnsi="Times New Roman"/>
          <w:b w:val="false"/>
          <w:bCs w:val="false"/>
          <w:i/>
          <w:iCs/>
          <w:sz w:val="24"/>
          <w:szCs w:val="24"/>
        </w:rPr>
        <w:t xml:space="preserve">Ergonomics</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57</w:t>
      </w:r>
      <w:r>
        <w:rPr>
          <w:rFonts w:ascii="Times New Roman" w:cs="Times New Roman" w:eastAsia="Times New Roman" w:hAnsi="Times New Roman"/>
          <w:b w:val="false"/>
          <w:bCs w:val="false"/>
          <w:i w:val="false"/>
          <w:iCs w:val="false"/>
          <w:sz w:val="24"/>
          <w:szCs w:val="24"/>
        </w:rPr>
        <w:t xml:space="preserve">(11), 1670–1677. https://doi.org/10.1080/00140139.2014.948496</w:t>
      </w:r>
    </w:p>
    <w:p>
      <w:pPr>
        <w:spacing w:after="140" w:line="340"/>
        <w:jc w:val="both"/>
      </w:pPr>
      <w:r>
        <w:rPr>
          <w:rFonts w:ascii="Times New Roman" w:cs="Times New Roman" w:eastAsia="Times New Roman" w:hAnsi="Times New Roman"/>
          <w:b w:val="false"/>
          <w:bCs w:val="false"/>
          <w:i w:val="false"/>
          <w:iCs w:val="false"/>
          <w:sz w:val="24"/>
          <w:szCs w:val="24"/>
        </w:rPr>
        <w:t xml:space="preserve">Portello, J. K., Rosenfield, M., &amp; Chu, C. A. (2013). Blink rate, incomplete blinks and computer vision syndrome. </w:t>
      </w:r>
      <w:r>
        <w:rPr>
          <w:rFonts w:ascii="Times New Roman" w:cs="Times New Roman" w:eastAsia="Times New Roman" w:hAnsi="Times New Roman"/>
          <w:b w:val="false"/>
          <w:bCs w:val="false"/>
          <w:i/>
          <w:iCs/>
          <w:sz w:val="24"/>
          <w:szCs w:val="24"/>
        </w:rPr>
        <w:t xml:space="preserve">Optometry and Vision Science</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90</w:t>
      </w:r>
      <w:r>
        <w:rPr>
          <w:rFonts w:ascii="Times New Roman" w:cs="Times New Roman" w:eastAsia="Times New Roman" w:hAnsi="Times New Roman"/>
          <w:b w:val="false"/>
          <w:bCs w:val="false"/>
          <w:i w:val="false"/>
          <w:iCs w:val="false"/>
          <w:sz w:val="24"/>
          <w:szCs w:val="24"/>
        </w:rPr>
        <w:t xml:space="preserve">(5), 482–487. https://doi.org/10.1097/OPX.0b013e31828f09a7</w:t>
      </w:r>
    </w:p>
    <w:p>
      <w:pPr>
        <w:spacing w:after="140" w:line="340"/>
        <w:jc w:val="both"/>
      </w:pPr>
      <w:r>
        <w:rPr>
          <w:rFonts w:ascii="Times New Roman" w:cs="Times New Roman" w:eastAsia="Times New Roman" w:hAnsi="Times New Roman"/>
          <w:b w:val="false"/>
          <w:bCs w:val="false"/>
          <w:i w:val="false"/>
          <w:iCs w:val="false"/>
          <w:sz w:val="24"/>
          <w:szCs w:val="24"/>
        </w:rPr>
        <w:t xml:space="preserve">Pucker, A. D., Kerr, A. M., Sanderson, J., &amp; Lievens, C. (2024). Digital eye strain: Updated perspectives. </w:t>
      </w:r>
      <w:r>
        <w:rPr>
          <w:rFonts w:ascii="Times New Roman" w:cs="Times New Roman" w:eastAsia="Times New Roman" w:hAnsi="Times New Roman"/>
          <w:b w:val="false"/>
          <w:bCs w:val="false"/>
          <w:i/>
          <w:iCs/>
          <w:sz w:val="24"/>
          <w:szCs w:val="24"/>
        </w:rPr>
        <w:t xml:space="preserve">Clinical Optometry</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16</w:t>
      </w:r>
      <w:r>
        <w:rPr>
          <w:rFonts w:ascii="Times New Roman" w:cs="Times New Roman" w:eastAsia="Times New Roman" w:hAnsi="Times New Roman"/>
          <w:b w:val="false"/>
          <w:bCs w:val="false"/>
          <w:i w:val="false"/>
          <w:iCs w:val="false"/>
          <w:sz w:val="24"/>
          <w:szCs w:val="24"/>
        </w:rPr>
        <w:t xml:space="preserve">, 233–246. https://doi.org/10.2147/OPTO.S412382</w:t>
      </w:r>
    </w:p>
    <w:p>
      <w:pPr>
        <w:spacing w:after="140" w:line="340"/>
        <w:jc w:val="both"/>
      </w:pPr>
      <w:r>
        <w:rPr>
          <w:rFonts w:ascii="Times New Roman" w:cs="Times New Roman" w:eastAsia="Times New Roman" w:hAnsi="Times New Roman"/>
          <w:b w:val="false"/>
          <w:bCs w:val="false"/>
          <w:i w:val="false"/>
          <w:iCs w:val="false"/>
          <w:sz w:val="24"/>
          <w:szCs w:val="24"/>
        </w:rPr>
        <w:t xml:space="preserve">Redondo, B., Jiménez, R., Vera, J., &amp; Rosenfield, M. (2025). The impact of break schedules on digital eye strain symptoms and ocular accommodation during prolonged near work. </w:t>
      </w:r>
      <w:r>
        <w:rPr>
          <w:rFonts w:ascii="Times New Roman" w:cs="Times New Roman" w:eastAsia="Times New Roman" w:hAnsi="Times New Roman"/>
          <w:b w:val="false"/>
          <w:bCs w:val="false"/>
          <w:i/>
          <w:iCs/>
          <w:sz w:val="24"/>
          <w:szCs w:val="24"/>
        </w:rPr>
        <w:t xml:space="preserve">Experimental Eye Research</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258</w:t>
      </w:r>
      <w:r>
        <w:rPr>
          <w:rFonts w:ascii="Times New Roman" w:cs="Times New Roman" w:eastAsia="Times New Roman" w:hAnsi="Times New Roman"/>
          <w:b w:val="false"/>
          <w:bCs w:val="false"/>
          <w:i w:val="false"/>
          <w:iCs w:val="false"/>
          <w:sz w:val="24"/>
          <w:szCs w:val="24"/>
        </w:rPr>
        <w:t xml:space="preserve">, 110463. https://doi.org/10.1016/j.exer.2025.110463</w:t>
      </w:r>
    </w:p>
    <w:p>
      <w:pPr>
        <w:spacing w:after="140" w:line="340"/>
        <w:jc w:val="both"/>
      </w:pPr>
      <w:r>
        <w:rPr>
          <w:rFonts w:ascii="Times New Roman" w:cs="Times New Roman" w:eastAsia="Times New Roman" w:hAnsi="Times New Roman"/>
          <w:b w:val="false"/>
          <w:bCs w:val="false"/>
          <w:i w:val="false"/>
          <w:iCs w:val="false"/>
          <w:sz w:val="24"/>
          <w:szCs w:val="24"/>
        </w:rPr>
        <w:t xml:space="preserve">Seguí, M. del M., Cabrero-García, J., Crespo, A., Verdú, J., &amp; Ronda, E. (2015). A reliable and valid questionnaire was developed to measure computer vision syndrome at the workplace. </w:t>
      </w:r>
      <w:r>
        <w:rPr>
          <w:rFonts w:ascii="Times New Roman" w:cs="Times New Roman" w:eastAsia="Times New Roman" w:hAnsi="Times New Roman"/>
          <w:b w:val="false"/>
          <w:bCs w:val="false"/>
          <w:i/>
          <w:iCs/>
          <w:sz w:val="24"/>
          <w:szCs w:val="24"/>
        </w:rPr>
        <w:t xml:space="preserve">Journal of Clinical Epidemiology</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68</w:t>
      </w:r>
      <w:r>
        <w:rPr>
          <w:rFonts w:ascii="Times New Roman" w:cs="Times New Roman" w:eastAsia="Times New Roman" w:hAnsi="Times New Roman"/>
          <w:b w:val="false"/>
          <w:bCs w:val="false"/>
          <w:i w:val="false"/>
          <w:iCs w:val="false"/>
          <w:sz w:val="24"/>
          <w:szCs w:val="24"/>
        </w:rPr>
        <w:t xml:space="preserve">(6), 662–673. https://doi.org/10.1016/j.jclinepi.2015.01.015</w:t>
      </w:r>
    </w:p>
    <w:p>
      <w:pPr>
        <w:spacing w:after="140" w:line="340"/>
        <w:jc w:val="both"/>
      </w:pPr>
      <w:r>
        <w:rPr>
          <w:rFonts w:ascii="Times New Roman" w:cs="Times New Roman" w:eastAsia="Times New Roman" w:hAnsi="Times New Roman"/>
          <w:b w:val="false"/>
          <w:bCs w:val="false"/>
          <w:i w:val="false"/>
          <w:iCs w:val="false"/>
          <w:sz w:val="24"/>
          <w:szCs w:val="24"/>
        </w:rPr>
        <w:t xml:space="preserve">Sethi, T., &amp; Ziat, M. (2023). Dark mode vogue: Do light-on-dark displays have measurable benefits to users? </w:t>
      </w:r>
      <w:r>
        <w:rPr>
          <w:rFonts w:ascii="Times New Roman" w:cs="Times New Roman" w:eastAsia="Times New Roman" w:hAnsi="Times New Roman"/>
          <w:b w:val="false"/>
          <w:bCs w:val="false"/>
          <w:i/>
          <w:iCs/>
          <w:sz w:val="24"/>
          <w:szCs w:val="24"/>
        </w:rPr>
        <w:t xml:space="preserve">Ergonomics</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66</w:t>
      </w:r>
      <w:r>
        <w:rPr>
          <w:rFonts w:ascii="Times New Roman" w:cs="Times New Roman" w:eastAsia="Times New Roman" w:hAnsi="Times New Roman"/>
          <w:b w:val="false"/>
          <w:bCs w:val="false"/>
          <w:i w:val="false"/>
          <w:iCs w:val="false"/>
          <w:sz w:val="24"/>
          <w:szCs w:val="24"/>
        </w:rPr>
        <w:t xml:space="preserve">(12), 1814–1828. https://doi.org/10.1080/00140139.2022.2160879</w:t>
      </w:r>
    </w:p>
    <w:p>
      <w:pPr>
        <w:spacing w:after="140" w:line="340"/>
        <w:jc w:val="both"/>
      </w:pPr>
      <w:r>
        <w:rPr>
          <w:rFonts w:ascii="Times New Roman" w:cs="Times New Roman" w:eastAsia="Times New Roman" w:hAnsi="Times New Roman"/>
          <w:b w:val="false"/>
          <w:bCs w:val="false"/>
          <w:i w:val="false"/>
          <w:iCs w:val="false"/>
          <w:sz w:val="24"/>
          <w:szCs w:val="24"/>
        </w:rPr>
        <w:t xml:space="preserve">Sheppard, A. L., &amp; Wolffsohn, J. S. (2018). Digital eye strain: Prevalence, measurement and amelioration. </w:t>
      </w:r>
      <w:r>
        <w:rPr>
          <w:rFonts w:ascii="Times New Roman" w:cs="Times New Roman" w:eastAsia="Times New Roman" w:hAnsi="Times New Roman"/>
          <w:b w:val="false"/>
          <w:bCs w:val="false"/>
          <w:i/>
          <w:iCs/>
          <w:sz w:val="24"/>
          <w:szCs w:val="24"/>
        </w:rPr>
        <w:t xml:space="preserve">BMJ Open Ophthalmology</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3</w:t>
      </w:r>
      <w:r>
        <w:rPr>
          <w:rFonts w:ascii="Times New Roman" w:cs="Times New Roman" w:eastAsia="Times New Roman" w:hAnsi="Times New Roman"/>
          <w:b w:val="false"/>
          <w:bCs w:val="false"/>
          <w:i w:val="false"/>
          <w:iCs w:val="false"/>
          <w:sz w:val="24"/>
          <w:szCs w:val="24"/>
        </w:rPr>
        <w:t xml:space="preserve">(1), e000146. https://doi.org/10.1136/bmjophth-2018-000146</w:t>
      </w:r>
    </w:p>
    <w:p>
      <w:pPr>
        <w:spacing w:after="140" w:line="340"/>
        <w:jc w:val="both"/>
      </w:pPr>
      <w:r>
        <w:rPr>
          <w:rFonts w:ascii="Times New Roman" w:cs="Times New Roman" w:eastAsia="Times New Roman" w:hAnsi="Times New Roman"/>
          <w:b w:val="false"/>
          <w:bCs w:val="false"/>
          <w:i w:val="false"/>
          <w:iCs w:val="false"/>
          <w:sz w:val="24"/>
          <w:szCs w:val="24"/>
        </w:rPr>
        <w:t xml:space="preserve">Singh, S., McGuinness, M. B., Anderson, A. J., &amp; Downie, L. E. (2022). Interventions for the management of computer vision syndrome: A systematic review and meta-analysis. </w:t>
      </w:r>
      <w:r>
        <w:rPr>
          <w:rFonts w:ascii="Times New Roman" w:cs="Times New Roman" w:eastAsia="Times New Roman" w:hAnsi="Times New Roman"/>
          <w:b w:val="false"/>
          <w:bCs w:val="false"/>
          <w:i/>
          <w:iCs/>
          <w:sz w:val="24"/>
          <w:szCs w:val="24"/>
        </w:rPr>
        <w:t xml:space="preserve">Ophthalmology</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129</w:t>
      </w:r>
      <w:r>
        <w:rPr>
          <w:rFonts w:ascii="Times New Roman" w:cs="Times New Roman" w:eastAsia="Times New Roman" w:hAnsi="Times New Roman"/>
          <w:b w:val="false"/>
          <w:bCs w:val="false"/>
          <w:i w:val="false"/>
          <w:iCs w:val="false"/>
          <w:sz w:val="24"/>
          <w:szCs w:val="24"/>
        </w:rPr>
        <w:t xml:space="preserve">(10), 1192–1215. https://doi.org/10.1016/j.ophtha.2022.05.009</w:t>
      </w:r>
    </w:p>
    <w:p>
      <w:pPr>
        <w:spacing w:after="140" w:line="340"/>
        <w:jc w:val="both"/>
      </w:pPr>
      <w:r>
        <w:rPr>
          <w:rFonts w:ascii="Times New Roman" w:cs="Times New Roman" w:eastAsia="Times New Roman" w:hAnsi="Times New Roman"/>
          <w:b w:val="false"/>
          <w:bCs w:val="false"/>
          <w:i w:val="false"/>
          <w:iCs w:val="false"/>
          <w:sz w:val="24"/>
          <w:szCs w:val="24"/>
        </w:rPr>
        <w:t xml:space="preserve">Soukupová, T., &amp; Čech, J. (2016). </w:t>
      </w:r>
      <w:r>
        <w:rPr>
          <w:rFonts w:ascii="Times New Roman" w:cs="Times New Roman" w:eastAsia="Times New Roman" w:hAnsi="Times New Roman"/>
          <w:b w:val="false"/>
          <w:bCs w:val="false"/>
          <w:i/>
          <w:iCs/>
          <w:sz w:val="24"/>
          <w:szCs w:val="24"/>
        </w:rPr>
        <w:t xml:space="preserve">Real-time eye blink detection using facial landmarks</w:t>
      </w:r>
      <w:r>
        <w:rPr>
          <w:rFonts w:ascii="Times New Roman" w:cs="Times New Roman" w:eastAsia="Times New Roman" w:hAnsi="Times New Roman"/>
          <w:b w:val="false"/>
          <w:bCs w:val="false"/>
          <w:i w:val="false"/>
          <w:iCs w:val="false"/>
          <w:sz w:val="24"/>
          <w:szCs w:val="24"/>
        </w:rPr>
        <w:t xml:space="preserve"> [Paper presentation]. 21st Computer Vision Winter Workshop, Rimske Toplice, Slovenia.</w:t>
      </w:r>
    </w:p>
    <w:p>
      <w:pPr>
        <w:spacing w:after="140" w:line="340"/>
        <w:jc w:val="both"/>
      </w:pPr>
      <w:r>
        <w:rPr>
          <w:rFonts w:ascii="Times New Roman" w:cs="Times New Roman" w:eastAsia="Times New Roman" w:hAnsi="Times New Roman"/>
          <w:b w:val="false"/>
          <w:bCs w:val="false"/>
          <w:i w:val="false"/>
          <w:iCs w:val="false"/>
          <w:sz w:val="24"/>
          <w:szCs w:val="24"/>
        </w:rPr>
        <w:t xml:space="preserve">Tian, P., Xu, G., Han, C., Zheng, X., Zhang, K., Du, C., Wei, F., &amp; Zhang, S. (2022). Effects of paradigm color and screen brightness on visual fatigue in light environment of night based on eye tracker and EEG acquisition equipment. </w:t>
      </w:r>
      <w:r>
        <w:rPr>
          <w:rFonts w:ascii="Times New Roman" w:cs="Times New Roman" w:eastAsia="Times New Roman" w:hAnsi="Times New Roman"/>
          <w:b w:val="false"/>
          <w:bCs w:val="false"/>
          <w:i/>
          <w:iCs/>
          <w:sz w:val="24"/>
          <w:szCs w:val="24"/>
        </w:rPr>
        <w:t xml:space="preserve">Sensors</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22</w:t>
      </w:r>
      <w:r>
        <w:rPr>
          <w:rFonts w:ascii="Times New Roman" w:cs="Times New Roman" w:eastAsia="Times New Roman" w:hAnsi="Times New Roman"/>
          <w:b w:val="false"/>
          <w:bCs w:val="false"/>
          <w:i w:val="false"/>
          <w:iCs w:val="false"/>
          <w:sz w:val="24"/>
          <w:szCs w:val="24"/>
        </w:rPr>
        <w:t xml:space="preserve">(11), 4082. https://doi.org/10.3390/s22114082</w:t>
      </w:r>
    </w:p>
    <w:p>
      <w:pPr>
        <w:spacing w:after="140" w:line="340"/>
        <w:jc w:val="both"/>
      </w:pPr>
      <w:r>
        <w:rPr>
          <w:rFonts w:ascii="Times New Roman" w:cs="Times New Roman" w:eastAsia="Times New Roman" w:hAnsi="Times New Roman"/>
          <w:b w:val="false"/>
          <w:bCs w:val="false"/>
          <w:i w:val="false"/>
          <w:iCs w:val="false"/>
          <w:sz w:val="24"/>
          <w:szCs w:val="24"/>
        </w:rPr>
        <w:t xml:space="preserve">Warm, J. S., Parasuraman, R., &amp; Matthews, G. (2008). Vigilance requires hard mental work and is stressful. </w:t>
      </w:r>
      <w:r>
        <w:rPr>
          <w:rFonts w:ascii="Times New Roman" w:cs="Times New Roman" w:eastAsia="Times New Roman" w:hAnsi="Times New Roman"/>
          <w:b w:val="false"/>
          <w:bCs w:val="false"/>
          <w:i/>
          <w:iCs/>
          <w:sz w:val="24"/>
          <w:szCs w:val="24"/>
        </w:rPr>
        <w:t xml:space="preserve">Human Factors</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50</w:t>
      </w:r>
      <w:r>
        <w:rPr>
          <w:rFonts w:ascii="Times New Roman" w:cs="Times New Roman" w:eastAsia="Times New Roman" w:hAnsi="Times New Roman"/>
          <w:b w:val="false"/>
          <w:bCs w:val="false"/>
          <w:i w:val="false"/>
          <w:iCs w:val="false"/>
          <w:sz w:val="24"/>
          <w:szCs w:val="24"/>
        </w:rPr>
        <w:t xml:space="preserve">(3), 433–441. https://doi.org/10.1518/001872008X312152</w:t>
      </w:r>
    </w:p>
    <w:p>
      <w:pPr>
        <w:spacing w:after="140" w:line="340"/>
        <w:jc w:val="both"/>
      </w:pPr>
      <w:r>
        <w:rPr>
          <w:rFonts w:ascii="Times New Roman" w:cs="Times New Roman" w:eastAsia="Times New Roman" w:hAnsi="Times New Roman"/>
          <w:b w:val="false"/>
          <w:bCs w:val="false"/>
          <w:i w:val="false"/>
          <w:iCs w:val="false"/>
          <w:sz w:val="24"/>
          <w:szCs w:val="24"/>
        </w:rPr>
        <w:t xml:space="preserve">World Wide Web Consortium. (2023, October 5). </w:t>
      </w:r>
      <w:r>
        <w:rPr>
          <w:rFonts w:ascii="Times New Roman" w:cs="Times New Roman" w:eastAsia="Times New Roman" w:hAnsi="Times New Roman"/>
          <w:b w:val="false"/>
          <w:bCs w:val="false"/>
          <w:i/>
          <w:iCs/>
          <w:sz w:val="24"/>
          <w:szCs w:val="24"/>
        </w:rPr>
        <w:t xml:space="preserve">Web content accessibility guidelines (WCAG) 2.2</w:t>
      </w:r>
      <w:r>
        <w:rPr>
          <w:rFonts w:ascii="Times New Roman" w:cs="Times New Roman" w:eastAsia="Times New Roman" w:hAnsi="Times New Roman"/>
          <w:b w:val="false"/>
          <w:bCs w:val="false"/>
          <w:i w:val="false"/>
          <w:iCs w:val="false"/>
          <w:sz w:val="24"/>
          <w:szCs w:val="24"/>
        </w:rPr>
        <w:t xml:space="preserve">. https://www.w3.org/TR/WCAG22/</w:t>
      </w:r>
    </w:p>
    <w:p>
      <w:pPr>
        <w:spacing w:after="140" w:line="340"/>
        <w:jc w:val="both"/>
      </w:pPr>
      <w:r>
        <w:rPr>
          <w:rFonts w:ascii="Times New Roman" w:cs="Times New Roman" w:eastAsia="Times New Roman" w:hAnsi="Times New Roman"/>
          <w:b w:val="false"/>
          <w:bCs w:val="false"/>
          <w:i w:val="false"/>
          <w:iCs w:val="false"/>
          <w:sz w:val="24"/>
          <w:szCs w:val="24"/>
        </w:rPr>
        <w:t xml:space="preserve">Xie, X., Song, F., Liu, Y., Wang, S., &amp; Yu, D. (2021). Study on the effects of display color mode and luminance contrast on visual fatigue. </w:t>
      </w:r>
      <w:r>
        <w:rPr>
          <w:rFonts w:ascii="Times New Roman" w:cs="Times New Roman" w:eastAsia="Times New Roman" w:hAnsi="Times New Roman"/>
          <w:b w:val="false"/>
          <w:bCs w:val="false"/>
          <w:i/>
          <w:iCs/>
          <w:sz w:val="24"/>
          <w:szCs w:val="24"/>
        </w:rPr>
        <w:t xml:space="preserve">IEEE Access</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9</w:t>
      </w:r>
      <w:r>
        <w:rPr>
          <w:rFonts w:ascii="Times New Roman" w:cs="Times New Roman" w:eastAsia="Times New Roman" w:hAnsi="Times New Roman"/>
          <w:b w:val="false"/>
          <w:bCs w:val="false"/>
          <w:i w:val="false"/>
          <w:iCs w:val="false"/>
          <w:sz w:val="24"/>
          <w:szCs w:val="24"/>
        </w:rPr>
        <w:t xml:space="preserve">, 35915–35923. https://doi.org/10.1109/ACCESS.2021.3061770</w:t>
      </w:r>
    </w:p>
    <w:p>
      <w:pPr>
        <w:pBdr>
          <w:bottom w:val="single" w:color="AAAAAA" w:sz="6" w:space="1"/>
        </w:pBdr>
        <w:spacing w:after="200" w:before="120"/>
      </w:pPr>
      <w:r>
        <w:rPr>
          <w:rFonts w:ascii="Times New Roman" w:cs="Times New Roman" w:eastAsia="Times New Roman" w:hAnsi="Times New Roman"/>
          <w:sz w:val="24"/>
          <w:szCs w:val="24"/>
        </w:rPr>
        <w:t xml:space="preserve"/>
      </w:r>
    </w:p>
    <w:p>
      <w:pPr>
        <w:spacing w:after="140" w:line="340"/>
        <w:jc w:val="both"/>
      </w:pPr>
      <w:r>
        <w:rPr>
          <w:rFonts w:ascii="Times New Roman" w:cs="Times New Roman" w:eastAsia="Times New Roman" w:hAnsi="Times New Roman"/>
          <w:b w:val="false"/>
          <w:bCs w:val="false"/>
          <w:i w:val="false"/>
          <w:iCs w:val="false"/>
          <w:sz w:val="24"/>
          <w:szCs w:val="24"/>
        </w:rPr>
        <w:t xml:space="preserve">Date: ……………………………                     Signature of Scholar</w:t>
      </w:r>
    </w:p>
    <w:p>
      <w:pPr>
        <w:spacing w:after="140" w:line="340"/>
        <w:jc w:val="both"/>
      </w:pPr>
      <w:r>
        <w:rPr>
          <w:rFonts w:ascii="Times New Roman" w:cs="Times New Roman" w:eastAsia="Times New Roman" w:hAnsi="Times New Roman"/>
          <w:b w:val="false"/>
          <w:bCs w:val="false"/>
          <w:i w:val="false"/>
          <w:iCs w:val="false"/>
          <w:sz w:val="24"/>
          <w:szCs w:val="24"/>
        </w:rPr>
        <w:t xml:space="preserve">Signature of Supervisor                              Signature of Supervisor</w:t>
      </w:r>
    </w:p>
    <w:p>
      <w:pPr>
        <w:spacing w:after="140" w:line="340"/>
        <w:jc w:val="both"/>
      </w:pPr>
      <w:r>
        <w:rPr>
          <w:rFonts w:ascii="Times New Roman" w:cs="Times New Roman" w:eastAsia="Times New Roman" w:hAnsi="Times New Roman"/>
          <w:b w:val="false"/>
          <w:bCs w:val="false"/>
          <w:i w:val="false"/>
          <w:iCs w:val="false"/>
          <w:sz w:val="24"/>
          <w:szCs w:val="24"/>
        </w:rPr>
        <w:t xml:space="preserve">Seal                                                              Seal</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2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4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20"/>
    </w:pPr>
    <w:rPr>
      <w:rFonts w:ascii="Times New Roman" w:cs="Times New Roman" w:eastAsia="Times New Roman" w:hAnsi="Times New Roman"/>
      <w:b/>
      <w:bCs/>
      <w:color w:val="1A1A2E"/>
      <w:sz w:val="32"/>
      <w:szCs w:val="32"/>
    </w:rPr>
  </w:style>
  <w:style w:type="paragraph" w:styleId="Heading2">
    <w:name w:val="Heading 2"/>
    <w:basedOn w:val="Normal"/>
    <w:next w:val="Normal"/>
    <w:qFormat/>
    <w:pPr>
      <w:spacing w:after="150" w:before="300"/>
    </w:pPr>
    <w:rPr>
      <w:rFonts w:ascii="Times New Roman" w:cs="Times New Roman" w:eastAsia="Times New Roman" w:hAnsi="Times New Roman"/>
      <w:b/>
      <w:bCs/>
      <w:color w:val="1A1A2E"/>
      <w:sz w:val="28"/>
      <w:szCs w:val="28"/>
    </w:rPr>
  </w:style>
  <w:style w:type="paragraph" w:styleId="Heading3">
    <w:name w:val="Heading 3"/>
    <w:basedOn w:val="Normal"/>
    <w:next w:val="Normal"/>
    <w:qFormat/>
    <w:pPr>
      <w:spacing w:after="130" w:before="260"/>
    </w:pPr>
    <w:rPr>
      <w:rFonts w:ascii="Times New Roman" w:cs="Times New Roman" w:eastAsia="Times New Roman" w:hAnsi="Times New Roman"/>
      <w:b/>
      <w:bCs/>
      <w:color w:val="243B53"/>
      <w:sz w:val="26"/>
      <w:szCs w:val="26"/>
    </w:rPr>
  </w:style>
  <w:style w:type="paragraph" w:styleId="Heading4">
    <w:name w:val="Heading 4"/>
    <w:basedOn w:val="Normal"/>
    <w:next w:val="Normal"/>
    <w:qFormat/>
    <w:pPr>
      <w:spacing w:after="110" w:before="220"/>
    </w:pPr>
    <w:rPr>
      <w:rFonts w:ascii="Times New Roman" w:cs="Times New Roman" w:eastAsia="Times New Roman" w:hAnsi="Times New Roman"/>
      <w:b/>
      <w:bCs/>
      <w:i/>
      <w:iCs/>
      <w:color w:val="243B53"/>
      <w:sz w:val="24"/>
      <w:szCs w:val="24"/>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 of Literature — Display Polarity and Text Colour</dc:title>
  <dc:creator>PhD Synopsis</dc:creator>
  <dc:description>Literature review prepared for PhD synopsis presentation</dc:description>
  <cp:lastModifiedBy>Un-named</cp:lastModifiedBy>
  <cp:revision>1</cp:revision>
  <dcterms:created xsi:type="dcterms:W3CDTF">2026-09-07T06:50:03.079Z</dcterms:created>
  <dcterms:modified xsi:type="dcterms:W3CDTF">2026-09-07T06:50:03.086Z</dcterms:modified>
</cp:coreProperties>
</file>

<file path=docProps/custom.xml><?xml version="1.0" encoding="utf-8"?>
<Properties xmlns="http://schemas.openxmlformats.org/officeDocument/2006/custom-properties" xmlns:vt="http://schemas.openxmlformats.org/officeDocument/2006/docPropsVTypes"/>
</file>