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40"/>
        <w:jc w:val="both"/>
      </w:pPr>
      <w:r>
        <w:rPr>
          <w:rFonts w:ascii="Times New Roman" w:cs="Times New Roman" w:eastAsia="Times New Roman" w:hAnsi="Times New Roman"/>
          <w:b w:val="false"/>
          <w:bCs w:val="false"/>
          <w:i w:val="false"/>
          <w:iCs w:val="false"/>
          <w:sz w:val="24"/>
          <w:szCs w:val="24"/>
        </w:rPr>
        <w:t xml:space="preserve">EFFECTS OF DISPLAY POLARITY AND TEXT COLOUR ON VISUAL FATIGUE, OCULAR BEHAVIOUR AND TASK PERFORMANCE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140" w:line="340"/>
        <w:jc w:val="both"/>
      </w:pPr>
      <w:r>
        <w:rPr>
          <w:rFonts w:ascii="Times New Roman" w:cs="Times New Roman" w:eastAsia="Times New Roman" w:hAnsi="Times New Roman"/>
          <w:b w:val="false"/>
          <w:bCs w:val="false"/>
          <w:i w:val="false"/>
          <w:iCs w:val="false"/>
          <w:sz w:val="24"/>
          <w:szCs w:val="24"/>
        </w:rPr>
        <w:t xml:space="preserve">DEGREE OF DOCTOR OF PHILOSOPHY</w:t>
      </w:r>
    </w:p>
    <w:p>
      <w:pPr>
        <w:spacing w:after="140" w:line="340"/>
        <w:jc w:val="both"/>
      </w:pPr>
      <w:r>
        <w:rPr>
          <w:rFonts w:ascii="Times New Roman" w:cs="Times New Roman" w:eastAsia="Times New Roman" w:hAnsi="Times New Roman"/>
          <w:b w:val="false"/>
          <w:bCs w:val="false"/>
          <w:i w:val="false"/>
          <w:iCs w:val="false"/>
          <w:sz w:val="24"/>
          <w:szCs w:val="24"/>
        </w:rPr>
        <w:t xml:space="preserve">in</w:t>
      </w:r>
    </w:p>
    <w:p>
      <w:pPr>
        <w:spacing w:after="140" w:line="340"/>
        <w:jc w:val="both"/>
      </w:pPr>
      <w:r>
        <w:rPr>
          <w:rFonts w:ascii="Times New Roman" w:cs="Times New Roman" w:eastAsia="Times New Roman" w:hAnsi="Times New Roman"/>
          <w:b w:val="false"/>
          <w:bCs w:val="false"/>
          <w:i w:val="false"/>
          <w:iCs w:val="false"/>
          <w:sz w:val="24"/>
          <w:szCs w:val="24"/>
        </w:rPr>
        <w:t xml:space="preserve">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By</w:t>
      </w:r>
    </w:p>
    <w:p>
      <w:pPr>
        <w:spacing w:after="140" w:line="340"/>
        <w:jc w:val="both"/>
      </w:pPr>
      <w:r>
        <w:rPr>
          <w:rFonts w:ascii="Times New Roman" w:cs="Times New Roman" w:eastAsia="Times New Roman" w:hAnsi="Times New Roman"/>
          <w:b w:val="false"/>
          <w:bCs w:val="false"/>
          <w:i w:val="false"/>
          <w:iCs w:val="false"/>
          <w:sz w:val="24"/>
          <w:szCs w:val="24"/>
        </w:rPr>
        <w:t xml:space="preserve">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Registration No. ………………………………………</w:t>
      </w:r>
    </w:p>
    <w:p>
      <w:pPr>
        <w:spacing w:after="140" w:line="340"/>
        <w:jc w:val="both"/>
      </w:pPr>
      <w:r>
        <w:rPr>
          <w:rFonts w:ascii="Times New Roman" w:cs="Times New Roman" w:eastAsia="Times New Roman" w:hAnsi="Times New Roman"/>
          <w:b w:val="false"/>
          <w:bCs w:val="false"/>
          <w:i w:val="false"/>
          <w:iCs w:val="false"/>
          <w:sz w:val="24"/>
          <w:szCs w:val="24"/>
        </w:rPr>
        <w:t xml:space="preserve">Assam down town University</w:t>
      </w:r>
    </w:p>
    <w:p>
      <w:pPr>
        <w:spacing w:after="140" w:line="340"/>
        <w:jc w:val="both"/>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spacing w:after="140" w:line="340"/>
        <w:jc w:val="both"/>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40" w:line="340"/>
        <w:jc w:val="both"/>
      </w:pPr>
      <w:r>
        <w:rPr>
          <w:rFonts w:ascii="Times New Roman" w:cs="Times New Roman" w:eastAsia="Times New Roman" w:hAnsi="Times New Roman"/>
          <w:b w:val="false"/>
          <w:bCs w:val="false"/>
          <w:i w:val="false"/>
          <w:iCs w:val="false"/>
          <w:sz w:val="24"/>
          <w:szCs w:val="24"/>
        </w:rPr>
        <w:t xml:space="preserve">Department/Discipline : 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Batch/session : …………………………………………………</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160" w:before="320"/>
      </w:pPr>
      <w:r>
        <w:rPr>
          <w:rFonts w:ascii="Times New Roman" w:cs="Times New Roman" w:eastAsia="Times New Roman" w:hAnsi="Times New Roman"/>
          <w:b/>
          <w:bCs/>
          <w:i w:val="false"/>
          <w:iCs w:val="false"/>
          <w:sz w:val="32"/>
          <w:szCs w:val="32"/>
        </w:rPr>
        <w:t xml:space="preserve">CHAPTER 1: INTRODUCTION</w:t>
      </w:r>
    </w:p>
    <w:p>
      <w:pPr>
        <w:pStyle w:val="Heading2"/>
        <w:keepNext/>
        <w:spacing w:after="160" w:before="280"/>
      </w:pPr>
      <w:r>
        <w:rPr>
          <w:rFonts w:ascii="Times New Roman" w:cs="Times New Roman" w:eastAsia="Times New Roman" w:hAnsi="Times New Roman"/>
          <w:b/>
          <w:bCs/>
          <w:i w:val="false"/>
          <w:iCs w:val="false"/>
          <w:sz w:val="28"/>
          <w:szCs w:val="28"/>
        </w:rPr>
        <w:t xml:space="preserve">1.1 Background</w:t>
      </w:r>
    </w:p>
    <w:p>
      <w:pPr>
        <w:spacing w:after="140" w:line="340"/>
        <w:jc w:val="both"/>
      </w:pPr>
      <w:r>
        <w:rPr>
          <w:rFonts w:ascii="Times New Roman" w:cs="Times New Roman" w:eastAsia="Times New Roman" w:hAnsi="Times New Roman"/>
          <w:b w:val="false"/>
          <w:bCs w:val="false"/>
          <w:i w:val="false"/>
          <w:iCs w:val="false"/>
          <w:sz w:val="24"/>
          <w:szCs w:val="24"/>
        </w:rPr>
        <w:t xml:space="preserve">Most reading now happens on a screen rather than on paper. Tablets in particular have become a routine medium for study, work and leisure reading, often for hours at a time.</w:t>
      </w:r>
    </w:p>
    <w:p>
      <w:pPr>
        <w:spacing w:after="140" w:line="340"/>
        <w:jc w:val="both"/>
      </w:pPr>
      <w:r>
        <w:rPr>
          <w:rFonts w:ascii="Times New Roman" w:cs="Times New Roman" w:eastAsia="Times New Roman" w:hAnsi="Times New Roman"/>
          <w:b w:val="false"/>
          <w:bCs w:val="false"/>
          <w:i w:val="false"/>
          <w:iCs w:val="false"/>
          <w:sz w:val="24"/>
          <w:szCs w:val="24"/>
        </w:rPr>
        <w:t xml:space="preserve">The difference between the two media is more than a matter of habit. A printed page is passive: it reflects whatever light falls on it, and its appearance is fixed once printed. A screen is active: it produces its own light, and almost every property of what it shows can be altered in software. Four such properties matter for this study, and it is worth defining them plainly before they are used again.</w:t>
      </w:r>
    </w:p>
    <w:p>
      <w:pPr>
        <w:spacing w:after="140" w:line="340"/>
        <w:jc w:val="both"/>
      </w:pPr>
      <w:r>
        <w:rPr>
          <w:rFonts w:ascii="Times New Roman" w:cs="Times New Roman" w:eastAsia="Times New Roman" w:hAnsi="Times New Roman"/>
          <w:b w:val="false"/>
          <w:bCs w:val="false"/>
          <w:i w:val="false"/>
          <w:iCs w:val="false"/>
          <w:sz w:val="24"/>
          <w:szCs w:val="24"/>
        </w:rPr>
        <w:t xml:space="preserve">Display polarity describes which of the two elements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means dark text on a light background, the arrangement of a printed book.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means light text on a dark background, the arrangement popularly known as "dark mode". Text colour (or chromaticity) is the hue of the letters themselves, which need not be black or white. Luminance is the amount of light the screen emits. Luminance contrast is the difference in brightness between the letters and their background, and it is the property that determines whether text is easy or hard to resolve; it is not the same as colour difference, and two colours can look very different yet still be hard to read against one another.</w:t>
      </w:r>
    </w:p>
    <w:p>
      <w:pPr>
        <w:spacing w:after="140" w:line="340"/>
        <w:jc w:val="both"/>
      </w:pPr>
      <w:r>
        <w:rPr>
          <w:rFonts w:ascii="Times New Roman" w:cs="Times New Roman" w:eastAsia="Times New Roman" w:hAnsi="Times New Roman"/>
          <w:b w:val="false"/>
          <w:bCs w:val="false"/>
          <w:i w:val="false"/>
          <w:iCs w:val="false"/>
          <w:sz w:val="24"/>
          <w:szCs w:val="24"/>
        </w:rPr>
        <w:t xml:space="preserve">These four properties are chosen constantly, by interface designers when they build an application and by users every time they switch a theme. The adoption of dark mode across operating systems and applications is the most visible example. Such choices are therefore made at very large scale, yet evidence regarding the effects of combinations of these parameters during prolonged reading remains limited.</w:t>
      </w:r>
    </w:p>
    <w:p>
      <w:pPr>
        <w:spacing w:after="140" w:line="34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Users report that the eyes feel dry, tired, sore or gritty, that vision blurs or takes a moment to refocus when they look up, and that headaches and neck or shoulder ache follow long sessions. When these complaints occur together and are attributable to display use, they are grouped under a single label. Two names are in circulation for the same entity: computer vision syndrome and digital eye strain. The terms are used almost interchangeably, and this document uses digital eye strain for the condition and computer vision syndrome where the literature or an instrument uses that name.</w:t>
      </w:r>
    </w:p>
    <w:p>
      <w:pPr>
        <w:spacing w:after="140" w:line="340"/>
        <w:jc w:val="both"/>
      </w:pPr>
      <w:r>
        <w:rPr>
          <w:rFonts w:ascii="Times New Roman" w:cs="Times New Roman" w:eastAsia="Times New Roman" w:hAnsi="Times New Roman"/>
          <w:b w:val="false"/>
          <w:bCs w:val="false"/>
          <w:i w:val="false"/>
          <w:iCs w:val="false"/>
          <w:sz w:val="24"/>
          <w:szCs w:val="24"/>
        </w:rPr>
        <w:t xml:space="preserve">The condition is common. A systematic review and meta-analysis of 103 cross-sectional studies covering 66,577 participants placed pooled prevalence at 69.0 per cent (95% CI 62.3–75.3), with individual estimates ranging from 12.1 to 97.3 per cent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Prevalence was higher among women (71.4 versus 61.8 per cent) and university students (76.1 per cent), and reviews report a further rise with remote work and study, reaching 50 to 60 per cent among children (Kaur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The wide spread between studies is itself informative: case definitions remain unstandardised, and the prevalence synthesis closes by calling for one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160" w:before="280"/>
      </w:pPr>
      <w:r>
        <w:rPr>
          <w:rFonts w:ascii="Times New Roman" w:cs="Times New Roman" w:eastAsia="Times New Roman" w:hAnsi="Times New Roman"/>
          <w:b/>
          <w:bCs/>
          <w:i w:val="false"/>
          <w:iCs w:val="false"/>
          <w:sz w:val="28"/>
          <w:szCs w:val="28"/>
        </w:rPr>
        <w:t xml:space="preserve">1.2 Biophysiological basis</w:t>
      </w:r>
    </w:p>
    <w:p>
      <w:pPr>
        <w:spacing w:after="140" w:line="340"/>
        <w:jc w:val="both"/>
      </w:pPr>
      <w:r>
        <w:rPr>
          <w:rFonts w:ascii="Times New Roman" w:cs="Times New Roman" w:eastAsia="Times New Roman" w:hAnsi="Times New Roman"/>
          <w:b w:val="false"/>
          <w:bCs w:val="false"/>
          <w:i w:val="false"/>
          <w:iCs w:val="false"/>
          <w:sz w:val="24"/>
          <w:szCs w:val="24"/>
        </w:rPr>
        <w:t xml:space="preserve">The symptoms above do not all arise the same way, and separating them is the key to measuring them. Two mechanisms are involved (Sheppard &amp; Wolffsohn, 2018).</w:t>
      </w:r>
    </w:p>
    <w:p>
      <w:pPr>
        <w:spacing w:after="140" w:line="340"/>
        <w:jc w:val="both"/>
      </w:pPr>
      <w:r>
        <w:rPr>
          <w:rFonts w:ascii="Times New Roman" w:cs="Times New Roman" w:eastAsia="Times New Roman" w:hAnsi="Times New Roman"/>
          <w:b w:val="false"/>
          <w:bCs w:val="false"/>
          <w:i w:val="false"/>
          <w:iCs w:val="false"/>
          <w:sz w:val="24"/>
          <w:szCs w:val="24"/>
        </w:rPr>
        <w:t xml:space="preserve">The first concerns focusing. To read at arm's length the eye must bend light more strongly, which it does by changing the shape of its lens; this is called accommodation. At the same time both eyes must turn slightly inward so that the two images fuse into one, which is called vergence. Holding both for a long period is effortful, and when that effort accumulates it produces difficulty focusing, blurred vision, a temporary shift towards short-sightedness after close work (near-work-induced transient myopia) and headache.</w:t>
      </w:r>
    </w:p>
    <w:p>
      <w:pPr>
        <w:spacing w:after="140" w:line="340"/>
        <w:jc w:val="both"/>
      </w:pPr>
      <w:r>
        <w:rPr>
          <w:rFonts w:ascii="Times New Roman" w:cs="Times New Roman" w:eastAsia="Times New Roman" w:hAnsi="Times New Roman"/>
          <w:b w:val="false"/>
          <w:bCs w:val="false"/>
          <w:i w:val="false"/>
          <w:iCs w:val="false"/>
          <w:sz w:val="24"/>
          <w:szCs w:val="24"/>
        </w:rPr>
        <w:t xml:space="preserve">The second concerns the ocular surface, the exposed front of the eye. It is kept smooth and comfortable by a thin tear film, which is renewed each time the eyelids close fully. When that renewal is disrupted, the surface dries and the result is dryness, burning and irritation. It is this second mechanism that the present study measures most directly.</w:t>
      </w:r>
    </w:p>
    <w:p>
      <w:pPr>
        <w:spacing w:after="140" w:line="340"/>
        <w:jc w:val="both"/>
      </w:pPr>
      <w:r>
        <w:rPr>
          <w:rFonts w:ascii="Times New Roman" w:cs="Times New Roman" w:eastAsia="Times New Roman" w:hAnsi="Times New Roman"/>
          <w:b w:val="false"/>
          <w:bCs w:val="false"/>
          <w:i w:val="false"/>
          <w:iCs w:val="false"/>
          <w:sz w:val="24"/>
          <w:szCs w:val="24"/>
        </w:rPr>
        <w:t xml:space="preserve">The ocular-surface route is the better described, and its logic is straightforward. A blink does two things: it spreads fresh tear fluid across the surface, and it draws an oily secretion from glands in the lid margins over that fluid, which slows evaporation. Concentrated screen work interferes with both. It reduces how often people blink, and it increases the proportion of blinks in which the lids approach one another but do not actually meet, which are termed incomplete blinks. An incomplete blink leaves part of the surface unwetted and unprotected, so the tear film thins and breaks up sooner, and the surface enters the recognised inflammatory cycle of dry eye disease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This is why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and not simply how often it occurs, is the ocular measure this study treats as primary. Mechanistic review attributes display-associated dry eye principally to impaired blinking, finding insufficient support for parasympathetic or blue-light contributions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accommodative route is more heterogeneously evidenced but responds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Although accommodative and vergence mechanisms are relevant to digital visual fatigue, the present study focuses on ocular-surface behaviour, visual performance and subjective fatigue, and does not measure accommodative responses directly; the accommodative pathway is therefore reviewed as mechanistic context rather than tested.</w:t>
      </w:r>
    </w:p>
    <w:p>
      <w:pPr>
        <w:pStyle w:val="Heading2"/>
        <w:keepNext/>
        <w:spacing w:after="160" w:before="280"/>
      </w:pPr>
      <w:r>
        <w:rPr>
          <w:rFonts w:ascii="Times New Roman" w:cs="Times New Roman" w:eastAsia="Times New Roman" w:hAnsi="Times New Roman"/>
          <w:b/>
          <w:bCs/>
          <w:i w:val="false"/>
          <w:iCs w:val="false"/>
          <w:sz w:val="28"/>
          <w:szCs w:val="28"/>
        </w:rPr>
        <w:t xml:space="preserve">1.3 Polarity and text colour,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Having defined the display properties in §1.1 and the two symptom mechanisms in §1.2, the question is how the former act on the latter. Three properties are considered here, and each is reviewed in detail in Chapter 2.</w:t>
      </w:r>
    </w:p>
    <w:p>
      <w:pPr>
        <w:spacing w:after="140" w:line="340"/>
        <w:jc w:val="both"/>
      </w:pPr>
      <w:r>
        <w:rPr>
          <w:rFonts w:ascii="Times New Roman" w:cs="Times New Roman" w:eastAsia="Times New Roman" w:hAnsi="Times New Roman"/>
          <w:b w:val="false"/>
          <w:bCs w:val="false"/>
          <w:i w:val="false"/>
          <w:iCs w:val="false"/>
          <w:sz w:val="24"/>
          <w:szCs w:val="24"/>
        </w:rPr>
        <w:t xml:space="preserve">The most reliably replicated finding concerns polarity and is known as the positive polarity advantage: reading is better for dark text on a light field than for light text on a dark one. The accepted explanation runs through the pupil. A positive-polarity screen is mostly white, so it emits more light overall; more light entering the eye makes the pupil constrict; a smaller pupil admits light through the central, optically cleaner part of the lens and increases the range of distances held in focus; and the retinal image is consequently sharper (Buchner &amp; Baumgartner, 2007;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The advantage, in other words, is thought to be a matter of how much light the screen puts out rather than of colour preference. Text colour has been studied far less and, to the best of the available evidence, no study has comprehensively evaluated it in combination with polarity while measuring fatigue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Any manipulation of text colour also manipulates luminance contrast, since chromatic pigments differ intrinsically in relative luminance and chromatic contrast cannot substitute for luminance contrast (Buchner &amp; Baumgartner, 2007), so an apparent effect of colour may be an effect of contrast unless the two are measured separately. Ambient light adds veiling luminance and drives pupil size independently of the display, acting on the same mechanism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For that reason it is held constant here rather than manipulated, at a single controlled level; the grounds for that decision, and what it forfeits, are set out in §2.4 and §3.4.</w:t>
      </w:r>
    </w:p>
    <w:p>
      <w:pPr>
        <w:pStyle w:val="Heading2"/>
        <w:keepNext/>
        <w:spacing w:after="160" w:before="280"/>
      </w:pPr>
      <w:r>
        <w:rPr>
          <w:rFonts w:ascii="Times New Roman" w:cs="Times New Roman" w:eastAsia="Times New Roman" w:hAnsi="Times New Roman"/>
          <w:b/>
          <w:bCs/>
          <w:i w:val="false"/>
          <w:iCs w:val="false"/>
          <w:sz w:val="28"/>
          <w:szCs w:val="28"/>
        </w:rPr>
        <w:t xml:space="preserve">1.4 Statement of the problem</w:t>
      </w:r>
    </w:p>
    <w:p>
      <w:pPr>
        <w:spacing w:after="140" w:line="34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the remedies most heavily promoted for it lack trial support. A systematic review and meta-analysis of 45 randomised controlled trials involving 4,497 participants found no high-certainty evidence for any therapy examined, including blue-blocking lenses, with only low-certainty benefit for oral omega-3 in dry-eye symptoms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A separate review in younger users reached the same conclusion on blue-blocking filters, supporting ergonomic optimisation and shorter exposure instead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w:t>
      </w:r>
    </w:p>
    <w:p>
      <w:pPr>
        <w:spacing w:after="140" w:line="34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does not extend to prolonged reading, blinking behaviour or validated symptom measurement. Work on text colour is limited to short exposures without symptom outcomes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or to a single polarity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 study has therefore estimated how polarity and text colour interact, separated hue from luminance contrast, or measured a validated symptom instrument alongside the ocular marker most specific to this condition. Compounding this, blink completeness has been measured by frame-by-frame manual annotation, restricting the literature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w:t>
      </w:r>
    </w:p>
    <w:p>
      <w:pPr>
        <w:spacing w:after="140" w:line="340"/>
        <w:jc w:val="both"/>
      </w:pPr>
      <w:r>
        <w:rPr>
          <w:rFonts w:ascii="Times New Roman" w:cs="Times New Roman" w:eastAsia="Times New Roman" w:hAnsi="Times New Roman"/>
          <w:b w:val="false"/>
          <w:bCs w:val="false"/>
          <w:i w:val="false"/>
          <w:iCs w:val="false"/>
          <w:sz w:val="24"/>
          <w:szCs w:val="24"/>
        </w:rPr>
        <w:t xml:space="preserve">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160" w:before="280"/>
      </w:pPr>
      <w:r>
        <w:rPr>
          <w:rFonts w:ascii="Times New Roman" w:cs="Times New Roman" w:eastAsia="Times New Roman" w:hAnsi="Times New Roman"/>
          <w:b/>
          <w:bCs/>
          <w:i w:val="false"/>
          <w:iCs w:val="false"/>
          <w:sz w:val="28"/>
          <w:szCs w:val="28"/>
        </w:rPr>
        <w:t xml:space="preserve">1.5 Rationale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w:t>
      </w:r>
    </w:p>
    <w:p>
      <w:pPr>
        <w:spacing w:after="140" w:line="340"/>
        <w:jc w:val="both"/>
      </w:pPr>
      <w:r>
        <w:rPr>
          <w:rFonts w:ascii="Times New Roman" w:cs="Times New Roman" w:eastAsia="Times New Roman" w:hAnsi="Times New Roman"/>
          <w:b w:val="false"/>
          <w:bCs w:val="false"/>
          <w:i w:val="false"/>
          <w:iCs w:val="false"/>
          <w:sz w:val="24"/>
          <w:szCs w:val="24"/>
        </w:rPr>
        <w:t xml:space="preserve">Because WCAG contrast on a white field falls as the text's relative luminance rises, while contrast on a black field rises with it, the rank order of the chromatic conditions is exactly inverted between the two polarities (Table 3.4). Blue and red are high in contrast on white but fall below the accessibility minimum on black, while yellow and green behave oppositely. The achromatic pair is the exception and the anchor: black-on-white and white-on-black both give 21.00:1, so that single pair varies polarity with luminance contrast held constant. The polarity-by-colour interaction therefore allows contrast-mediated effects to be modelled and distinguished from residual, hue-specific effects. The design does not experimentally isolate hue from luminance contrast, since the two cannot be orthogonalised within a fixed colour set; the separation is statistical rather than experimental and is interpreted accordingly. The ordering Fan and colleagues (2024) reported under negative polarity, red worst and yellow best, is precisely what luminance contrast alone would predict for those hues on a black background, and a single-polarity design cannot exclude that explanation.</w:t>
      </w:r>
    </w:p>
    <w:p>
      <w:pPr>
        <w:spacing w:after="140" w:line="340"/>
        <w:jc w:val="both"/>
      </w:pPr>
      <w:r>
        <w:rPr>
          <w:rFonts w:ascii="Times New Roman" w:cs="Times New Roman" w:eastAsia="Times New Roman" w:hAnsi="Times New Roman"/>
          <w:b w:val="false"/>
          <w:bCs w:val="false"/>
          <w:i w:val="false"/>
          <w:iCs w:val="false"/>
          <w:sz w:val="24"/>
          <w:szCs w:val="24"/>
        </w:rPr>
        <w:t xml:space="preserve">Manipulating ambient light across sessions tests the polarity effect where it matters behaviourally, since devices are used extensively at night and in dim domestic settings, where negative polarity is predicted to cost most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Validating an automated measure of blink completeness would remove the annotation bottleneck that has kept this literature small. The findings bear on interface design, on accessibility standards whose contrast criterion does not account for polarity (Advanced Perceptual Contrast Algorithm, n.d.; World Wide Web Consortium, 2023), on public health guidance, and on the advice optometrists give patients, an area in which practitioners are documented to lack quality evidence (Sheppard &amp; Wolffsohn, 2018).</w:t>
      </w:r>
    </w:p>
    <w:p>
      <w:pPr>
        <w:pStyle w:val="Heading2"/>
        <w:keepNext/>
        <w:spacing w:after="160" w:before="280"/>
      </w:pPr>
      <w:r>
        <w:rPr>
          <w:rFonts w:ascii="Times New Roman" w:cs="Times New Roman" w:eastAsia="Times New Roman" w:hAnsi="Times New Roman"/>
          <w:b/>
          <w:bCs/>
          <w:i w:val="false"/>
          <w:iCs w:val="false"/>
          <w:sz w:val="28"/>
          <w:szCs w:val="28"/>
        </w:rPr>
        <w:t xml:space="preserve">1.6 Aim</w:t>
      </w:r>
    </w:p>
    <w:p>
      <w:pPr>
        <w:spacing w:after="140" w:line="340"/>
        <w:jc w:val="both"/>
      </w:pPr>
      <w:r>
        <w:rPr>
          <w:rFonts w:ascii="Times New Roman" w:cs="Times New Roman" w:eastAsia="Times New Roman" w:hAnsi="Times New Roman"/>
          <w:b w:val="false"/>
          <w:bCs w:val="false"/>
          <w:i w:val="false"/>
          <w:iCs w:val="false"/>
          <w:sz w:val="24"/>
          <w:szCs w:val="24"/>
        </w:rPr>
        <w:t xml:space="preserve">To determine the effects and interaction of display polarity and text colour on visual fatigue, ocular behaviour and visual task performance during prolonged tablet-based reading under controlled ambient illumination, and, as a secondary methodological objective, to evaluate the validity and feasibility of camera-based blink assessment as an objective measure of ocular response.</w:t>
      </w:r>
    </w:p>
    <w:p>
      <w:pPr>
        <w:pStyle w:val="Heading2"/>
        <w:keepNext/>
        <w:spacing w:after="160" w:before="280"/>
      </w:pPr>
      <w:r>
        <w:rPr>
          <w:rFonts w:ascii="Times New Roman" w:cs="Times New Roman" w:eastAsia="Times New Roman" w:hAnsi="Times New Roman"/>
          <w:b/>
          <w:bCs/>
          <w:i w:val="false"/>
          <w:iCs w:val="false"/>
          <w:sz w:val="28"/>
          <w:szCs w:val="28"/>
        </w:rPr>
        <w:t xml:space="preserve">1.7 Objectives</w:t>
      </w:r>
    </w:p>
    <w:p>
      <w:pPr>
        <w:spacing w:after="140" w:line="340"/>
        <w:jc w:val="both"/>
      </w:pPr>
      <w:r>
        <w:rPr>
          <w:rFonts w:ascii="Times New Roman" w:cs="Times New Roman" w:eastAsia="Times New Roman" w:hAnsi="Times New Roman"/>
          <w:b/>
          <w:bCs/>
          <w:i w:val="false"/>
          <w:iCs w:val="false"/>
          <w:sz w:val="24"/>
          <w:szCs w:val="24"/>
        </w:rPr>
        <w:t xml:space="preserve">Primary objectives</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and text colour on subjective visual fatigue, ocular behaviour, cognitive workload and task performance during prolonged tablet reading, with ambient illumination held constant at a single controlled level.</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combination of polarity and text colour that minimises visual fatigue and maximises task performance at that illumination level, and to examine how participant characteristics moderate these effects.</w:t>
      </w:r>
    </w:p>
    <w:p>
      <w:pPr>
        <w:spacing w:after="140" w:line="340"/>
        <w:jc w:val="both"/>
      </w:pPr>
      <w:r>
        <w:rPr>
          <w:rFonts w:ascii="Times New Roman" w:cs="Times New Roman" w:eastAsia="Times New Roman" w:hAnsi="Times New Roman"/>
          <w:b/>
          <w:bCs/>
          <w:i w:val="false"/>
          <w:iCs w:val="false"/>
          <w:sz w:val="24"/>
          <w:szCs w:val="24"/>
        </w:rPr>
        <w:t xml:space="preserve">Methodological objective</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160" w:before="280"/>
      </w:pPr>
      <w:r>
        <w:rPr>
          <w:rFonts w:ascii="Times New Roman" w:cs="Times New Roman" w:eastAsia="Times New Roman" w:hAnsi="Times New Roman"/>
          <w:b/>
          <w:bCs/>
          <w:i w:val="false"/>
          <w:iCs w:val="false"/>
          <w:sz w:val="28"/>
          <w:szCs w:val="28"/>
        </w:rPr>
        <w:t xml:space="preserve">1.8 Hypotheses</w:t>
      </w:r>
    </w:p>
    <w:p>
      <w:pPr>
        <w:spacing w:after="140" w:line="34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and text colour, individually or in combination, have no significant effect on visual fatigue, ocular behaviour or visual task performance during prolonged tablet reading at a controlled ambient illumination of 300 lux.</w:t>
      </w:r>
    </w:p>
    <w:p>
      <w:pPr>
        <w:spacing w:after="140" w:line="340"/>
        <w:jc w:val="both"/>
      </w:pP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these factors, individually or in combination, significantly affects these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The following hypotheses are linked to the objectives.</w:t>
      </w:r>
    </w:p>
    <w:p>
      <w:pPr>
        <w:spacing w:after="140" w:line="34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and higher luminance contrast are each associated with a lower incomplete-blink ratio, lower subjective visual fatigue and better task performance.</w:t>
      </w:r>
    </w:p>
    <w:p>
      <w:pPr>
        <w:spacing w:after="140" w:line="34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The further prediction that the cost of negative polarity is greater under dim than under moderate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is not tested here, illumination being held constant; it is retained in §4.3 as a question this design deliberately forgoes.</w:t>
      </w:r>
    </w:p>
    <w:p>
      <w:pPr>
        <w:spacing w:after="140" w:line="34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computed contrast ordering reverses between the two polarities (Table 3.4), a contrast-mediated effect predicts a corresponding reversal of the colour ordering across polarity, whereas a residual hue-specific effect predicts a consistent ordering, with red the a priori candidate exception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140" w:line="34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160" w:before="280"/>
      </w:pPr>
      <w:r>
        <w:rPr>
          <w:rFonts w:ascii="Times New Roman" w:cs="Times New Roman" w:eastAsia="Times New Roman" w:hAnsi="Times New Roman"/>
          <w:b/>
          <w:bCs/>
          <w:i w:val="false"/>
          <w:iCs w:val="false"/>
          <w:sz w:val="28"/>
          <w:szCs w:val="28"/>
        </w:rPr>
        <w:t xml:space="preserve">1.9 Conceptual framework</w:t>
      </w:r>
    </w:p>
    <w:p>
      <w:pPr>
        <w:spacing w:after="140" w:line="34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summarised in Table 1.1. Along the optical route, display and room luminance determine pupil diameter, which governs aberration and depth of focus and therefore retinal image quality, legibility and accommodative demand. Along the ocular-surface route, visual and cognitive demand suppress blink rate and raise incomplete blinking, destabilising the tear film. Both routes feed the manifest outcomes of reading rate, comprehension, visual search, sustained attention, perceived comfort, workload and subjective fatigue. Time on task exerts its own effect and is counterbalanced and modelled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sleepiness, indexed by PERCLOS, and disengagement are treated as measured confounders; participant characteristics modulate susceptibility throughout.</w:t>
      </w:r>
    </w:p>
    <w:p>
      <w:pPr>
        <w:spacing w:after="140" w:line="34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1227"/>
        <w:gridCol w:w="994"/>
        <w:gridCol w:w="975"/>
        <w:gridCol w:w="1556"/>
        <w:gridCol w:w="1786"/>
        <w:gridCol w:w="178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Pathway</w:t>
            </w:r>
          </w:p>
        </w:tc>
        <w:tc>
          <w:tcPr>
            <w:tcW w:type="dxa" w:w="122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Antecedent (independent variable)</w:t>
            </w:r>
          </w:p>
        </w:tc>
        <w:tc>
          <w:tcPr>
            <w:tcW w:type="dxa" w:w="99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Proximal mechanism</w:t>
            </w:r>
          </w:p>
        </w:tc>
        <w:tc>
          <w:tcPr>
            <w:tcW w:type="dxa" w:w="97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Mediating state</w:t>
            </w:r>
          </w:p>
        </w:tc>
        <w:tc>
          <w:tcPr>
            <w:tcW w:type="dxa" w:w="155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Symptom cluster</w:t>
            </w:r>
          </w:p>
        </w:tc>
        <w:tc>
          <w:tcPr>
            <w:tcW w:type="dxa" w:w="178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Measured outcome (P = primary, S = secondary)</w:t>
            </w:r>
          </w:p>
        </w:tc>
        <w:tc>
          <w:tcPr>
            <w:tcW w:type="dxa" w:w="178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Evidence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Optical / refractive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luminance and polarity; ambient illuminance</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 diameter → aberration and depth of focus</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Retinal image quality; accommodative demand</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Accommodative/vergence (blur, focusing difficulty, headache, transient myopia)</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rate (S); comprehension (S); visual search (S); perceived clarity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2017; Jiménez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2020; Piepenbrock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2014a, 2014b; Redondo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2025)</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Luminance contrast; chromaticity; visual and cognitive demand</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Reduced blink rate; increased incomplete blinking</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Exposed evaporative area; tear-film stability</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 (dryness, burning, irritation)</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Incomplete-blink ratio (P); CVS-Q change (key S); blink rate, inter-blink interval, VAS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2015; Fjaervoll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Hirota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 Kamøy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Portello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Cross-cutting</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Time on task; sleepiness; disengagement; participant factors</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Resource depletion; arousal state; habituation</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Sustained-attention capacity; response criterion</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RT variability and lapses (S); PERCLOS (covariate); engagement flags (quality control)</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(Abe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 Abe, 2023; Jackson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2016; Warm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2008)</w:t>
            </w:r>
          </w:p>
        </w:tc>
      </w:tr>
    </w:tbl>
    <w:p>
      <w:pPr>
        <w:spacing w:after="200"/>
      </w:pPr>
      <w:r>
        <w:rPr>
          <w:sz w:val="12"/>
          <w:szCs w:val="12"/>
        </w:rPr>
        <w:t xml:space="preserve"/>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2: REVIEW OF LITERATURE</w:t>
      </w:r>
    </w:p>
    <w:p>
      <w:pPr>
        <w:pStyle w:val="Heading2"/>
        <w:keepNext/>
        <w:spacing w:after="160" w:before="280"/>
      </w:pPr>
      <w:r>
        <w:rPr>
          <w:rFonts w:ascii="Times New Roman" w:cs="Times New Roman" w:eastAsia="Times New Roman" w:hAnsi="Times New Roman"/>
          <w:b/>
          <w:bCs/>
          <w:i w:val="false"/>
          <w:iCs w:val="false"/>
          <w:sz w:val="28"/>
          <w:szCs w:val="28"/>
        </w:rPr>
        <w:t xml:space="preserve">2.1 Burden, risk factors and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One finding carries methodological force: prevalence was higher in studies that did not use the Computer Vision Syndrome Questionnaire (75.4 per cent), and meta-regression associated use of that instrument with lower estimates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and note that preventive measures acting at different points of the dry-eye cycle may be complementary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2.2 Display polarity</w:t>
      </w:r>
    </w:p>
    <w:p>
      <w:pPr>
        <w:spacing w:after="140" w:line="34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140" w:line="34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9"/>
        <w:gridCol w:w="700"/>
        <w:gridCol w:w="700"/>
        <w:gridCol w:w="2302"/>
        <w:gridCol w:w="2350"/>
        <w:gridCol w:w="1565"/>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30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35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56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illumination × chromaticity</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advantage independent of lighting and chromaticity; colour contrast cannot replace luminance contrast</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Short task; no ocular or symptom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2014b</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Pupillometry with proofreading; polarity</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Smaller pupils and better performance under positive polarity</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2014a</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character size</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Advantage increased linearly as character size decreased</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brief exposure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Adaptive-staircase psychophysics; typeface × polarity × size × age</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Black-on-white more legible than white-on-black; typeface interacted with age</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Glance reading only; threshold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Lexical decision; polarity × illumination × size</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Thresholds worst for negative polarity under near-dark light</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fatigue or ocular-surface outcomes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Sethi &amp; Ziat</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with subjective and affective measures; polarity × environment × age × task</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cognitive load under negative polarity, conditional on age and lighting</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Search and writing tasks;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Visual-ergonomic optimisation; luminance × polarity at 300 lux</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preferable; optimum display luminance 153 cd/m²</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Desktop head-up display; office lighting only; achromatic</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160" w:before="280"/>
      </w:pPr>
      <w:r>
        <w:rPr>
          <w:rFonts w:ascii="Times New Roman" w:cs="Times New Roman" w:eastAsia="Times New Roman" w:hAnsi="Times New Roman"/>
          <w:b/>
          <w:bCs/>
          <w:i w:val="false"/>
          <w:iCs w:val="false"/>
          <w:sz w:val="28"/>
          <w:szCs w:val="28"/>
        </w:rPr>
        <w:t xml:space="preserve">2.3 Text colour and the contrast confound</w:t>
      </w:r>
    </w:p>
    <w:p>
      <w:pPr>
        <w:spacing w:after="140" w:line="34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140" w:line="34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241"/>
        <w:gridCol w:w="2240"/>
        <w:gridCol w:w="1745"/>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24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24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4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colour contrast vs luminance contrast (red-on-green)</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contrast cannot compensate for absent luminance contrast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chromatic pair; short task</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Binocular open-field autorefractometry; 14 text–background colour combinations, 2-min passages</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modulated accommodative and pupillary dynamics; low-contrast pairs rated less legible; reading speed unaffected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2-min exposure; no symptom-level outcome; lab instrumentation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and Likert scales; 2 colour modes × 6 luminance-contrast ratios at night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mode raised blink rate and pupil accommodation, yet light mode was rated less fatiguing and preferred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Objective–subjective dissociation unexplained; 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tracker and EEG; paradigm colour × screen brightness in a dark environment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reduced fatigue; blue preferred to red; no EEG colour effect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paradigm stimuli;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during reading; ambient illumination × text colour, negative polarity only</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 most fatiguing, yellow least; performance better with yellow and white</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 hue confounded with contrast</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those finding effects on fatigue and performance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140" w:line="34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(Advanced Perceptual Contrast Algorithm, n.d.). That a polarity-blind criterion governs a domain in which polarity is among the strongest determinants of legibility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is a problem to which empirical work can contribute.</w:t>
      </w:r>
    </w:p>
    <w:p>
      <w:pPr>
        <w:pStyle w:val="Heading2"/>
        <w:keepNext/>
        <w:spacing w:after="160" w:before="280"/>
      </w:pPr>
      <w:r>
        <w:rPr>
          <w:rFonts w:ascii="Times New Roman" w:cs="Times New Roman" w:eastAsia="Times New Roman" w:hAnsi="Times New Roman"/>
          <w:b/>
          <w:bCs/>
          <w:i w:val="false"/>
          <w:iCs w:val="false"/>
          <w:sz w:val="28"/>
          <w:szCs w:val="28"/>
        </w:rPr>
        <w:t xml:space="preserve">2.4 Ambient illumination, and the decision to control rather than manipulate it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and the fatigue cost of coloured text under it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consistent with a pupil-mediated account in which room light and display polarity trade against one another (Table 2.3).</w:t>
      </w:r>
    </w:p>
    <w:p>
      <w:pPr>
        <w:spacing w:after="140" w:line="34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1423"/>
        <w:gridCol w:w="700"/>
        <w:gridCol w:w="700"/>
        <w:gridCol w:w="1586"/>
        <w:gridCol w:w="2308"/>
        <w:gridCol w:w="1609"/>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142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58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Illumination manipulated</w:t>
            </w:r>
          </w:p>
        </w:tc>
        <w:tc>
          <w:tcPr>
            <w:tcW w:type="dxa" w:w="230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60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142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5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Darkness vs typical office lighting</w:t>
            </w:r>
          </w:p>
        </w:tc>
        <w:tc>
          <w:tcPr>
            <w:tcW w:type="dxa" w:w="23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advantage independent of ambient lighting</w:t>
            </w:r>
          </w:p>
        </w:tc>
        <w:tc>
          <w:tcPr>
            <w:tcW w:type="dxa" w:w="16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Two coarse levels; proofreading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42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5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Near-dark vs daylight-like</w:t>
            </w:r>
          </w:p>
        </w:tc>
        <w:tc>
          <w:tcPr>
            <w:tcW w:type="dxa" w:w="23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worst under near-dark; raising illumination or switching polarity restored legibility</w:t>
            </w:r>
          </w:p>
        </w:tc>
        <w:tc>
          <w:tcPr>
            <w:tcW w:type="dxa" w:w="16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 legibility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142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5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ambient illumination at night, 6 contrast ratios</w:t>
            </w:r>
          </w:p>
        </w:tc>
        <w:tc>
          <w:tcPr>
            <w:tcW w:type="dxa" w:w="23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mode and contrast jointly affected fatigue under low light</w:t>
            </w:r>
          </w:p>
        </w:tc>
        <w:tc>
          <w:tcPr>
            <w:tcW w:type="dxa" w:w="16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142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5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environment, graded screen brightness</w:t>
            </w:r>
          </w:p>
        </w:tc>
        <w:tc>
          <w:tcPr>
            <w:tcW w:type="dxa" w:w="23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in darkness reduced fatigue; sensitivity most vulnerable at medium-high brightness</w:t>
            </w:r>
          </w:p>
        </w:tc>
        <w:tc>
          <w:tcPr>
            <w:tcW w:type="dxa" w:w="16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stimuli</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142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5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Graded ambient illumination, negative polarity</w:t>
            </w:r>
          </w:p>
        </w:tc>
        <w:tc>
          <w:tcPr>
            <w:tcW w:type="dxa" w:w="23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illumination reduced fatigue, by an amount depending on text colour</w:t>
            </w:r>
          </w:p>
        </w:tc>
        <w:tc>
          <w:tcPr>
            <w:tcW w:type="dxa" w:w="16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142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Contact Lens and Anterior Eye study ([Authors], 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5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Bright vs dark room × bright vs dark screen, 30-min reading</w:t>
            </w:r>
          </w:p>
        </w:tc>
        <w:tc>
          <w:tcPr>
            <w:tcW w:type="dxa" w:w="23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6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four combinations only; polarity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The evidence is not uniform, and the pattern of that disagreement is what determined the present design. The proofreading advantage was independent of ambient lighting (Buchner &amp; Baumgartner, 2007), whereas threshold legibility showed a clear interaction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 that is, the performance-side effect of polarity appears not to depend on room light, while the effects that do depend on it are concentrated in the ocular and tear-film measures. The most recent work is the most directly relevant on that second point: reading in a dark room from a bright screen produced the greatest tear-film destabilisation and the largest blink changes, with incomplete blinking rising over time in every condition ([Authors], 2025).</w:t>
      </w:r>
    </w:p>
    <w:p>
      <w:pPr>
        <w:spacing w:after="140" w:line="340"/>
        <w:jc w:val="both"/>
      </w:pPr>
      <w:r>
        <w:rPr>
          <w:rFonts w:ascii="Times New Roman" w:cs="Times New Roman" w:eastAsia="Times New Roman" w:hAnsi="Times New Roman"/>
          <w:b w:val="false"/>
          <w:bCs w:val="false"/>
          <w:i w:val="false"/>
          <w:iCs w:val="false"/>
          <w:sz w:val="24"/>
          <w:szCs w:val="24"/>
        </w:rPr>
        <w:t xml:space="preserve">That division matters here because the ocular outcomes of this study are derived from the tablet's own front camera rather than from dedicated instrumentation. In a darkened room the display is the dominant source of light falling on the reader's face, and the two levels of the polarity factor differ greatly in how much light they emit: computed from the locked condition table used here, a positive-polarity screen casts roughly thirty times the illuminance of a negative-polarity one at the reading distance specified in §3.6. Against a 10 lux room that leaves the face lit about 2.3 times more brightly in positive than in negative polarity; against a 300 lux room the ratio falls to about 1.05. Camera exposure, and with it the achieved frame rate on which blink classification depends, would therefore have varied systematically with the primary independent variable — and undersampling biases the measured minimum eyelid aperture upward, inflating the incomplete-blink ratio in the direction the hypothesis predicts. An artefact of that shape is indistinguishable from the effect it imitates.</w:t>
      </w:r>
    </w:p>
    <w:p>
      <w:pPr>
        <w:spacing w:after="140" w:line="340"/>
        <w:jc w:val="both"/>
      </w:pPr>
      <w:r>
        <w:rPr>
          <w:rFonts w:ascii="Times New Roman" w:cs="Times New Roman" w:eastAsia="Times New Roman" w:hAnsi="Times New Roman"/>
          <w:b w:val="false"/>
          <w:bCs w:val="false"/>
          <w:i w:val="false"/>
          <w:iCs w:val="false"/>
          <w:sz w:val="24"/>
          <w:szCs w:val="24"/>
        </w:rPr>
        <w:t xml:space="preserve">Ambient illumination is consequently held constant at a single controlled level rather than manipulated. Buchner and Baumgartner's null for the performance outcomes indicates that little is forfeited on that side; what is forfeited on the ocular side is stated plainly in §4.3, and includes the finding of Sethi and Ziat (2023) that negative polarity raised cognitive load in younger adults specifically under dim conditions — the condition this design no longer includes.</w:t>
      </w:r>
    </w:p>
    <w:p>
      <w:pPr>
        <w:pStyle w:val="Heading2"/>
        <w:keepNext/>
        <w:spacing w:after="160" w:before="280"/>
      </w:pPr>
      <w:r>
        <w:rPr>
          <w:rFonts w:ascii="Times New Roman" w:cs="Times New Roman" w:eastAsia="Times New Roman" w:hAnsi="Times New Roman"/>
          <w:b/>
          <w:bCs/>
          <w:i w:val="false"/>
          <w:iCs w:val="false"/>
          <w:sz w:val="28"/>
          <w:szCs w:val="28"/>
        </w:rPr>
        <w:t xml:space="preserve">2.5 Ocular behaviour as an objective marker</w:t>
      </w:r>
    </w:p>
    <w:p>
      <w:pPr>
        <w:spacing w:after="140" w:line="34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the proportion of blinks that fail to close fully has the strongest claim to specificity (Table 2.4).</w:t>
      </w:r>
    </w:p>
    <w:p>
      <w:pPr>
        <w:spacing w:after="140" w:line="34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1326"/>
        <w:gridCol w:w="700"/>
        <w:gridCol w:w="700"/>
        <w:gridCol w:w="2137"/>
        <w:gridCol w:w="2137"/>
        <w:gridCol w:w="1326"/>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132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13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 and task</w:t>
            </w:r>
          </w:p>
        </w:tc>
        <w:tc>
          <w:tcPr>
            <w:tcW w:type="dxa" w:w="213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32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amplitude, tear film; fast vs slow display task</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fell to one-third (fast) and one-half (slow) of baseline; more incomplete blinks when dynamic</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Game task, not reading; manual video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symptom score; 15-min reading</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 blinks 0.9–56.5% (mean 16.1); symptoms correlated with incomplete-blink % (p = 0.002); raising blink rate did not help</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condition; small sample;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and tear break-up time; 60-min task</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Break-up time fell 8.62→4.33 s at 30 min, recovering as incomplete blinking declined; quality, not frequency, governs stability</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Very small sample; single display condition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across 6 hard-copy and electronic reading conditions</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All reading reduced blink rate; incomplete blinks rose only on electronic platforms</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parameters not manipulated;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and driving performance after 24-h sleep deprivation</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correlated with vigilance variability (r = 0.68) and lane position (r = 0.61)</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Drowsiness, not visual fatigue; extreme manipulation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Contact Lens and Anterior Eye study ([Authors], 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Tear-film indices and blink parameters; 30-min reading, 4 lighting–brightness combinations</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polarity and text colour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by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raising blink rate experimentally changed no symptom score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140" w:line="34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in moderate drowsiness (Abe, 2023) dictates its role here as a covariate for sleepiness rather than a measure of visual fatigue.</w:t>
      </w:r>
    </w:p>
    <w:p>
      <w:pPr>
        <w:pStyle w:val="Heading2"/>
        <w:keepNext/>
        <w:spacing w:after="160" w:before="280"/>
      </w:pPr>
      <w:r>
        <w:rPr>
          <w:rFonts w:ascii="Times New Roman" w:cs="Times New Roman" w:eastAsia="Times New Roman" w:hAnsi="Times New Roman"/>
          <w:b/>
          <w:bCs/>
          <w:i w:val="false"/>
          <w:iCs w:val="false"/>
          <w:sz w:val="28"/>
          <w:szCs w:val="28"/>
        </w:rPr>
        <w:t xml:space="preserve">2.6 Task performance and sustained attention</w:t>
      </w:r>
    </w:p>
    <w:p>
      <w:pPr>
        <w:spacing w:after="140" w:line="34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with lapses and reaction-time variability its most fatigue-sensitive indices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therefore share time on task as a driver and must be measured together if they are to be distinguished.</w:t>
      </w:r>
    </w:p>
    <w:p>
      <w:pPr>
        <w:pStyle w:val="Heading2"/>
        <w:keepNext/>
        <w:spacing w:after="160" w:before="280"/>
      </w:pPr>
      <w:r>
        <w:rPr>
          <w:rFonts w:ascii="Times New Roman" w:cs="Times New Roman" w:eastAsia="Times New Roman" w:hAnsi="Times New Roman"/>
          <w:b/>
          <w:bCs/>
          <w:i w:val="false"/>
          <w:iCs w:val="false"/>
          <w:sz w:val="28"/>
          <w:szCs w:val="28"/>
        </w:rPr>
        <w:t xml:space="preserve">2.7 Subjective instruments and scalable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reports internal consistency of 0.793, sensitivity 78.5 per cent, specificity 70.7 per cent, convergent validity with the Ocular Surface Disease Index of 0.728 and a cut-off of seven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140" w:line="34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Being continuous and normalised, it can distinguish partial from complete closure, automating what the clinical literature has done by hand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Validity differs by target: camera-based gaze estimation is lower in accuracy and sampling rate than infrared tracking and is defensible only for coarse zone classification, whereas blink measures are proportion-based and need temporal rather than spatial precision. Since blinks last 100 to 400 ms, duration-based metrics become unreliable below about 25 frames per second, while proportion measures are more robust. No published study has validated a camera-based incomplete-blink measure against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2.8 Research gaps</w:t>
      </w:r>
    </w:p>
    <w:p>
      <w:pPr>
        <w:spacing w:after="140" w:line="340"/>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nor has hue been separated from luminance contrast in the studies located (Buchner &amp; Baumgartner, 2007;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and the prevailing standard is polarity-blind (Advanced Perceptual Contrast Algorithm, n.d.; World Wide Web Consortium, 2023). Joint effects of polarity, colour and illumination remain uncharacterised, the two-way findings being in partial conflict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present study addresses the polarity × colour interaction at a fixed illuminance and leaves the three-way case to designs whose ocular instrumentation is independent of room light.</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([Authors], 2025;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no automated implementation has been validated against manual annotation in the literature located, so the measure does not scale.</w:t>
      </w:r>
    </w:p>
    <w:p>
      <w:pPr>
        <w:spacing w:after="120" w:line="320"/>
        <w:ind w:left="600" w:hanging="60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3: MATERIALS AND METHODS</w:t>
      </w:r>
    </w:p>
    <w:p>
      <w:pPr>
        <w:pStyle w:val="Heading2"/>
        <w:keepNext/>
        <w:spacing w:after="160" w:before="280"/>
      </w:pPr>
      <w:r>
        <w:rPr>
          <w:rFonts w:ascii="Times New Roman" w:cs="Times New Roman" w:eastAsia="Times New Roman" w:hAnsi="Times New Roman"/>
          <w:b/>
          <w:bCs/>
          <w:i w:val="false"/>
          <w:iCs w:val="false"/>
          <w:sz w:val="28"/>
          <w:szCs w:val="28"/>
        </w:rPr>
        <w:t xml:space="preserve">3.1 Study design</w:t>
      </w:r>
    </w:p>
    <w:p>
      <w:pPr>
        <w:spacing w:after="140" w:line="340"/>
        <w:jc w:val="both"/>
      </w:pPr>
      <w:r>
        <w:rPr>
          <w:rFonts w:ascii="Times New Roman" w:cs="Times New Roman" w:eastAsia="Times New Roman" w:hAnsi="Times New Roman"/>
          <w:b w:val="false"/>
          <w:bCs w:val="false"/>
          <w:i w:val="false"/>
          <w:iCs w:val="false"/>
          <w:sz w:val="24"/>
          <w:szCs w:val="24"/>
        </w:rPr>
        <w:t xml:space="preserve">A repeated-measures factorial design in which both factors vary within participant. Display polarity (positive, negative) is crossed with text colour (achromatic, blue, red, yellow, green), giving ten display conditions, each presented once in a single sitting. Ambient illumination is held constant at 300 lux and is a controlled variable with a manipulation check, not a factor (§3.4). Each participant contributes ten condition-runs and serves as their own control. Ten reading passages cover the ten runs, so each is read exactly once and no practice effect requires adjustment.</w:t>
      </w:r>
    </w:p>
    <w:p>
      <w:pPr>
        <w:spacing w:after="140" w:line="340"/>
        <w:jc w:val="both"/>
      </w:pPr>
      <w:r>
        <w:rPr>
          <w:rFonts w:ascii="Times New Roman" w:cs="Times New Roman" w:eastAsia="Times New Roman" w:hAnsi="Times New Roman"/>
          <w:b/>
          <w:bCs/>
          <w:i w:val="false"/>
          <w:iCs w:val="false"/>
          <w:sz w:val="24"/>
          <w:szCs w:val="24"/>
        </w:rPr>
        <w:t xml:space="preserve">Figure 3.1 — Study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 — Ethics approval; instrument development; photometric characterisation of the display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 — Recruitment, screening and baseline profiling</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III — Single sitting at 300 lux: ten display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IV — Quality-control review of each sitting before the participant is released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6"/>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4313"/>
        <w:gridCol w:w="4313"/>
      </w:tblGrid>
      <w:tr>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 — Automated ocular metrics</w:t>
            </w:r>
          </w:p>
        </w:tc>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Manual-annotation validation sub-study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VI — Mixed-effects analysis and reporting</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3.2 Setting, participants and sampling</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runs in a light-controlled room at Assam down town University, with adults aged 18 to 35 recruited by purposive sampling from the university population.</w:t>
      </w:r>
    </w:p>
    <w:p>
      <w:pPr>
        <w:spacing w:after="140" w:line="340"/>
        <w:jc w:val="both"/>
      </w:pPr>
      <w:r>
        <w:rPr>
          <w:rFonts w:ascii="Times New Roman" w:cs="Times New Roman" w:eastAsia="Times New Roman" w:hAnsi="Times New Roman"/>
          <w:b w:val="false"/>
          <w:bCs w:val="false"/>
          <w:i w:val="false"/>
          <w:iCs w:val="false"/>
          <w:sz w:val="24"/>
          <w:szCs w:val="24"/>
        </w:rPr>
        <w:t xml:space="preserve">The target is 130 participants for analysis, with 145 enrolled to allow for withdrawal and exclusion. It is a multiple of ten, as the Williams counterbalancing requires (§3.8), and was set by simulation rather than by a formula assuming independent observations. Precision on the primary outcome follows the number of condition-runs, not participants: 130 participants give 1,300 runs.</w:t>
      </w:r>
    </w:p>
    <w:p>
      <w:pPr>
        <w:spacing w:after="140" w:line="340"/>
        <w:jc w:val="both"/>
      </w:pPr>
      <w:r>
        <w:rPr>
          <w:rFonts w:ascii="Times New Roman" w:cs="Times New Roman" w:eastAsia="Times New Roman" w:hAnsi="Times New Roman"/>
          <w:b/>
          <w:bCs/>
          <w:i w:val="false"/>
          <w:iCs w:val="false"/>
          <w:sz w:val="24"/>
          <w:szCs w:val="24"/>
        </w:rPr>
        <w:t xml:space="preserve">Table 3.1 — Eligibility criteria.</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4513"/>
        <w:gridCol w:w="4513"/>
      </w:tblGrid>
      <w:tr>
        <w:trPr>
          <w:tblHeader/>
        </w:trPr>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Inclusion</w:t>
            </w:r>
          </w:p>
        </w:tc>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Exclusion</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Age 18 to 35 years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Refractive error beyond ±3.00 D</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Distance visual acuity 6/6 or better, with or without correction</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Manifest binocular vision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Habitual screen use of at least four hours daily</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Colour-vision deficiency on screening</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known ocular, systemic or neurological illness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History of photosensitivity or migraine</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give written informed consent</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Medication affecting vision, accommodation or tear film</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attend one sitting of approximately 100 minutes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Diagnosed learning or psychiatric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Contact-lens wear on test days; ocular surgery within six months</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Screening comprises visual acuity, non-cycloplegic refraction, cover test, near point of convergence and Ishihara colour-vision screening on the study display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it is an aid rather than a diagnosis and its outcomes are covariates. A profiling questionnaire supplies the moderators for Objective 3 and the sleepiness covariates.</w:t>
      </w:r>
    </w:p>
    <w:p>
      <w:pPr>
        <w:spacing w:after="140" w:line="340"/>
        <w:jc w:val="both"/>
      </w:pPr>
      <w:r>
        <w:rPr>
          <w:rFonts w:ascii="Times New Roman" w:cs="Times New Roman" w:eastAsia="Times New Roman" w:hAnsi="Times New Roman"/>
          <w:b/>
          <w:bCs/>
          <w:i w:val="false"/>
          <w:iCs w:val="false"/>
          <w:sz w:val="24"/>
          <w:szCs w:val="24"/>
        </w:rPr>
        <w:t xml:space="preserve">Figure 3.2 — Participant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Approached and assessed for eligibility (target ≈ 180)</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Screened: acuity, refraction, binocular status, colour vision</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Enrolled and consented (n = 145); sequential enrolment number assigned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Single sitting at 300 lux: ten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Withdrawal, non-completion or data-quality exclusion recorded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Analysed (target n = 130; 1,300 condition-runs)</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3.3 Display conditions</w:t>
      </w:r>
    </w:p>
    <w:p>
      <w:pPr>
        <w:spacing w:after="140" w:line="340"/>
        <w:jc w:val="both"/>
      </w:pPr>
      <w:r>
        <w:rPr>
          <w:rFonts w:ascii="Times New Roman" w:cs="Times New Roman" w:eastAsia="Times New Roman" w:hAnsi="Times New Roman"/>
          <w:b w:val="false"/>
          <w:bCs w:val="false"/>
          <w:i w:val="false"/>
          <w:iCs w:val="false"/>
          <w:sz w:val="24"/>
          <w:szCs w:val="24"/>
        </w:rPr>
        <w:t xml:space="preserve">All conditions are presented on one tablet at a fixed white luminance, characterised photometrically before collection. Hex values are locked and contrast is computed from them, entering the analysis as a covariate.</w:t>
      </w:r>
    </w:p>
    <w:p>
      <w:pPr>
        <w:spacing w:after="140" w:line="340"/>
        <w:jc w:val="both"/>
      </w:pPr>
      <w:r>
        <w:rPr>
          <w:rFonts w:ascii="Times New Roman" w:cs="Times New Roman" w:eastAsia="Times New Roman" w:hAnsi="Times New Roman"/>
          <w:b/>
          <w:bCs/>
          <w:i w:val="false"/>
          <w:iCs w:val="false"/>
          <w:sz w:val="24"/>
          <w:szCs w:val="24"/>
        </w:rPr>
        <w:t xml:space="preserve">Table 3.2 — The ten display conditions with computed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946"/>
        <w:gridCol w:w="700"/>
        <w:gridCol w:w="1471"/>
        <w:gridCol w:w="1077"/>
        <w:gridCol w:w="1339"/>
        <w:gridCol w:w="1339"/>
        <w:gridCol w:w="1077"/>
        <w:gridCol w:w="1077"/>
      </w:tblGrid>
      <w:tr>
        <w:trPr>
          <w:tblHeader/>
        </w:trPr>
        <w:tc>
          <w:tcPr>
            <w:tcW w:type="dxa" w:w="94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 No.</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Code</w:t>
            </w:r>
          </w:p>
        </w:tc>
        <w:tc>
          <w:tcPr>
            <w:tcW w:type="dxa" w:w="147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colour</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hex</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Background</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WCAG ratio</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Level</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Below AA</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6.70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5.74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2.39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Fail</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3.66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8.79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6.57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properties govern the analysis. The contrast ordering is exactly inverted between polarities — arithmetic, not design — so a contrast-mediated colour effect must cross over between them and a residual hue effect must not. The achromatic pair is contrast-matched at 21.00:1 in both, giving the one comparison in which a polarity effect cannot be attributed to contrast. Two conditions fall below the accessibility minimum in each polarity, so polarity is unconfounded with compliance.</w:t>
      </w:r>
    </w:p>
    <w:p>
      <w:pPr>
        <w:pStyle w:val="Heading2"/>
        <w:keepNext/>
        <w:spacing w:after="160" w:before="280"/>
      </w:pPr>
      <w:r>
        <w:rPr>
          <w:rFonts w:ascii="Times New Roman" w:cs="Times New Roman" w:eastAsia="Times New Roman" w:hAnsi="Times New Roman"/>
          <w:b/>
          <w:bCs/>
          <w:i w:val="false"/>
          <w:iCs w:val="false"/>
          <w:sz w:val="28"/>
          <w:szCs w:val="28"/>
        </w:rPr>
        <w:t xml:space="preserve">3.4 Ambient illumination as a controlled constant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Illuminance is set to 300 lux (accepted 250–350), verified at the eye position and the display plane with a calibrated meter and logged at the start, middle and end of every sitting; a reading outside the band is a recorded protocol deviation. Colour temperature and light-source type are held constant and daylight excluded.</w:t>
      </w:r>
    </w:p>
    <w:p>
      <w:pPr>
        <w:spacing w:after="140" w:line="340"/>
        <w:jc w:val="both"/>
      </w:pPr>
      <w:r>
        <w:rPr>
          <w:rFonts w:ascii="Times New Roman" w:cs="Times New Roman" w:eastAsia="Times New Roman" w:hAnsi="Times New Roman"/>
          <w:b w:val="false"/>
          <w:bCs w:val="false"/>
          <w:i w:val="false"/>
          <w:iCs w:val="false"/>
          <w:sz w:val="24"/>
          <w:szCs w:val="24"/>
        </w:rPr>
        <w:t xml:space="preserve">The level sits within the 300–500 lux band specified for work with self-luminous displays, at its lower bound so the display is not washed out. Critically, it is high enough that room light rather than the display dominates the illuminance on the reader's face: because the ocular measures are camera-derived, and the modelled ratio of face illuminance between polarities is about 2.3 at 10 lux against 1.05 at 300, a dimmer room would make camera exposure vary with the primary independent variable.</w:t>
      </w:r>
    </w:p>
    <w:p>
      <w:pPr>
        <w:pStyle w:val="Heading2"/>
        <w:keepNext/>
        <w:spacing w:after="160" w:before="280"/>
      </w:pPr>
      <w:r>
        <w:rPr>
          <w:rFonts w:ascii="Times New Roman" w:cs="Times New Roman" w:eastAsia="Times New Roman" w:hAnsi="Times New Roman"/>
          <w:b/>
          <w:bCs/>
          <w:i w:val="false"/>
          <w:iCs w:val="false"/>
          <w:sz w:val="28"/>
          <w:szCs w:val="28"/>
        </w:rPr>
        <w:t xml:space="preserve">3.5 Instrumentation and measures</w:t>
      </w:r>
    </w:p>
    <w:p>
      <w:pPr>
        <w:spacing w:after="140" w:line="340"/>
        <w:jc w:val="both"/>
      </w:pPr>
      <w:r>
        <w:rPr>
          <w:rFonts w:ascii="Times New Roman" w:cs="Times New Roman" w:eastAsia="Times New Roman" w:hAnsi="Times New Roman"/>
          <w:b w:val="false"/>
          <w:bCs w:val="false"/>
          <w:i w:val="false"/>
          <w:iCs w:val="false"/>
          <w:sz w:val="24"/>
          <w:szCs w:val="24"/>
        </w:rPr>
        <w:t xml:space="preserve">A purpose-built, offline-capable tablet application presents the ten conditions with locked colour values and a neutral grey adaptation field between them, timestamping task onsets to the frame. Ocular measures come from the front camera by facial-landmark tracking; no video leaves the device unless separately consented.</w:t>
      </w:r>
    </w:p>
    <w:p>
      <w:pPr>
        <w:spacing w:after="140" w:line="340"/>
        <w:jc w:val="both"/>
      </w:pPr>
      <w:r>
        <w:rPr>
          <w:rFonts w:ascii="Times New Roman" w:cs="Times New Roman" w:eastAsia="Times New Roman" w:hAnsi="Times New Roman"/>
          <w:b/>
          <w:bCs/>
          <w:i w:val="false"/>
          <w:iCs w:val="false"/>
          <w:sz w:val="24"/>
          <w:szCs w:val="24"/>
        </w:rPr>
        <w:t xml:space="preserve">Precision.</w:t>
      </w:r>
      <w:r>
        <w:rPr>
          <w:rFonts w:ascii="Times New Roman" w:cs="Times New Roman" w:eastAsia="Times New Roman" w:hAnsi="Times New Roman"/>
          <w:b w:val="false"/>
          <w:bCs w:val="false"/>
          <w:i w:val="false"/>
          <w:iCs w:val="false"/>
          <w:sz w:val="24"/>
          <w:szCs w:val="24"/>
        </w:rPr>
        <w:t xml:space="preserve"> The incomplete-blink ratio is a binomial proportion, so precision follows the blinks captured. Passages of four pages and 570 to 600 words give an exposure of 178 seconds, about 39 blinks, and a condition-level standard error near 0.06; the count is exported with every ratio, and runs below 20 blinks are flagged.</w:t>
      </w:r>
    </w:p>
    <w:p>
      <w:pPr>
        <w:spacing w:after="140" w:line="340"/>
        <w:jc w:val="both"/>
      </w:pPr>
      <w:r>
        <w:rPr>
          <w:rFonts w:ascii="Times New Roman" w:cs="Times New Roman" w:eastAsia="Times New Roman" w:hAnsi="Times New Roman"/>
          <w:b/>
          <w:bCs/>
          <w:i w:val="false"/>
          <w:iCs w:val="false"/>
          <w:sz w:val="24"/>
          <w:szCs w:val="24"/>
        </w:rPr>
        <w:t xml:space="preserve">Validation.</w:t>
      </w:r>
      <w:r>
        <w:rPr>
          <w:rFonts w:ascii="Times New Roman" w:cs="Times New Roman" w:eastAsia="Times New Roman" w:hAnsi="Times New Roman"/>
          <w:b w:val="false"/>
          <w:bCs w:val="false"/>
          <w:i w:val="false"/>
          <w:iCs w:val="false"/>
          <w:sz w:val="24"/>
          <w:szCs w:val="24"/>
        </w:rPr>
        <w:t xml:space="preserve"> A subsample of twenty participants contributes two 3-minute segments each for masked frame-by-frame annotation, against which the automated classifier is assessed by Cohen's kappa and Bland–Altman bias (criteria: kappa ≥ 0.60, bias within ±5 percentage points).</w:t>
      </w:r>
    </w:p>
    <w:p>
      <w:pPr>
        <w:pStyle w:val="Heading2"/>
        <w:keepNext/>
        <w:spacing w:after="160" w:before="280"/>
      </w:pPr>
      <w:r>
        <w:rPr>
          <w:rFonts w:ascii="Times New Roman" w:cs="Times New Roman" w:eastAsia="Times New Roman" w:hAnsi="Times New Roman"/>
          <w:b/>
          <w:bCs/>
          <w:i w:val="false"/>
          <w:iCs w:val="false"/>
          <w:sz w:val="28"/>
          <w:szCs w:val="28"/>
        </w:rPr>
        <w:t xml:space="preserve">3.6 Procedure</w:t>
      </w:r>
    </w:p>
    <w:p>
      <w:pPr>
        <w:spacing w:after="140" w:line="340"/>
        <w:jc w:val="both"/>
      </w:pPr>
      <w:r>
        <w:rPr>
          <w:rFonts w:ascii="Times New Roman" w:cs="Times New Roman" w:eastAsia="Times New Roman" w:hAnsi="Times New Roman"/>
          <w:b w:val="false"/>
          <w:bCs w:val="false"/>
          <w:i w:val="false"/>
          <w:iCs w:val="false"/>
          <w:sz w:val="24"/>
          <w:szCs w:val="24"/>
        </w:rPr>
        <w:t xml:space="preserve">After consent, screening and profiling, the participant is seated 50 to 60 cm from the display, the room verified at 300 lux, and calibration and baseline questionnaires completed. The ten conditions then run in the assigned Williams order.</w:t>
      </w:r>
    </w:p>
    <w:p>
      <w:pPr>
        <w:spacing w:after="140" w:line="340"/>
        <w:jc w:val="both"/>
      </w:pPr>
      <w:r>
        <w:rPr>
          <w:rFonts w:ascii="Times New Roman" w:cs="Times New Roman" w:eastAsia="Times New Roman" w:hAnsi="Times New Roman"/>
          <w:b/>
          <w:bCs/>
          <w:i w:val="false"/>
          <w:iCs w:val="false"/>
          <w:sz w:val="24"/>
          <w:szCs w:val="24"/>
        </w:rPr>
        <w:t xml:space="preserve">Figure 3.4 — One condition-run.</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Adaptation on neutral grey, 60 s (120 s when polarity switches)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Reading task — the exposure that produces the primary outcome</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5"/>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2875"/>
        <w:gridCol w:w="2875"/>
        <w:gridCol w:w="2875"/>
      </w:tblGrid>
      <w:tr>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Comprehension, three questions</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Display-perception rating</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Visual-fatigue VAS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 search — tap every occurrence of a target word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Go/no-go reaction time — 32 trials on the active background</w:t>
            </w:r>
          </w:p>
        </w:tc>
      </w:tr>
    </w:tbl>
    <w:p>
      <w:pPr>
        <w:spacing w:after="16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A self-paced rest follows every second condition and no performance feedback is given. The sitting closes with the CVS-Q repeated and NASA-TLX once. Simulation over 2,000 synthetic participants gives a median of 98 minutes and a 95th percentile of 119 — also the total contact time, there being one visit. A pilot of ten precedes the main study; failing a 120-minute median, one withdrawal in ten, or 0.90 face presence in a tenth of runs, the conditions are split across two sittings of five.</w:t>
      </w:r>
    </w:p>
    <w:p>
      <w:pPr>
        <w:pStyle w:val="Heading2"/>
        <w:keepNext/>
        <w:spacing w:after="160" w:before="280"/>
      </w:pPr>
      <w:r>
        <w:rPr>
          <w:rFonts w:ascii="Times New Roman" w:cs="Times New Roman" w:eastAsia="Times New Roman" w:hAnsi="Times New Roman"/>
          <w:b/>
          <w:bCs/>
          <w:i w:val="false"/>
          <w:iCs w:val="false"/>
          <w:sz w:val="28"/>
          <w:szCs w:val="28"/>
        </w:rPr>
        <w:t xml:space="preserve">3.7 Variables and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Independent variables are display polarity and text colour; ambient illuminance is a controlled constant and a manipulation check. Covariates are serial position, measured illuminance and display luminance, computed contrast, PERCLOS, achieved sampling rate, refractive and binocular status, and the profiling variables.</w:t>
      </w:r>
    </w:p>
    <w:p>
      <w:pPr>
        <w:spacing w:after="140" w:line="340"/>
        <w:jc w:val="both"/>
      </w:pPr>
      <w:r>
        <w:rPr>
          <w:rFonts w:ascii="Times New Roman" w:cs="Times New Roman" w:eastAsia="Times New Roman" w:hAnsi="Times New Roman"/>
          <w:b w:val="false"/>
          <w:bCs w:val="false"/>
          <w:i w:val="false"/>
          <w:iCs w:val="false"/>
          <w:sz w:val="24"/>
          <w:szCs w:val="24"/>
        </w:rPr>
        <w:t xml:space="preserve">The primary outcome is the incomplete-blink ratio; the key secondary outcome is the change in CVS-Q from baseline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Secondary and exploratory measures are blink rate and inter-blink interval; PERCLOS, head pose and face-presence ratio as drowsiness and quality indices; a five-item visual-fatigue VAS and display comfort and clarity ratings per condition; NASA-TLX once per sitting (Hart &amp; Staveland, 1988); and, for performance, reading rate, comprehension accuracy, visual-search accuracy and efficiency, and reaction-time mean, variability, lapse rate, d′ and criterion. Confirmatory inference is confined to the primary outcome.</w:t>
      </w:r>
    </w:p>
    <w:p>
      <w:pPr>
        <w:pStyle w:val="Heading2"/>
        <w:keepNext/>
        <w:spacing w:after="160" w:before="280"/>
      </w:pPr>
      <w:r>
        <w:rPr>
          <w:rFonts w:ascii="Times New Roman" w:cs="Times New Roman" w:eastAsia="Times New Roman" w:hAnsi="Times New Roman"/>
          <w:b/>
          <w:bCs/>
          <w:i w:val="false"/>
          <w:iCs w:val="false"/>
          <w:sz w:val="28"/>
          <w:szCs w:val="28"/>
        </w:rPr>
        <w:t xml:space="preserve">3.8 Counterbalancing</w:t>
      </w:r>
    </w:p>
    <w:p>
      <w:pPr>
        <w:spacing w:after="140" w:line="34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from the vigilance decrement and accumulating fatigue, and first-order carryover, notably the light-adaptation transient at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with complete balance in blocks of ten. Where a sitting is split for scheduling, the row continues rather than restarting.</w:t>
      </w:r>
    </w:p>
    <w:p>
      <w:pPr>
        <w:pStyle w:val="Heading2"/>
        <w:keepNext/>
        <w:spacing w:after="160" w:before="280"/>
      </w:pPr>
      <w:r>
        <w:rPr>
          <w:rFonts w:ascii="Times New Roman" w:cs="Times New Roman" w:eastAsia="Times New Roman" w:hAnsi="Times New Roman"/>
          <w:b/>
          <w:bCs/>
          <w:i w:val="false"/>
          <w:iCs w:val="false"/>
          <w:sz w:val="28"/>
          <w:szCs w:val="28"/>
        </w:rPr>
        <w:t xml:space="preserve">3.9 Statistical analysis</w:t>
      </w:r>
    </w:p>
    <w:p>
      <w:pPr>
        <w:spacing w:after="140" w:line="340"/>
        <w:jc w:val="both"/>
      </w:pPr>
      <w:r>
        <w:rPr>
          <w:rFonts w:ascii="Times New Roman" w:cs="Times New Roman" w:eastAsia="Times New Roman" w:hAnsi="Times New Roman"/>
          <w:b w:val="false"/>
          <w:bCs w:val="false"/>
          <w:i w:val="false"/>
          <w:iCs w:val="false"/>
          <w:sz w:val="24"/>
          <w:szCs w:val="24"/>
        </w:rPr>
        <w:t xml:space="preserve">The confirmatory analysis is a binomial mixed-effects model of the incomplete-blink counts, with fixed effects for polarity, text colour, their interaction and serial position, and a random intercept for participant with a random slope for polarity where supported. Modelling counts rather than the ratio is deliberate: a proportion from five blinks and one from sixty are not equally informative, and a Gaussian model would treat them as though they were. A non-converging random structure is reduced in a pre-specified order and the reduction reported.</w:t>
      </w:r>
    </w:p>
    <w:p>
      <w:pPr>
        <w:spacing w:after="140" w:line="340"/>
        <w:jc w:val="both"/>
      </w:pPr>
      <w:r>
        <w:rPr>
          <w:rFonts w:ascii="Times New Roman" w:cs="Times New Roman" w:eastAsia="Times New Roman" w:hAnsi="Times New Roman"/>
          <w:b w:val="false"/>
          <w:bCs w:val="false"/>
          <w:i w:val="false"/>
          <w:iCs w:val="false"/>
          <w:sz w:val="24"/>
          <w:szCs w:val="24"/>
        </w:rPr>
        <w:t xml:space="preserve">For Objective 2, colour as a categorical factor is compared against luminance contrast as a continuous predictor, so comparative fit and residual hue terms quantify each contribution. Moderation is tested by condition-by-moderator interactions. Ordinal cumulative-link models serve rating outcomes and binomial models accuracy. Sensitivity analyses exclude flagged conditions and add PERCLOS as a covariate. Effect sizes with confidence intervals and multiplicity control within outcome families are reported throughout.</w:t>
      </w:r>
    </w:p>
    <w:p>
      <w:pPr>
        <w:spacing w:after="140" w:line="340"/>
        <w:jc w:val="both"/>
      </w:pPr>
      <w:r>
        <w:rPr>
          <w:rFonts w:ascii="Times New Roman" w:cs="Times New Roman" w:eastAsia="Times New Roman" w:hAnsi="Times New Roman"/>
          <w:b w:val="false"/>
          <w:bCs w:val="false"/>
          <w:i w:val="false"/>
          <w:iCs w:val="false"/>
          <w:sz w:val="24"/>
          <w:szCs w:val="24"/>
        </w:rPr>
        <w:t xml:space="preserve">Each export carries a manifest of per-file checksums and build provenance, and an integrity report flagging incomplete condition sets, gaps in serial position and unattributable sessions; failing rows are retained and flagged rather than dropped, so exclusions are auditable and missingness is never silent.</w:t>
      </w:r>
    </w:p>
    <w:p>
      <w:pPr>
        <w:pStyle w:val="Heading2"/>
        <w:keepNext/>
        <w:spacing w:after="160" w:before="280"/>
      </w:pPr>
      <w:r>
        <w:rPr>
          <w:rFonts w:ascii="Times New Roman" w:cs="Times New Roman" w:eastAsia="Times New Roman" w:hAnsi="Times New Roman"/>
          <w:b/>
          <w:bCs/>
          <w:i w:val="false"/>
          <w:iCs w:val="false"/>
          <w:sz w:val="28"/>
          <w:szCs w:val="28"/>
        </w:rPr>
        <w:t xml:space="preserve">3.10 Ethical considerations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begins after Institutional Ethics Committee approval and follows the Declaration of Helsinki. Written informed consent precedes any procedure, and participation is voluntary and withdrawable without penalty.</w:t>
      </w:r>
    </w:p>
    <w:p>
      <w:pPr>
        <w:spacing w:after="140" w:line="340"/>
        <w:jc w:val="both"/>
      </w:pPr>
      <w:r>
        <w:rPr>
          <w:rFonts w:ascii="Times New Roman" w:cs="Times New Roman" w:eastAsia="Times New Roman" w:hAnsi="Times New Roman"/>
          <w:b w:val="false"/>
          <w:bCs w:val="false"/>
          <w:i w:val="false"/>
          <w:iCs w:val="false"/>
          <w:sz w:val="24"/>
          <w:szCs w:val="24"/>
        </w:rPr>
        <w:t xml:space="preserve">Camera use is separately consented. By default the front camera computes numeric measures only — blink metrics and head position — and images are discarded immediately and never stored. Retaining two setup photographs, and reading video for the annotation sub-study, are separate default-off grants; declining either does not affect participation, and a grant may be withdrawn afterwards, whereupon the recordings it covered are destroyed while the numeric data are retained. Records are held under a participant code with the link to identity stored separately. Risks are limited to transient visual fatigue, mitigated by rest breaks, the right to stop at any time, and advice not to drive immediately afterwards.</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4: CONCLUSION</w:t>
      </w:r>
    </w:p>
    <w:p>
      <w:pPr>
        <w:pStyle w:val="Heading2"/>
        <w:keepNext/>
        <w:spacing w:after="160" w:before="280"/>
      </w:pPr>
      <w:r>
        <w:rPr>
          <w:rFonts w:ascii="Times New Roman" w:cs="Times New Roman" w:eastAsia="Times New Roman" w:hAnsi="Times New Roman"/>
          <w:b/>
          <w:bCs/>
          <w:i w:val="false"/>
          <w:iCs w:val="false"/>
          <w:sz w:val="28"/>
          <w:szCs w:val="28"/>
        </w:rPr>
        <w:t xml:space="preserve">4.1 Expected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text colour and ambient illumination on subjective visual fatigue, ocular behaviour, cognitive workload and task performance, and, to the best of the available evidence, will provide among the first estimates of the polarity-by-colour interaction on fatigue outcomes, and is expected to determine whether the positive polarity advantage extends from brief legibility tasks to hour-scale reading and ocular-surface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Because the contrast ordering of colours reverses across polarity, the results are expected to indicate the extent to which colour-related effects are mediated by luminance contrast rather than hue: a crossover interaction would support contrast mediation, a preserved ordering would suggest residual hue-specific effects, with contrast expected to account for most colour-related variance and red a candidate exception. Characterising the polarity-by-illumination interaction is expected to indicate whether negative polarity is specifically costly under dim domestic lighting, where dark mode is most used and most advocated. The study will further identify the configurations that minimise and maximise fatigue, indicate whether a polarity-blind contrast criterion adequately predicts measured readability, and produce an account of subjective–objective correspondence and a validated instrument whose agreement with manual annotation is reported.</w:t>
      </w:r>
    </w:p>
    <w:p>
      <w:pPr>
        <w:pStyle w:val="Heading2"/>
        <w:keepNext/>
        <w:spacing w:after="160" w:before="280"/>
      </w:pPr>
      <w:r>
        <w:rPr>
          <w:rFonts w:ascii="Times New Roman" w:cs="Times New Roman" w:eastAsia="Times New Roman" w:hAnsi="Times New Roman"/>
          <w:b/>
          <w:bCs/>
          <w:i w:val="false"/>
          <w:iCs w:val="false"/>
          <w:sz w:val="28"/>
          <w:szCs w:val="28"/>
        </w:rPr>
        <w:t xml:space="preserve">4.2 Significance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in an area where practitioners are documented to lack quality evidence; and methodologically, a scalable instrument relieves the annotation bottleneck that has confined this literature to small samples.</w:t>
      </w:r>
    </w:p>
    <w:p>
      <w:pPr>
        <w:pStyle w:val="Heading2"/>
        <w:keepNext/>
        <w:spacing w:after="160" w:before="280"/>
      </w:pPr>
      <w:r>
        <w:rPr>
          <w:rFonts w:ascii="Times New Roman" w:cs="Times New Roman" w:eastAsia="Times New Roman" w:hAnsi="Times New Roman"/>
          <w:b/>
          <w:bCs/>
          <w:i w:val="false"/>
          <w:iCs w:val="false"/>
          <w:sz w:val="28"/>
          <w:szCs w:val="28"/>
        </w:rPr>
        <w:t xml:space="preserve">4.3 Limitations and delimitations</w:t>
      </w:r>
    </w:p>
    <w:p>
      <w:pPr>
        <w:spacing w:after="140" w:line="34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is deliberately exploited as a crossover test, but it constrains fully independent causal attribution.</w:t>
      </w:r>
    </w:p>
    <w:p>
      <w:pPr>
        <w:spacing w:after="140" w:line="340"/>
        <w:jc w:val="both"/>
      </w:pPr>
      <w:r>
        <w:rPr>
          <w:rFonts w:ascii="Times New Roman" w:cs="Times New Roman" w:eastAsia="Times New Roman" w:hAnsi="Times New Roman"/>
          <w:b w:val="false"/>
          <w:bCs w:val="false"/>
          <w:i w:val="false"/>
          <w:iCs w:val="false"/>
          <w:sz w:val="24"/>
          <w:szCs w:val="24"/>
        </w:rPr>
        <w:t xml:space="preserve">Camera-based measurement is screening-grade, lower in spatial accuracy and sampling rate than infrared eye tracking, and does not measure accommodation, so gaze measures are limited to coarse zones and duration-based blink metrics are gated on achieved frame rate.</w:t>
      </w:r>
    </w:p>
    <w:p>
      <w:pPr>
        <w:spacing w:after="140" w:line="340"/>
        <w:jc w:val="both"/>
      </w:pPr>
      <w:r>
        <w:rPr>
          <w:rFonts w:ascii="Times New Roman" w:cs="Times New Roman" w:eastAsia="Times New Roman" w:hAnsi="Times New Roman"/>
          <w:b w:val="false"/>
          <w:bCs w:val="false"/>
          <w:i w:val="false"/>
          <w:iCs w:val="false"/>
          <w:sz w:val="24"/>
          <w:szCs w:val="24"/>
        </w:rPr>
        <w:t xml:space="preserve">The precision of the primary outcome within a single condition is bounded by the blinks that condition captures. The three-minute exposure adopted in §3.5 brings the standard error of a condition-level ratio to about 0.06, adequate for the participant-level contrasts carrying Objectives 1 and 2 but leaving individual condition estimates comparatively imprecise. Measurement error attenuates observed effect sizes, so the power figures in Table 3.1 are upper bounds on what the design can detect; the blinks contributing to each condition are exported alongside the ratio so this can be quantified rather than assumed. Accommodative outcomes, which require open-field autorefractometry, fall outside the scope of this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which are counterbalanced, measured and modelled rather than eliminated. The NASA Task Load Index is administered once per sitting and therefore describes the sitting as a whole: it cannot be attributed to polarity or colour, both of which vary within it, and it is reported as a descriptive session-level index rather than as a contrast. PERCLOS, while serving as a sleepiness covariate, is itself insensitive to moderate drowsiness.</w:t>
      </w:r>
    </w:p>
    <w:p>
      <w:pPr>
        <w:spacing w:after="140" w:line="340"/>
        <w:jc w:val="both"/>
      </w:pPr>
      <w:r>
        <w:rPr>
          <w:rFonts w:ascii="Times New Roman" w:cs="Times New Roman" w:eastAsia="Times New Roman" w:hAnsi="Times New Roman"/>
          <w:b w:val="false"/>
          <w:bCs w:val="false"/>
          <w:i w:val="false"/>
          <w:iCs w:val="false"/>
          <w:sz w:val="24"/>
          <w:szCs w:val="24"/>
        </w:rPr>
        <w:t xml:space="preserve">Holding ambient illumination constant is the most consequential delimitation of this design, and it forfeits three things that should be stated rather than implied. The interaction between polarity and room light cannot be estimated, and that interaction is the form the popular claim about dark mode actually takes. The night-time reading scenario, which the earlier two-level version of this protocol included at approximately 10 lux, is outside the present scope altogether. And Sethi and Ziat (2023) located the cognitive cost of negative polarity in younger adults specifically under dim conditions — that is, in the very condition removed — so this study cannot speak to their finding for its own age group. The decision rests on the measurement argument set out in §2.4: at low ambient illuminance the light reaching the participant's face is dominated by the display and therefore varies with polarity, so camera-derived blink measures would have carried an artefact aligned with the primary independent variable. A narrower question answered with a trustworthy instrument was judged preferable to a broader one answered with a compromised one, but the narrowing is real.</w:t>
      </w:r>
    </w:p>
    <w:p>
      <w:pPr>
        <w:spacing w:after="140" w:line="340"/>
        <w:jc w:val="both"/>
      </w:pPr>
      <w:r>
        <w:rPr>
          <w:rFonts w:ascii="Times New Roman" w:cs="Times New Roman" w:eastAsia="Times New Roman" w:hAnsi="Times New Roman"/>
          <w:b w:val="false"/>
          <w:bCs w:val="false"/>
          <w:i w:val="false"/>
          <w:iCs w:val="false"/>
          <w:sz w:val="24"/>
          <w:szCs w:val="24"/>
        </w:rPr>
        <w:t xml:space="preserve">Two further points bear on interpretation. The polarity contrast is confounded with mean display luminance by construction, since white luminance rather than mean luminance is held constant across polarities; Buchner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(2009) report that the positive-polarity advantage disappears when overall display luminance is equalised, so the effect estimated here is properly described as an effect of polarity-with-its-attendant-luminance rather than of polarity alone. And the single illumination level means the findings apply at a display-to-ambient ratio fixed at 300 lux, not across the range of ratios encountered in ordinary use.</w:t>
      </w:r>
    </w:p>
    <w:p>
      <w:pPr>
        <w:spacing w:after="140" w:line="34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160" w:before="280"/>
      </w:pPr>
      <w:r>
        <w:rPr>
          <w:rFonts w:ascii="Times New Roman" w:cs="Times New Roman" w:eastAsia="Times New Roman" w:hAnsi="Times New Roman"/>
          <w:b/>
          <w:bCs/>
          <w:i w:val="false"/>
          <w:iCs w:val="false"/>
          <w:sz w:val="28"/>
          <w:szCs w:val="28"/>
        </w:rPr>
        <w:t xml:space="preserve">4.4 Concluding remarks</w:t>
      </w:r>
    </w:p>
    <w:p>
      <w:pPr>
        <w:spacing w:after="140" w:line="34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display polarity with a five-level text-colour factor at a controlled ambient illuminance, and measuring validated symptoms alongside ocular behaviour, workload and task performance in a single instrumented protocol, it is intended to provide quantified, standards-relevant evidence on display configuration for prolonged reading, and to contribute a measurement approach that may reduce reliance on manual annotation in this field.</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REFERENCES</w:t>
      </w:r>
    </w:p>
    <w:p>
      <w:pPr>
        <w:spacing w:after="140" w:line="340"/>
        <w:jc w:val="both"/>
      </w:pPr>
      <w:r>
        <w:rPr>
          <w:rFonts w:ascii="Times New Roman" w:cs="Times New Roman" w:eastAsia="Times New Roman" w:hAnsi="Times New Roman"/>
          <w:b w:val="false"/>
          <w:bCs w:val="false"/>
          <w:i w:val="false"/>
          <w:iCs w:val="false"/>
          <w:sz w:val="24"/>
          <w:szCs w:val="24"/>
        </w:rPr>
        <w:t xml:space="preserve">[Authors to be completed from the publisher record].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https://doi.org/10.1016/j.clae.2025.102515</w:t>
      </w:r>
    </w:p>
    <w:p>
      <w:pPr>
        <w:spacing w:after="140" w:line="340"/>
        <w:jc w:val="both"/>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140" w:line="340"/>
        <w:jc w:val="both"/>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140" w:line="340"/>
        <w:jc w:val="both"/>
      </w:pPr>
      <w:r>
        <w:rPr>
          <w:rFonts w:ascii="Times New Roman" w:cs="Times New Roman" w:eastAsia="Times New Roman" w:hAnsi="Times New Roman"/>
          <w:b w:val="false"/>
          <w:bCs w:val="false"/>
          <w:i w:val="false"/>
          <w:iCs w:val="false"/>
          <w:sz w:val="24"/>
          <w:szCs w:val="24"/>
        </w:rPr>
        <w:t xml:space="preserve">Advanced Perceptual Contrast Algorithm. (n.d.). APCA: A candidate perceptual contrast method incorporating polarity and typographic parameters. https://git.apcacontrast.com/</w:t>
      </w:r>
    </w:p>
    <w:p>
      <w:pPr>
        <w:spacing w:after="140" w:line="340"/>
        <w:jc w:val="both"/>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Mayr, S., &amp; Brandt, M. (2009). The advantage of positive text–background polarity is due to high display luminance.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52</w:t>
      </w:r>
      <w:r>
        <w:rPr>
          <w:rFonts w:ascii="Times New Roman" w:cs="Times New Roman" w:eastAsia="Times New Roman" w:hAnsi="Times New Roman"/>
          <w:b w:val="false"/>
          <w:bCs w:val="false"/>
          <w:i w:val="false"/>
          <w:iCs w:val="false"/>
          <w:sz w:val="24"/>
          <w:szCs w:val="24"/>
        </w:rPr>
        <w:t xml:space="preserve">(7), 882–886. https://doi.org/10.1080/00140130802641635</w:t>
      </w:r>
    </w:p>
    <w:p>
      <w:pPr>
        <w:spacing w:after="140" w:line="340"/>
        <w:jc w:val="both"/>
      </w:pPr>
      <w:r>
        <w:rPr>
          <w:rFonts w:ascii="Times New Roman" w:cs="Times New Roman" w:eastAsia="Times New Roman" w:hAnsi="Times New Roman"/>
          <w:b w:val="false"/>
          <w:bCs w:val="false"/>
          <w:i w:val="false"/>
          <w:iCs w:val="false"/>
          <w:sz w:val="24"/>
          <w:szCs w:val="24"/>
        </w:rPr>
        <w:t xml:space="preserve">Bureau of Indian Standards. (2009). IS 3646: Code of practice for interior illumination. Bureau of Indian Standards.</w:t>
      </w:r>
    </w:p>
    <w:p>
      <w:pPr>
        <w:spacing w:after="140" w:line="340"/>
        <w:jc w:val="both"/>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140" w:line="340"/>
        <w:jc w:val="both"/>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140" w:line="340"/>
        <w:jc w:val="both"/>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140" w:line="340"/>
        <w:jc w:val="both"/>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140" w:line="340"/>
        <w:jc w:val="both"/>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140" w:line="340"/>
        <w:jc w:val="both"/>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140" w:line="340"/>
        <w:jc w:val="both"/>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(Advances in Psychology, Vol. 52, pp. 139–183). North-Holland.</w:t>
      </w:r>
    </w:p>
    <w:p>
      <w:pPr>
        <w:spacing w:after="140" w:line="340"/>
        <w:jc w:val="both"/>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140" w:line="340"/>
        <w:jc w:val="both"/>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140" w:line="340"/>
        <w:jc w:val="both"/>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140" w:line="340"/>
        <w:jc w:val="both"/>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140" w:line="340"/>
        <w:jc w:val="both"/>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140" w:line="340"/>
        <w:jc w:val="both"/>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140" w:line="340"/>
        <w:jc w:val="both"/>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140" w:line="340"/>
        <w:jc w:val="both"/>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140" w:line="340"/>
        <w:jc w:val="both"/>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140" w:line="340"/>
        <w:jc w:val="both"/>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140" w:line="340"/>
        <w:jc w:val="both"/>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140" w:line="340"/>
        <w:jc w:val="both"/>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140" w:line="340"/>
        <w:jc w:val="both"/>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140" w:line="340"/>
        <w:jc w:val="both"/>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140" w:line="340"/>
        <w:jc w:val="both"/>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140" w:line="340"/>
        <w:jc w:val="both"/>
      </w:pPr>
      <w:r>
        <w:rPr>
          <w:rFonts w:ascii="Times New Roman" w:cs="Times New Roman" w:eastAsia="Times New Roman" w:hAnsi="Times New Roman"/>
          <w:b w:val="false"/>
          <w:bCs w:val="false"/>
          <w:i w:val="false"/>
          <w:iCs w:val="false"/>
          <w:sz w:val="24"/>
          <w:szCs w:val="24"/>
        </w:rPr>
        <w:t xml:space="preserve">Soukupová, T., &amp; Čech, J. (2016). Real-time eye blink detection using facial landmarks. In </w:t>
      </w:r>
      <w:r>
        <w:rPr>
          <w:rFonts w:ascii="Times New Roman" w:cs="Times New Roman" w:eastAsia="Times New Roman" w:hAnsi="Times New Roman"/>
          <w:b w:val="false"/>
          <w:bCs w:val="false"/>
          <w:i/>
          <w:iCs/>
          <w:sz w:val="24"/>
          <w:szCs w:val="24"/>
        </w:rPr>
        <w:t xml:space="preserve">Proceedings of the 21st Computer Vision Winter Workshop</w:t>
      </w:r>
      <w:r>
        <w:rPr>
          <w:rFonts w:ascii="Times New Roman" w:cs="Times New Roman" w:eastAsia="Times New Roman" w:hAnsi="Times New Roman"/>
          <w:b w:val="false"/>
          <w:bCs w:val="false"/>
          <w:i w:val="false"/>
          <w:iCs w:val="false"/>
          <w:sz w:val="24"/>
          <w:szCs w:val="24"/>
        </w:rPr>
        <w:t xml:space="preserve"> (pp. 1–8). Rimske Toplice, Slovenia.</w:t>
      </w:r>
    </w:p>
    <w:p>
      <w:pPr>
        <w:spacing w:after="140" w:line="340"/>
        <w:jc w:val="both"/>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140" w:line="340"/>
        <w:jc w:val="both"/>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140" w:line="340"/>
        <w:jc w:val="both"/>
      </w:pPr>
      <w:r>
        <w:rPr>
          <w:rFonts w:ascii="Times New Roman" w:cs="Times New Roman" w:eastAsia="Times New Roman" w:hAnsi="Times New Roman"/>
          <w:b w:val="false"/>
          <w:bCs w:val="false"/>
          <w:i w:val="false"/>
          <w:iCs w:val="false"/>
          <w:sz w:val="24"/>
          <w:szCs w:val="24"/>
        </w:rPr>
        <w:t xml:space="preserve">World Wide Web Consortium. (2023). Web content accessibility guidelines (WCAG) 2.2. https://www.w3.org/TR/WCAG22/</w:t>
      </w:r>
    </w:p>
    <w:p>
      <w:pPr>
        <w:spacing w:after="140" w:line="340"/>
        <w:jc w:val="both"/>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200" w:before="12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Date: ……………………………                     Signature of Scholar</w:t>
      </w:r>
    </w:p>
    <w:p>
      <w:pPr>
        <w:spacing w:after="140" w:line="340"/>
        <w:jc w:val="both"/>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140" w:line="340"/>
        <w:jc w:val="both"/>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1A2E"/>
      <w:sz w:val="32"/>
      <w:szCs w:val="32"/>
    </w:rPr>
  </w:style>
  <w:style w:type="paragraph" w:styleId="Heading2">
    <w:name w:val="Heading 2"/>
    <w:basedOn w:val="Normal"/>
    <w:next w:val="Normal"/>
    <w:qFormat/>
    <w:pPr>
      <w:spacing w:after="150" w:before="300"/>
    </w:pPr>
    <w:rPr>
      <w:rFonts w:ascii="Times New Roman" w:cs="Times New Roman" w:eastAsia="Times New Roman" w:hAnsi="Times New Roman"/>
      <w:b/>
      <w:bCs/>
      <w:color w:val="1A1A2E"/>
      <w:sz w:val="28"/>
      <w:szCs w:val="28"/>
    </w:rPr>
  </w:style>
  <w:style w:type="paragraph" w:styleId="Heading3">
    <w:name w:val="Heading 3"/>
    <w:basedOn w:val="Normal"/>
    <w:next w:val="Normal"/>
    <w:qFormat/>
    <w:pPr>
      <w:spacing w:after="130" w:before="260"/>
    </w:pPr>
    <w:rPr>
      <w:rFonts w:ascii="Times New Roman" w:cs="Times New Roman" w:eastAsia="Times New Roman" w:hAnsi="Times New Roman"/>
      <w:b/>
      <w:bCs/>
      <w:color w:val="243B53"/>
      <w:sz w:val="26"/>
      <w:szCs w:val="26"/>
    </w:rPr>
  </w:style>
  <w:style w:type="paragraph" w:styleId="Heading4">
    <w:name w:val="Heading 4"/>
    <w:basedOn w:val="Normal"/>
    <w:next w:val="Normal"/>
    <w:qFormat/>
    <w:pPr>
      <w:spacing w:after="110" w:before="220"/>
    </w:pPr>
    <w:rPr>
      <w:rFonts w:ascii="Times New Roman" w:cs="Times New Roman" w:eastAsia="Times New Roman" w:hAnsi="Times New Roman"/>
      <w:b/>
      <w:bCs/>
      <w:i/>
      <w:iCs/>
      <w:color w:val="243B53"/>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of Literature — Display Polarity and Text Colour</dc:title>
  <dc:creator>PhD Synopsis</dc:creator>
  <dc:description>Literature review prepared for PhD synopsis presentation</dc:description>
  <cp:lastModifiedBy>Un-named</cp:lastModifiedBy>
  <cp:revision>1</cp:revision>
  <dcterms:created xsi:type="dcterms:W3CDTF">2026-09-07T06:43:52.049Z</dcterms:created>
  <dcterms:modified xsi:type="dcterms:W3CDTF">2026-09-07T06:43:52.049Z</dcterms:modified>
</cp:coreProperties>
</file>

<file path=docProps/custom.xml><?xml version="1.0" encoding="utf-8"?>
<Properties xmlns="http://schemas.openxmlformats.org/officeDocument/2006/custom-properties" xmlns:vt="http://schemas.openxmlformats.org/officeDocument/2006/docPropsVTypes"/>
</file>