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40" w:lineRule="auto"/>
        <w:jc w:val="both"/>
      </w:pPr>
      <w:r>
        <w:rPr>
          <w:rFonts w:ascii="Times New Roman" w:cs="Times New Roman" w:eastAsia="Times New Roman" w:hAnsi="Times New Roman"/>
          <w:b w:val="false"/>
          <w:bCs w:val="false"/>
          <w:i w:val="false"/>
          <w:iCs w:val="false"/>
          <w:sz w:val="24"/>
          <w:szCs w:val="24"/>
        </w:rPr>
        <w:t xml:space="preserve">EFFECTS OF DISPLAY POLARITY AND TEXT COLOUR ON VISUAL FATIGUE, OCULAR BEHAVIOUR AND TASK PERFORMANCE UNDER CONTROLLED AMBIENT ILLUMINATION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 Synopsis Submitted in Partial Fulfilment of the Requirements for the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DEGREE OF DOCTOR OF PHILOSOPHY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in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OPTOMETRY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By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GYANDEEP NATH</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Registration No. ………………………………………</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Assam down town University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Panikhaiti, Guwahati-781026, Assam, India</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w:t>
      </w:r>
    </w:p>
    <w:p>
      <w:r>
        <w:br w:type="pag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Name of the Scholar : Gyandeep Nath</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Faculty of Study : Faculty of Allied and Healthcare Sciences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Department/Discipline : Optometry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Batch/session : …………………………………………………</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Name of Supervisor (from AdtU) &amp; affiliation: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Name of Supervisor &amp; affiliation: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w:t>
      </w:r>
    </w:p>
    <w:p>
      <w:r>
        <w:br w:type="page"/>
      </w:r>
    </w:p>
    <w:p>
      <w:pPr>
        <w:pStyle w:val="Heading1"/>
        <w:keepNext/>
        <w:spacing w:after="160" w:before="320"/>
      </w:pPr>
      <w:r>
        <w:rPr>
          <w:rFonts w:ascii="Times New Roman" w:cs="Times New Roman" w:eastAsia="Times New Roman" w:hAnsi="Times New Roman"/>
          <w:b/>
          <w:bCs/>
          <w:i w:val="false"/>
          <w:iCs w:val="false"/>
          <w:sz w:val="32"/>
          <w:szCs w:val="32"/>
        </w:rPr>
        <w:t xml:space="preserve">CHAPTER 1: INTRODUCTION</w:t>
      </w:r>
    </w:p>
    <w:p>
      <w:pPr>
        <w:pStyle w:val="Heading2"/>
        <w:keepNext/>
        <w:spacing w:after="160" w:before="280"/>
      </w:pPr>
      <w:r>
        <w:rPr>
          <w:rFonts w:ascii="Times New Roman" w:cs="Times New Roman" w:eastAsia="Times New Roman" w:hAnsi="Times New Roman"/>
          <w:b/>
          <w:bCs/>
          <w:i w:val="false"/>
          <w:iCs w:val="false"/>
          <w:sz w:val="28"/>
          <w:szCs w:val="28"/>
        </w:rPr>
        <w:t xml:space="preserve">1.1 Background</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Most reading now happens on a screen. Unlike a printed page, a screen emits its own light, and almost every property of what it shows can be altered in software. Four such properties are used throughout. Display polarity describes which element is lighter: </w:t>
      </w:r>
      <w:r>
        <w:rPr>
          <w:rFonts w:ascii="Times New Roman" w:cs="Times New Roman" w:eastAsia="Times New Roman" w:hAnsi="Times New Roman"/>
          <w:b w:val="false"/>
          <w:bCs w:val="false"/>
          <w:i/>
          <w:iCs/>
          <w:sz w:val="24"/>
          <w:szCs w:val="24"/>
        </w:rPr>
        <w:t xml:space="preserve">positive polarity</w:t>
      </w:r>
      <w:r>
        <w:rPr>
          <w:rFonts w:ascii="Times New Roman" w:cs="Times New Roman" w:eastAsia="Times New Roman" w:hAnsi="Times New Roman"/>
          <w:b w:val="false"/>
          <w:bCs w:val="false"/>
          <w:i w:val="false"/>
          <w:iCs w:val="false"/>
          <w:sz w:val="24"/>
          <w:szCs w:val="24"/>
        </w:rPr>
        <w:t xml:space="preserve"> is dark text on a light background, </w:t>
      </w:r>
      <w:r>
        <w:rPr>
          <w:rFonts w:ascii="Times New Roman" w:cs="Times New Roman" w:eastAsia="Times New Roman" w:hAnsi="Times New Roman"/>
          <w:b w:val="false"/>
          <w:bCs w:val="false"/>
          <w:i/>
          <w:iCs/>
          <w:sz w:val="24"/>
          <w:szCs w:val="24"/>
        </w:rPr>
        <w:t xml:space="preserve">negative polarity</w:t>
      </w:r>
      <w:r>
        <w:rPr>
          <w:rFonts w:ascii="Times New Roman" w:cs="Times New Roman" w:eastAsia="Times New Roman" w:hAnsi="Times New Roman"/>
          <w:b w:val="false"/>
          <w:bCs w:val="false"/>
          <w:i w:val="false"/>
          <w:iCs w:val="false"/>
          <w:sz w:val="24"/>
          <w:szCs w:val="24"/>
        </w:rPr>
        <w:t xml:space="preserve"> light text on a dark one, popularly "dark mode". Text colour is the hue of the letters. Luminance is the light the screen emits, and luminance contrast the brightness difference between letters and background — the property that decides whether text is easy to resolve, and not the same thing as colour difference.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Prolonged screen reading is associated with a recognised pattern of discomfort — dry or gritty eyes, blurred vision, slow refocusing, headache and neck ache — grouped as computer vision syndrome or, interchangeably, digital eye strain. Pooled across 103 cross-sectional studies and 66,577 participants, prevalence is 69.0 per cent (95% CI 62.3–75.3), rising to 76.1 per cent among university students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w:t>
      </w:r>
    </w:p>
    <w:p>
      <w:pPr>
        <w:pStyle w:val="Heading2"/>
        <w:keepNext/>
        <w:spacing w:after="160" w:before="280"/>
      </w:pPr>
      <w:r>
        <w:rPr>
          <w:rFonts w:ascii="Times New Roman" w:cs="Times New Roman" w:eastAsia="Times New Roman" w:hAnsi="Times New Roman"/>
          <w:b/>
          <w:bCs/>
          <w:i w:val="false"/>
          <w:iCs w:val="false"/>
          <w:sz w:val="28"/>
          <w:szCs w:val="28"/>
        </w:rPr>
        <w:t xml:space="preserve">1.2 Biophysiological basis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These symptoms arise by two routes, and separating them is what makes them measurable (Sheppard &amp; Wolffsohn, 2018). The first is focusing effort — accommodation and vergence sustained at near — which responds measurably to display parameters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Redondo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but is not measured here. The second, and the one that is, concerns the ocular surface. A blink spreads fresh tear fluid across it and draws an oily secretion from the lid margins over that fluid, which slows evaporation. Screen work reduces blink frequency and raises the proportion of blinks in which the lids approach but do not meet — incomplete blinks — leaving part of the surface unwetted, so the tear film thins and breaks up sooner and the surface enters the recognised inflammatory cycle of dry eye disease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It is therefore the </w:t>
      </w:r>
      <w:r>
        <w:rPr>
          <w:rFonts w:ascii="Times New Roman" w:cs="Times New Roman" w:eastAsia="Times New Roman" w:hAnsi="Times New Roman"/>
          <w:b w:val="false"/>
          <w:bCs w:val="false"/>
          <w:i/>
          <w:iCs/>
          <w:sz w:val="24"/>
          <w:szCs w:val="24"/>
        </w:rPr>
        <w:t xml:space="preserve">completeness</w:t>
      </w:r>
      <w:r>
        <w:rPr>
          <w:rFonts w:ascii="Times New Roman" w:cs="Times New Roman" w:eastAsia="Times New Roman" w:hAnsi="Times New Roman"/>
          <w:b w:val="false"/>
          <w:bCs w:val="false"/>
          <w:i w:val="false"/>
          <w:iCs w:val="false"/>
          <w:sz w:val="24"/>
          <w:szCs w:val="24"/>
        </w:rPr>
        <w:t xml:space="preserve"> of blinking, not its frequency, that this study treats as primary. Mechanistic review attributes display-associated dry eye principally to impaired blinking rather than to parasympathetic or blue-light contributions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pStyle w:val="Heading2"/>
        <w:keepNext/>
        <w:spacing w:after="160" w:before="280"/>
      </w:pPr>
      <w:r>
        <w:rPr>
          <w:rFonts w:ascii="Times New Roman" w:cs="Times New Roman" w:eastAsia="Times New Roman" w:hAnsi="Times New Roman"/>
          <w:b/>
          <w:bCs/>
          <w:i w:val="false"/>
          <w:iCs w:val="false"/>
          <w:sz w:val="28"/>
          <w:szCs w:val="28"/>
        </w:rPr>
        <w:t xml:space="preserve">1.3 Polarity and text colour, under controlled ambient illumination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best-replicated finding in this literature is the positive polarity advantage: reading is better for dark text on a light field than for light text on a dark one, and the accepted explanation runs through the pupil (Figure 1.1). Text colour has been studied far less, and any manipulation of it also manipulates luminance contrast, so an apparent effect of colour may be an effect of contrast unless the two are measured separately. Ambient light drives pupil size independently of the display and so acts on the same mechanism; it is held constant here rather than manipulated. All three, and the reasons for controlling the third, are reviewed in Chapter 2.</w:t>
      </w:r>
    </w:p>
    <w:p>
      <w:pPr>
        <w:spacing w:after="140" w:line="340" w:lineRule="auto"/>
        <w:jc w:val="both"/>
      </w:pPr>
      <w:r>
        <w:rPr>
          <w:rFonts w:ascii="Times New Roman" w:cs="Times New Roman" w:eastAsia="Times New Roman" w:hAnsi="Times New Roman"/>
          <w:b/>
          <w:bCs/>
          <w:i w:val="false"/>
          <w:iCs w:val="false"/>
          <w:sz w:val="24"/>
          <w:szCs w:val="24"/>
        </w:rPr>
        <w:t xml:space="preserve">Figure 1.1 — The pupil-mediated account of the positive polarity advantage.</w:t>
      </w:r>
    </w:p>
    <w:p>
      <w:pPr>
        <w:spacing w:after="140" w:before="120"/>
        <w:jc w:val="center"/>
      </w:pPr>
      <w:r>
        <w:drawing>
          <wp:inline distT="0" distB="0" distL="0" distR="0">
            <wp:extent cx="4000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533525"/>
                    </a:xfrm>
                    <a:prstGeom prst="rect">
                      <a:avLst/>
                    </a:prstGeom>
                  </pic:spPr>
                </pic:pic>
              </a:graphicData>
            </a:graphic>
          </wp:inline>
        </w:drawing>
      </w:r>
    </w:p>
    <w:p>
      <w:pPr>
        <w:pStyle w:val="Heading2"/>
        <w:keepNext/>
        <w:spacing w:after="160" w:before="280"/>
      </w:pPr>
      <w:r>
        <w:rPr>
          <w:rFonts w:ascii="Times New Roman" w:cs="Times New Roman" w:eastAsia="Times New Roman" w:hAnsi="Times New Roman"/>
          <w:b/>
          <w:bCs/>
          <w:i w:val="false"/>
          <w:iCs w:val="false"/>
          <w:sz w:val="28"/>
          <w:szCs w:val="28"/>
        </w:rPr>
        <w:t xml:space="preserve">1.4 Statement of the problem</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Roughly seven in ten screen users report symptoms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yet no therapy examined across 45 randomised controlled trials and 4,497 participants — blue-blocking lenses included — reached high-certainty evidence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The displayed stimulus is upstream of the visual load, costs nothing to change and can be deployed universally, yet is the least investigated: no located study has estimated how polarity and text colour interact, separated hue from luminance contrast, or measured a validated symptom instrument alongside the ocular marker most specific to this condition (Section 2.8). Blink completeness has moreover required frame-by-frame manual annotation, restricting the literature to samples of eleven to fifty participants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A clinician, designer or standards body therefore has no evidence base for advising how a tablet should be configured for prolonged reading.</w:t>
      </w:r>
    </w:p>
    <w:p>
      <w:pPr>
        <w:pStyle w:val="Heading2"/>
        <w:keepNext/>
        <w:spacing w:after="160" w:before="280"/>
      </w:pPr>
      <w:r>
        <w:rPr>
          <w:rFonts w:ascii="Times New Roman" w:cs="Times New Roman" w:eastAsia="Times New Roman" w:hAnsi="Times New Roman"/>
          <w:b/>
          <w:bCs/>
          <w:i w:val="false"/>
          <w:iCs w:val="false"/>
          <w:sz w:val="28"/>
          <w:szCs w:val="28"/>
        </w:rPr>
        <w:t xml:space="preserve">1.5 Rationale of the study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five text colours are chosen so that the arithmetic of contrast does experimental work. WCAG contrast falls with the text's relative luminance on a white field and rises with it on a black one, so the rank order of the chromatic conditions is exactly inverted between polarities (Table 3.3), while the achromatic pair — both 21.00:1 — varies polarity with contrast held constant. The polarity-by-colour interaction can therefore separate contrast-mediated effects from residual, hue-specific ones, and that separation matters: the ordering Fan and colleagues (2024) reported under negative polarity, red worst and yellow best, is what contrast alone predicts for those hues on black, and a single-polarity design cannot exclude it.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Validating an automated measure of blink completeness would additionally remove the annotation bottleneck that has kept this literature small. The findings bear on interface design, on accessibility standards whose contrast criterion does not account for polarity (World Wide Web Consortium, 2023), and on optometric advice (Section 4.2).</w:t>
      </w:r>
    </w:p>
    <w:p>
      <w:pPr>
        <w:pStyle w:val="Heading2"/>
        <w:keepNext/>
        <w:spacing w:after="160" w:before="280"/>
      </w:pPr>
      <w:r>
        <w:rPr>
          <w:rFonts w:ascii="Times New Roman" w:cs="Times New Roman" w:eastAsia="Times New Roman" w:hAnsi="Times New Roman"/>
          <w:b/>
          <w:bCs/>
          <w:i w:val="false"/>
          <w:iCs w:val="false"/>
          <w:sz w:val="28"/>
          <w:szCs w:val="28"/>
        </w:rPr>
        <w:t xml:space="preserve">1.6 Aim</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To determine the effects and interaction of display polarity and text colour on visual fatigue, ocular behaviour and visual task performance during prolonged tablet-based reading under controlled ambient illumination, and, as a secondary methodological objective, to evaluate the validity and feasibility of camera-based blink assessment as an objective measure of ocular response.</w:t>
      </w:r>
    </w:p>
    <w:p>
      <w:pPr>
        <w:pStyle w:val="Heading2"/>
        <w:keepNext/>
        <w:spacing w:after="160" w:before="280"/>
      </w:pPr>
      <w:r>
        <w:rPr>
          <w:rFonts w:ascii="Times New Roman" w:cs="Times New Roman" w:eastAsia="Times New Roman" w:hAnsi="Times New Roman"/>
          <w:b/>
          <w:bCs/>
          <w:i w:val="false"/>
          <w:iCs w:val="false"/>
          <w:sz w:val="28"/>
          <w:szCs w:val="28"/>
        </w:rPr>
        <w:t xml:space="preserve">1.7 Objectives</w:t>
      </w:r>
    </w:p>
    <w:p>
      <w:pPr>
        <w:spacing w:after="140" w:line="340" w:lineRule="auto"/>
        <w:jc w:val="both"/>
      </w:pPr>
      <w:r>
        <w:rPr>
          <w:rFonts w:ascii="Times New Roman" w:cs="Times New Roman" w:eastAsia="Times New Roman" w:hAnsi="Times New Roman"/>
          <w:b/>
          <w:bCs/>
          <w:i w:val="false"/>
          <w:iCs w:val="false"/>
          <w:sz w:val="24"/>
          <w:szCs w:val="24"/>
        </w:rPr>
        <w:t xml:space="preserve">Primary objectives</w:t>
      </w:r>
    </w:p>
    <w:p>
      <w:pPr>
        <w:spacing w:after="120" w:line="320" w:lineRule="auto"/>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investigate the individual and interactive effects of display polarity and text colour on subjective visual fatigue, ocular behaviour, cognitive workload and task performance during prolonged tablet reading, with ambient illumination held constant at a single controlled level.</w:t>
      </w:r>
    </w:p>
    <w:p>
      <w:pPr>
        <w:spacing w:after="120" w:line="320" w:lineRule="auto"/>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model the contribution of luminance contrast and to distinguish it from residual, hue-specific effects, by computing standards-based contrast metrics for every condition and entering contrast explicitly alongside colour.</w:t>
      </w:r>
    </w:p>
    <w:p>
      <w:pPr>
        <w:spacing w:after="120" w:line="320" w:lineRule="auto"/>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determine the combination of polarity and text colour that minimises visual fatigue and maximises task performance at that illumination level, and to examine how participant characteristics moderate these effects.</w:t>
      </w:r>
    </w:p>
    <w:p>
      <w:pPr>
        <w:spacing w:after="140" w:line="340" w:lineRule="auto"/>
        <w:jc w:val="both"/>
      </w:pPr>
      <w:r>
        <w:rPr>
          <w:rFonts w:ascii="Times New Roman" w:cs="Times New Roman" w:eastAsia="Times New Roman" w:hAnsi="Times New Roman"/>
          <w:b/>
          <w:bCs/>
          <w:i w:val="false"/>
          <w:iCs w:val="false"/>
          <w:sz w:val="24"/>
          <w:szCs w:val="24"/>
        </w:rPr>
        <w:t xml:space="preserve">Methodological objective</w:t>
      </w:r>
    </w:p>
    <w:p>
      <w:pPr>
        <w:spacing w:after="120" w:line="320" w:lineRule="auto"/>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establish the feasibility and criterion validity of tablet-based camera metrology for this purpose, including agreement of automated blink classification against manual annotation and the correspondence between subjective and objective indices.</w:t>
      </w:r>
    </w:p>
    <w:p>
      <w:pPr>
        <w:pStyle w:val="Heading2"/>
        <w:keepNext/>
        <w:spacing w:after="160" w:before="280"/>
      </w:pPr>
      <w:r>
        <w:rPr>
          <w:rFonts w:ascii="Times New Roman" w:cs="Times New Roman" w:eastAsia="Times New Roman" w:hAnsi="Times New Roman"/>
          <w:b/>
          <w:bCs/>
          <w:i w:val="false"/>
          <w:iCs w:val="false"/>
          <w:sz w:val="28"/>
          <w:szCs w:val="28"/>
        </w:rPr>
        <w:t xml:space="preserve">1.8 Hypotheses</w:t>
      </w:r>
    </w:p>
    <w:p>
      <w:pPr>
        <w:spacing w:after="140" w:line="340" w:lineRule="auto"/>
        <w:jc w:val="both"/>
      </w:pPr>
      <w:r>
        <w:rPr>
          <w:rFonts w:ascii="Times New Roman" w:cs="Times New Roman" w:eastAsia="Times New Roman" w:hAnsi="Times New Roman"/>
          <w:b/>
          <w:bCs/>
          <w:i w:val="false"/>
          <w:iCs w:val="false"/>
          <w:sz w:val="24"/>
          <w:szCs w:val="24"/>
        </w:rPr>
        <w:t xml:space="preserve">Null hypothesis (H₀).</w:t>
      </w:r>
      <w:r>
        <w:rPr>
          <w:rFonts w:ascii="Times New Roman" w:cs="Times New Roman" w:eastAsia="Times New Roman" w:hAnsi="Times New Roman"/>
          <w:b w:val="false"/>
          <w:bCs w:val="false"/>
          <w:i w:val="false"/>
          <w:iCs w:val="false"/>
          <w:sz w:val="24"/>
          <w:szCs w:val="24"/>
        </w:rPr>
        <w:t xml:space="preserve"> Display polarity and text colour, individually or in combination, have no significant effect on visual fatigue, ocular behaviour or visual task performance during prolonged tablet reading at 300 lux. </w:t>
      </w:r>
      <w:r>
        <w:rPr>
          <w:rFonts w:ascii="Times New Roman" w:cs="Times New Roman" w:eastAsia="Times New Roman" w:hAnsi="Times New Roman"/>
          <w:b/>
          <w:bCs/>
          <w:i w:val="false"/>
          <w:iCs w:val="false"/>
          <w:sz w:val="24"/>
          <w:szCs w:val="24"/>
        </w:rPr>
        <w:t xml:space="preserve">Alternative hypothesis (H₁).</w:t>
      </w:r>
      <w:r>
        <w:rPr>
          <w:rFonts w:ascii="Times New Roman" w:cs="Times New Roman" w:eastAsia="Times New Roman" w:hAnsi="Times New Roman"/>
          <w:b w:val="false"/>
          <w:bCs w:val="false"/>
          <w:i w:val="false"/>
          <w:iCs w:val="false"/>
          <w:sz w:val="24"/>
          <w:szCs w:val="24"/>
        </w:rPr>
        <w:t xml:space="preserve"> At least one of them does. The four hypotheses below are linked to the objectives.</w:t>
      </w:r>
    </w:p>
    <w:p>
      <w:pPr>
        <w:spacing w:after="140" w:line="340" w:lineRule="auto"/>
        <w:jc w:val="both"/>
      </w:pPr>
      <w:r>
        <w:rPr>
          <w:rFonts w:ascii="Times New Roman" w:cs="Times New Roman" w:eastAsia="Times New Roman" w:hAnsi="Times New Roman"/>
          <w:b/>
          <w:bCs/>
          <w:i w:val="false"/>
          <w:iCs w:val="false"/>
          <w:sz w:val="24"/>
          <w:szCs w:val="24"/>
        </w:rPr>
        <w:t xml:space="preserve">H₁ₐ (Objective 1, main effects).</w:t>
      </w:r>
      <w:r>
        <w:rPr>
          <w:rFonts w:ascii="Times New Roman" w:cs="Times New Roman" w:eastAsia="Times New Roman" w:hAnsi="Times New Roman"/>
          <w:b w:val="false"/>
          <w:bCs w:val="false"/>
          <w:i w:val="false"/>
          <w:iCs w:val="false"/>
          <w:sz w:val="24"/>
          <w:szCs w:val="24"/>
        </w:rPr>
        <w:t xml:space="preserve"> Positive polarity and higher luminance contrast are each associated with a lower incomplete-blink ratio, lower subjective visual fatigue and better task performance.</w:t>
      </w:r>
    </w:p>
    <w:p>
      <w:pPr>
        <w:spacing w:after="140" w:line="340" w:lineRule="auto"/>
        <w:jc w:val="both"/>
      </w:pPr>
      <w:r>
        <w:rPr>
          <w:rFonts w:ascii="Times New Roman" w:cs="Times New Roman" w:eastAsia="Times New Roman" w:hAnsi="Times New Roman"/>
          <w:b/>
          <w:bCs/>
          <w:i w:val="false"/>
          <w:iCs w:val="false"/>
          <w:sz w:val="24"/>
          <w:szCs w:val="24"/>
        </w:rPr>
        <w:t xml:space="preserve">H₁ᵦ (Objective 1, interactions).</w:t>
      </w:r>
      <w:r>
        <w:rPr>
          <w:rFonts w:ascii="Times New Roman" w:cs="Times New Roman" w:eastAsia="Times New Roman" w:hAnsi="Times New Roman"/>
          <w:b w:val="false"/>
          <w:bCs w:val="false"/>
          <w:i w:val="false"/>
          <w:iCs w:val="false"/>
          <w:sz w:val="24"/>
          <w:szCs w:val="24"/>
        </w:rPr>
        <w:t xml:space="preserve"> The effect of text colour depends on polarity. The further prediction that negative polarity costs more under dim illumination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is not tested, illumination being held constant, and is retained in Section 4.3 as a question this design deliberately forgoes.</w:t>
      </w:r>
    </w:p>
    <w:p>
      <w:pPr>
        <w:spacing w:after="140" w:line="340" w:lineRule="auto"/>
        <w:jc w:val="both"/>
      </w:pPr>
      <w:r>
        <w:rPr>
          <w:rFonts w:ascii="Times New Roman" w:cs="Times New Roman" w:eastAsia="Times New Roman" w:hAnsi="Times New Roman"/>
          <w:b/>
          <w:bCs/>
          <w:i w:val="false"/>
          <w:iCs w:val="false"/>
          <w:sz w:val="24"/>
          <w:szCs w:val="24"/>
        </w:rPr>
        <w:t xml:space="preserve">H₁ᵪ (Objective 2, contrast mediation).</w:t>
      </w:r>
      <w:r>
        <w:rPr>
          <w:rFonts w:ascii="Times New Roman" w:cs="Times New Roman" w:eastAsia="Times New Roman" w:hAnsi="Times New Roman"/>
          <w:b w:val="false"/>
          <w:bCs w:val="false"/>
          <w:i w:val="false"/>
          <w:iCs w:val="false"/>
          <w:sz w:val="24"/>
          <w:szCs w:val="24"/>
        </w:rPr>
        <w:t xml:space="preserve"> Colour-related variance is largely accounted for by luminance contrast: because the contrast ordering reverses between polarities (Table 3.3), contrast mediation predicts a matching reversal of the colour ordering and a residual hue effect predicts a consistent one, with red the a priori candidate exception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w:t>
      </w:r>
    </w:p>
    <w:p>
      <w:pPr>
        <w:spacing w:after="140" w:line="340" w:lineRule="auto"/>
        <w:jc w:val="both"/>
      </w:pPr>
      <w:r>
        <w:rPr>
          <w:rFonts w:ascii="Times New Roman" w:cs="Times New Roman" w:eastAsia="Times New Roman" w:hAnsi="Times New Roman"/>
          <w:b/>
          <w:bCs/>
          <w:i w:val="false"/>
          <w:iCs w:val="false"/>
          <w:sz w:val="24"/>
          <w:szCs w:val="24"/>
        </w:rPr>
        <w:t xml:space="preserve">H₁ᵨ (Objective 3, moderation).</w:t>
      </w:r>
      <w:r>
        <w:rPr>
          <w:rFonts w:ascii="Times New Roman" w:cs="Times New Roman" w:eastAsia="Times New Roman" w:hAnsi="Times New Roman"/>
          <w:b w:val="false"/>
          <w:bCs w:val="false"/>
          <w:i w:val="false"/>
          <w:iCs w:val="false"/>
          <w:sz w:val="24"/>
          <w:szCs w:val="24"/>
        </w:rPr>
        <w:t xml:space="preserve"> Habitual display-mode preference, habitual screen exposure, typical ambient-lighting environment and digital literacy moderate the magnitude of these effects.</w:t>
      </w:r>
    </w:p>
    <w:p>
      <w:pPr>
        <w:pStyle w:val="Heading2"/>
        <w:keepNext/>
        <w:spacing w:after="160" w:before="280"/>
      </w:pPr>
      <w:r>
        <w:rPr>
          <w:rFonts w:ascii="Times New Roman" w:cs="Times New Roman" w:eastAsia="Times New Roman" w:hAnsi="Times New Roman"/>
          <w:b/>
          <w:bCs/>
          <w:i w:val="false"/>
          <w:iCs w:val="false"/>
          <w:sz w:val="28"/>
          <w:szCs w:val="28"/>
        </w:rPr>
        <w:t xml:space="preserve">1.9 Conceptual framework</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Display configuration acts through two parallel routes — optical and ocular-surface — which feed a common set of manifest outcomes. Table 1.1 sets them out and Figure 1.2 draws them; the cross-cutting influences in its final row are measured and modelled rather than assumed away.</w:t>
      </w:r>
    </w:p>
    <w:p>
      <w:pPr>
        <w:spacing w:after="140" w:line="340" w:lineRule="auto"/>
        <w:jc w:val="both"/>
      </w:pPr>
      <w:r>
        <w:rPr>
          <w:rFonts w:ascii="Times New Roman" w:cs="Times New Roman" w:eastAsia="Times New Roman" w:hAnsi="Times New Roman"/>
          <w:b/>
          <w:bCs/>
          <w:i w:val="false"/>
          <w:iCs w:val="false"/>
          <w:sz w:val="24"/>
          <w:szCs w:val="24"/>
        </w:rPr>
        <w:t xml:space="preserve">Figure 1.2 — The two pathways from display configuration to measured outcome.</w:t>
      </w:r>
    </w:p>
    <w:p>
      <w:pPr>
        <w:spacing w:after="140" w:before="120"/>
        <w:jc w:val="center"/>
      </w:pPr>
      <w:r>
        <w:drawing>
          <wp:inline distT="0" distB="0" distL="0" distR="0">
            <wp:extent cx="4000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09875"/>
                    </a:xfrm>
                    <a:prstGeom prst="rect">
                      <a:avLst/>
                    </a:prstGeom>
                  </pic:spPr>
                </pic:pic>
              </a:graphicData>
            </a:graphic>
          </wp:inline>
        </w:drawing>
      </w:r>
    </w:p>
    <w:p>
      <w:pPr>
        <w:spacing w:after="140" w:line="340" w:lineRule="auto"/>
        <w:jc w:val="both"/>
      </w:pPr>
      <w:r>
        <w:rPr>
          <w:rFonts w:ascii="Times New Roman" w:cs="Times New Roman" w:eastAsia="Times New Roman" w:hAnsi="Times New Roman"/>
          <w:b/>
          <w:bCs/>
          <w:i w:val="false"/>
          <w:iCs w:val="false"/>
          <w:sz w:val="24"/>
          <w:szCs w:val="24"/>
        </w:rPr>
        <w:t xml:space="preserve">Table 1.1 — Conceptual framework: the two pathways from display configuration to measured outcome.</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1212"/>
        <w:gridCol w:w="1296"/>
        <w:gridCol w:w="1044"/>
        <w:gridCol w:w="1716"/>
        <w:gridCol w:w="1223"/>
        <w:gridCol w:w="1473"/>
        <w:gridCol w:w="1062"/>
      </w:tblGrid>
      <w:tr>
        <w:trPr>
          <w:tblHeader/>
        </w:trPr>
        <w:tc>
          <w:tcPr>
            <w:tcW w:type="dxa" w:w="121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Pathway</w:t>
            </w:r>
          </w:p>
        </w:tc>
        <w:tc>
          <w:tcPr>
            <w:tcW w:type="dxa" w:w="1296"/>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Antecedent (independent variable)</w:t>
            </w:r>
          </w:p>
        </w:tc>
        <w:tc>
          <w:tcPr>
            <w:tcW w:type="dxa" w:w="1044"/>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Proximal mechanism</w:t>
            </w:r>
          </w:p>
        </w:tc>
        <w:tc>
          <w:tcPr>
            <w:tcW w:type="dxa" w:w="1716"/>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Mediating state</w:t>
            </w:r>
          </w:p>
        </w:tc>
        <w:tc>
          <w:tcPr>
            <w:tcW w:type="dxa" w:w="1223"/>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Symptom cluster</w:t>
            </w:r>
          </w:p>
        </w:tc>
        <w:tc>
          <w:tcPr>
            <w:tcW w:type="dxa" w:w="1473"/>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Measured outcome (P = primary, S = secondary)</w:t>
            </w:r>
          </w:p>
        </w:tc>
        <w:tc>
          <w:tcPr>
            <w:tcW w:type="dxa" w:w="106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6"/>
                <w:szCs w:val="16"/>
              </w:rPr>
              <w:t xml:space="preserve">Evidence</w:t>
            </w:r>
          </w:p>
        </w:tc>
      </w:tr>
      <w:tr>
        <w:tc>
          <w:tcPr>
            <w:tcW w:type="dxa" w:w="12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Optical / refractive</w:t>
            </w:r>
          </w:p>
        </w:tc>
        <w:tc>
          <w:tcPr>
            <w:tcW w:type="dxa" w:w="129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Display luminance and polarity; ambient illuminance</w:t>
            </w:r>
          </w:p>
        </w:tc>
        <w:tc>
          <w:tcPr>
            <w:tcW w:type="dxa" w:w="104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Pupil diameter → aberration and depth of focus</w:t>
            </w:r>
          </w:p>
        </w:tc>
        <w:tc>
          <w:tcPr>
            <w:tcW w:type="dxa" w:w="171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Retinal image quality; accommodative demand</w:t>
            </w:r>
          </w:p>
        </w:tc>
        <w:tc>
          <w:tcPr>
            <w:tcW w:type="dxa" w:w="122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Accommodative and vergence (blur, focusing difficulty, headache, transient myopia)</w:t>
            </w:r>
          </w:p>
        </w:tc>
        <w:tc>
          <w:tcPr>
            <w:tcW w:type="dxa" w:w="147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Reading rate (S); comprehension (S); visual search (S); perceived clarity (S)</w:t>
            </w:r>
          </w:p>
        </w:tc>
        <w:tc>
          <w:tcPr>
            <w:tcW w:type="dxa" w:w="106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(Dobres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2017; Jiménez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2020; Piepenbrock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2014a, 2014b; Redondo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2025)</w:t>
            </w:r>
          </w:p>
        </w:tc>
      </w:tr>
      <w:tr>
        <w:tc>
          <w:tcPr>
            <w:tcW w:type="dxa" w:w="12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Ocular surface</w:t>
            </w:r>
          </w:p>
        </w:tc>
        <w:tc>
          <w:tcPr>
            <w:tcW w:type="dxa" w:w="129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Luminance contrast; chromaticity; visual and cognitive demand</w:t>
            </w:r>
          </w:p>
        </w:tc>
        <w:tc>
          <w:tcPr>
            <w:tcW w:type="dxa" w:w="104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Reduced blink rate; increased incomplete blinking</w:t>
            </w:r>
          </w:p>
        </w:tc>
        <w:tc>
          <w:tcPr>
            <w:tcW w:type="dxa" w:w="171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Exposed evaporative area; tear-film stability</w:t>
            </w:r>
          </w:p>
        </w:tc>
        <w:tc>
          <w:tcPr>
            <w:tcW w:type="dxa" w:w="122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Ocular surface (dryness, burning, irritation)</w:t>
            </w:r>
          </w:p>
        </w:tc>
        <w:tc>
          <w:tcPr>
            <w:tcW w:type="dxa" w:w="147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Incomplete-blink ratio (P); CVS-Q change (key S); blink rate, inter-blink interval, VAS (S)</w:t>
            </w:r>
          </w:p>
        </w:tc>
        <w:tc>
          <w:tcPr>
            <w:tcW w:type="dxa" w:w="106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(Argilés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2015; Fjaervoll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2022; Hirota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2013; Kamøy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2022; Portello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2013)</w:t>
            </w:r>
          </w:p>
        </w:tc>
      </w:tr>
      <w:tr>
        <w:tc>
          <w:tcPr>
            <w:tcW w:type="dxa" w:w="12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Cross-cutting</w:t>
            </w:r>
          </w:p>
        </w:tc>
        <w:tc>
          <w:tcPr>
            <w:tcW w:type="dxa" w:w="129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Time on task; sleepiness; disengagement; participant factors</w:t>
            </w:r>
          </w:p>
        </w:tc>
        <w:tc>
          <w:tcPr>
            <w:tcW w:type="dxa" w:w="104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Resource depletion; arousal state; habituation</w:t>
            </w:r>
          </w:p>
        </w:tc>
        <w:tc>
          <w:tcPr>
            <w:tcW w:type="dxa" w:w="171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Sustained-attention capacity; response criterion</w:t>
            </w:r>
          </w:p>
        </w:tc>
        <w:tc>
          <w:tcPr>
            <w:tcW w:type="dxa" w:w="122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w:t>
            </w:r>
          </w:p>
        </w:tc>
        <w:tc>
          <w:tcPr>
            <w:tcW w:type="dxa" w:w="147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RT variability and lapses (S); PERCLOS (covariate); engagement flags (quality control)</w:t>
            </w:r>
          </w:p>
        </w:tc>
        <w:tc>
          <w:tcPr>
            <w:tcW w:type="dxa" w:w="106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6"/>
                <w:szCs w:val="16"/>
              </w:rPr>
              <w:t xml:space="preserve">(Abe, 2023; Abe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2014; Jackson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2016; Warm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2008)</w:t>
            </w:r>
          </w:p>
        </w:tc>
      </w:tr>
    </w:tbl>
    <w:p>
      <w:pPr>
        <w:spacing w:after="200"/>
      </w:pPr>
      <w:r>
        <w:rPr>
          <w:sz w:val="12"/>
          <w:szCs w:val="12"/>
        </w:rPr>
        <w:t xml:space="preserve"/>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1"/>
        <w:keepNext/>
        <w:spacing w:after="160" w:before="320"/>
      </w:pPr>
      <w:r>
        <w:rPr>
          <w:rFonts w:ascii="Times New Roman" w:cs="Times New Roman" w:eastAsia="Times New Roman" w:hAnsi="Times New Roman"/>
          <w:b/>
          <w:bCs/>
          <w:i w:val="false"/>
          <w:iCs w:val="false"/>
          <w:sz w:val="32"/>
          <w:szCs w:val="32"/>
        </w:rPr>
        <w:t xml:space="preserve">CHAPTER 2: REVIEW OF LITERATURE</w:t>
      </w:r>
    </w:p>
    <w:p>
      <w:pPr>
        <w:pStyle w:val="Heading2"/>
        <w:keepNext/>
        <w:spacing w:after="160" w:before="280"/>
      </w:pPr>
      <w:r>
        <w:rPr>
          <w:rFonts w:ascii="Times New Roman" w:cs="Times New Roman" w:eastAsia="Times New Roman" w:hAnsi="Times New Roman"/>
          <w:b/>
          <w:bCs/>
          <w:i w:val="false"/>
          <w:iCs w:val="false"/>
          <w:sz w:val="28"/>
          <w:szCs w:val="28"/>
        </w:rPr>
        <w:t xml:space="preserve">2.1 Burden, risk factors and measurement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pooled prevalence of 69.0 per cent across 103 studies conceals heterogeneity attributable partly to inconsistent case definition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One finding carries methodological force: prevalence was higher in studies that did not use the Computer Vision Syndrome Questionnaire (75.4 per cent), and meta-regression associated use of that instrument with lower estimates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so ad hoc checklists appear to inflate prevalence and a validated instrument with a defined cut-off is preferable. Reviews identify exposure beyond four to five hours daily, uncorrected refractive error, accommodative and vergence anomalies, altered blinking, close working distance, small font size, adverse lighting and contact-lens wear as risk factors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Mataftsi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Pucker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Sheppard &amp; Wolffsohn, 2018), and note that preventive measures acting at different points of the dry-eye cycle may be complementary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pStyle w:val="Heading2"/>
        <w:keepNext/>
        <w:spacing w:after="160" w:before="280"/>
      </w:pPr>
      <w:r>
        <w:rPr>
          <w:rFonts w:ascii="Times New Roman" w:cs="Times New Roman" w:eastAsia="Times New Roman" w:hAnsi="Times New Roman"/>
          <w:b/>
          <w:bCs/>
          <w:i w:val="false"/>
          <w:iCs w:val="false"/>
          <w:sz w:val="28"/>
          <w:szCs w:val="28"/>
        </w:rPr>
        <w:t xml:space="preserve">2.2 Display polarity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Evidence for the positive polarity advantage is consistent across paradigms, tasks and display technologies (Table 2.1).</w:t>
      </w:r>
    </w:p>
    <w:p>
      <w:pPr>
        <w:spacing w:after="140" w:line="340" w:lineRule="auto"/>
        <w:jc w:val="both"/>
      </w:pPr>
      <w:r>
        <w:rPr>
          <w:rFonts w:ascii="Times New Roman" w:cs="Times New Roman" w:eastAsia="Times New Roman" w:hAnsi="Times New Roman"/>
          <w:b/>
          <w:bCs/>
          <w:i w:val="false"/>
          <w:iCs w:val="false"/>
          <w:sz w:val="24"/>
          <w:szCs w:val="24"/>
        </w:rPr>
        <w:t xml:space="preserve">Table 2.1 — Studies on display polarity.</w:t>
      </w:r>
      <w:r>
        <w:rPr>
          <w:rFonts w:ascii="Times New Roman" w:cs="Times New Roman" w:eastAsia="Times New Roman" w:hAnsi="Times New Roman"/>
          <w:b w:val="false"/>
          <w:bCs w:val="false"/>
          <w:i w:val="false"/>
          <w:iCs w:val="false"/>
          <w:sz w:val="24"/>
          <w:szCs w:val="24"/>
        </w:rPr>
        <w:t xml:space="preserve"> N denotes reported sample size; NR = not reported in the retrieved record.</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700"/>
        <w:gridCol w:w="1264"/>
        <w:gridCol w:w="700"/>
        <w:gridCol w:w="700"/>
        <w:gridCol w:w="2095"/>
        <w:gridCol w:w="1839"/>
        <w:gridCol w:w="1728"/>
      </w:tblGrid>
      <w:tr>
        <w:trPr>
          <w:tblHeader/>
        </w:trPr>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Sl.</w:t>
            </w:r>
          </w:p>
        </w:tc>
        <w:tc>
          <w:tcPr>
            <w:tcW w:type="dxa" w:w="1264"/>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Study</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Year</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N</w:t>
            </w:r>
          </w:p>
        </w:tc>
        <w:tc>
          <w:tcPr>
            <w:tcW w:type="dxa" w:w="2095"/>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Design and manipulation</w:t>
            </w:r>
          </w:p>
        </w:tc>
        <w:tc>
          <w:tcPr>
            <w:tcW w:type="dxa" w:w="1839"/>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Principal finding</w:t>
            </w:r>
          </w:p>
        </w:tc>
        <w:tc>
          <w:tcPr>
            <w:tcW w:type="dxa" w:w="1728"/>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Limitation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Buchner &amp; Baumgartner</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2007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Proofreading; polarity × illumination × chromaticity</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Polarity advantage independent of lighting and chromaticity; colour contrast cannot replace luminance contrast</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Short task; no ocular or symptom measures</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Piepenbrock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2014b</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Pupillometry with proofreading; polarity</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Smaller pupils and better performance under positive polarity</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Achromatic only; no fatigue outcome</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Piepenbrock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2014a</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Proofreading; polarity × character size</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Advantage increased linearly as character size decreased</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Achromatic; brief exposure</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Dobres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2016</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Adaptive-staircase psychophysics; typeface × polarity × size × age</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Black-on-white more legible than white-on-black; typeface interacted with age</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Glance reading only; threshold outcome</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Dobres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Lexical decision; polarity × illumination × size</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Thresholds worst for negative polarity under near-dark light</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 fatigue or ocular-surface outcomes</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Sethi &amp; Ziat</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Eye tracking with subjective and affective measures; polarity × environment × age × task</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Higher cognitive load under negative polarity, conditional on age and lighting</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Search and writing tasks; no ocular-surface measures</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7</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Lin, C.,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2024</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36; 21</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Visual-ergonomic optimisation; luminance × polarity at 300 lux</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Positive polarity preferable; optimum display luminance 153 cd/m²</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Desktop head-up display; office lighting only; achromatic</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8</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Sengsoon &amp; Intaruk</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30</w:t>
            </w:r>
          </w:p>
        </w:tc>
        <w:tc>
          <w:tcPr>
            <w:tcW w:type="dxa" w:w="209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Randomised crossover; light vs dark mode on a tablet, immediate effects</w:t>
            </w:r>
          </w:p>
        </w:tc>
        <w:tc>
          <w:tcPr>
            <w:tcW w:type="dxa" w:w="183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 difference in subjective visual fatigue between modes; critical flicker frequency and dry-eye symptoms did differ, and both modes worsened all three measures</w:t>
            </w:r>
          </w:p>
        </w:tc>
        <w:tc>
          <w:tcPr>
            <w:tcW w:type="dxa" w:w="1728"/>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Female participants only; short exposure; no text-colour factor; no blink measurement</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Two features of this corpus define the entry point for the present work. The paradigms are short and threshold-limited, and they do not measure blinking, validated symptoms, comprehension or fatigue accumulated over an hour; the stimuli are also almost entirely achromatic. An advantage in legibility does not license an inference about visual fatigue, although popular argument about dark mode routinely makes that inference in both directions. Sethi and Ziat (2023)'s finding that the cognitive cost of negative polarity depended jointly on age and lighting indicates that polarity effects are conditional rather than universal.</w:t>
      </w:r>
    </w:p>
    <w:p>
      <w:pPr>
        <w:pStyle w:val="Heading2"/>
        <w:keepNext/>
        <w:spacing w:after="160" w:before="280"/>
      </w:pPr>
      <w:r>
        <w:rPr>
          <w:rFonts w:ascii="Times New Roman" w:cs="Times New Roman" w:eastAsia="Times New Roman" w:hAnsi="Times New Roman"/>
          <w:b/>
          <w:bCs/>
          <w:i w:val="false"/>
          <w:iCs w:val="false"/>
          <w:sz w:val="28"/>
          <w:szCs w:val="28"/>
        </w:rPr>
        <w:t xml:space="preserve">2.3 Text colour and the contrast confound</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literature manipulating text chromaticity is small and, as Table 2.2 shows, no located study has crossed colour with polarity while measuring fatigue.</w:t>
      </w:r>
    </w:p>
    <w:p>
      <w:pPr>
        <w:spacing w:after="140" w:line="340" w:lineRule="auto"/>
        <w:jc w:val="both"/>
      </w:pPr>
      <w:r>
        <w:rPr>
          <w:rFonts w:ascii="Times New Roman" w:cs="Times New Roman" w:eastAsia="Times New Roman" w:hAnsi="Times New Roman"/>
          <w:b/>
          <w:bCs/>
          <w:i w:val="false"/>
          <w:iCs w:val="false"/>
          <w:sz w:val="24"/>
          <w:szCs w:val="24"/>
        </w:rPr>
        <w:t xml:space="preserve">Table 2.2 — Studies on text colour and luminance contrast.</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700"/>
        <w:gridCol w:w="1209"/>
        <w:gridCol w:w="700"/>
        <w:gridCol w:w="700"/>
        <w:gridCol w:w="1986"/>
        <w:gridCol w:w="1622"/>
        <w:gridCol w:w="2109"/>
      </w:tblGrid>
      <w:tr>
        <w:trPr>
          <w:tblHeader/>
        </w:trPr>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Sl.</w:t>
            </w:r>
          </w:p>
        </w:tc>
        <w:tc>
          <w:tcPr>
            <w:tcW w:type="dxa" w:w="1209"/>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Study</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Year</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N</w:t>
            </w:r>
          </w:p>
        </w:tc>
        <w:tc>
          <w:tcPr>
            <w:tcW w:type="dxa" w:w="1986"/>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Design and manipulation</w:t>
            </w:r>
          </w:p>
        </w:tc>
        <w:tc>
          <w:tcPr>
            <w:tcW w:type="dxa" w:w="162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Principal finding</w:t>
            </w:r>
          </w:p>
        </w:tc>
        <w:tc>
          <w:tcPr>
            <w:tcW w:type="dxa" w:w="2109"/>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19"/>
                <w:szCs w:val="19"/>
              </w:rPr>
              <w:t xml:space="preserve">Limitation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1</w:t>
            </w:r>
          </w:p>
        </w:tc>
        <w:tc>
          <w:tcPr>
            <w:tcW w:type="dxa" w:w="12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Buchner &amp; Baumgartner</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2007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NR</w:t>
            </w:r>
          </w:p>
        </w:tc>
        <w:tc>
          <w:tcPr>
            <w:tcW w:type="dxa" w:w="198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Proofreading; colour contrast vs luminance contrast (red-on-green)</w:t>
            </w:r>
          </w:p>
        </w:tc>
        <w:tc>
          <w:tcPr>
            <w:tcW w:type="dxa" w:w="162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Colour contrast cannot compensate for absent luminance contrast</w:t>
            </w:r>
          </w:p>
        </w:tc>
        <w:tc>
          <w:tcPr>
            <w:tcW w:type="dxa" w:w="21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Single chromatic pair; short task</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w:t>
            </w:r>
          </w:p>
        </w:tc>
        <w:tc>
          <w:tcPr>
            <w:tcW w:type="dxa" w:w="12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Jiménez </w:t>
            </w:r>
            <w:r>
              <w:rPr>
                <w:rFonts w:ascii="Times New Roman" w:cs="Times New Roman" w:eastAsia="Times New Roman" w:hAnsi="Times New Roman"/>
                <w:b w:val="false"/>
                <w:bCs w:val="false"/>
                <w:i/>
                <w:iCs/>
                <w:sz w:val="19"/>
                <w:szCs w:val="19"/>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2020</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w:t>
            </w:r>
          </w:p>
        </w:tc>
        <w:tc>
          <w:tcPr>
            <w:tcW w:type="dxa" w:w="198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Binocular open-field autorefractometry; 14 text–background colour combinations, 2-min passages</w:t>
            </w:r>
          </w:p>
        </w:tc>
        <w:tc>
          <w:tcPr>
            <w:tcW w:type="dxa" w:w="162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Colour modulated accommodative and pupillary dynamics; low-contrast pairs rated less legible; reading speed unaffected</w:t>
            </w:r>
          </w:p>
        </w:tc>
        <w:tc>
          <w:tcPr>
            <w:tcW w:type="dxa" w:w="21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2-min exposure; no symptom-level outcome; lab instrumentation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3</w:t>
            </w:r>
          </w:p>
        </w:tc>
        <w:tc>
          <w:tcPr>
            <w:tcW w:type="dxa" w:w="12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Xie </w:t>
            </w:r>
            <w:r>
              <w:rPr>
                <w:rFonts w:ascii="Times New Roman" w:cs="Times New Roman" w:eastAsia="Times New Roman" w:hAnsi="Times New Roman"/>
                <w:b w:val="false"/>
                <w:bCs w:val="false"/>
                <w:i/>
                <w:iCs/>
                <w:sz w:val="19"/>
                <w:szCs w:val="19"/>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2021</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NR</w:t>
            </w:r>
          </w:p>
        </w:tc>
        <w:tc>
          <w:tcPr>
            <w:tcW w:type="dxa" w:w="198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Eye tracking and Likert scales; 2 colour modes × 6 luminance-contrast ratios at night</w:t>
            </w:r>
          </w:p>
        </w:tc>
        <w:tc>
          <w:tcPr>
            <w:tcW w:type="dxa" w:w="162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Dark mode raised blink rate and pupil accommodation, yet light mode was rated less fatiguing and preferred</w:t>
            </w:r>
          </w:p>
        </w:tc>
        <w:tc>
          <w:tcPr>
            <w:tcW w:type="dxa" w:w="21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Objective–subjective dissociation unexplained; night conditions only</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4</w:t>
            </w:r>
          </w:p>
        </w:tc>
        <w:tc>
          <w:tcPr>
            <w:tcW w:type="dxa" w:w="12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Tian </w:t>
            </w:r>
            <w:r>
              <w:rPr>
                <w:rFonts w:ascii="Times New Roman" w:cs="Times New Roman" w:eastAsia="Times New Roman" w:hAnsi="Times New Roman"/>
                <w:b w:val="false"/>
                <w:bCs w:val="false"/>
                <w:i/>
                <w:iCs/>
                <w:sz w:val="19"/>
                <w:szCs w:val="19"/>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2022</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NR</w:t>
            </w:r>
          </w:p>
        </w:tc>
        <w:tc>
          <w:tcPr>
            <w:tcW w:type="dxa" w:w="198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Eye tracker and EEG; paradigm colour × screen brightness in a dark environment</w:t>
            </w:r>
          </w:p>
        </w:tc>
        <w:tc>
          <w:tcPr>
            <w:tcW w:type="dxa" w:w="162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Low screen brightness reduced fatigue; blue preferred to red; no EEG colour effect</w:t>
            </w:r>
          </w:p>
        </w:tc>
        <w:tc>
          <w:tcPr>
            <w:tcW w:type="dxa" w:w="21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Non-reading paradigm stimuli; no ocular-surface measures</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5</w:t>
            </w:r>
          </w:p>
        </w:tc>
        <w:tc>
          <w:tcPr>
            <w:tcW w:type="dxa" w:w="12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Fan </w:t>
            </w:r>
            <w:r>
              <w:rPr>
                <w:rFonts w:ascii="Times New Roman" w:cs="Times New Roman" w:eastAsia="Times New Roman" w:hAnsi="Times New Roman"/>
                <w:b w:val="false"/>
                <w:bCs w:val="false"/>
                <w:i/>
                <w:iCs/>
                <w:sz w:val="19"/>
                <w:szCs w:val="19"/>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2024</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NR</w:t>
            </w:r>
          </w:p>
        </w:tc>
        <w:tc>
          <w:tcPr>
            <w:tcW w:type="dxa" w:w="198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Eye tracking during reading; ambient illumination × text colour, negative polarity only</w:t>
            </w:r>
          </w:p>
        </w:tc>
        <w:tc>
          <w:tcPr>
            <w:tcW w:type="dxa" w:w="162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Red most fatiguing, yellow least; performance better with yellow and white</w:t>
            </w:r>
          </w:p>
        </w:tc>
        <w:tc>
          <w:tcPr>
            <w:tcW w:type="dxa" w:w="210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19"/>
                <w:szCs w:val="19"/>
              </w:rPr>
              <w:t xml:space="preserve">Negative polarity only; hue confounded with contrast</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Two limitations recur. Exposure is brief, so duration is a plausible moderator of the discrepancy between studies finding no effect on reading speed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and those finding effects on fatigue and performance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 which neither was designed to estimate. More consequentially, none separates hue from luminance contrast: chromatic pigments differ in relative luminance, so a fixed colour set rendered on light and dark fields produces unequal, polarity-asymmetric contrasts, making contrast an inseparable covarying property of any colour manipulation that must be modelled (Buchner &amp; Baumgartner, 2007). Xie and colleagues (2021) add a complication directly relevant here: their objective and subjective indices pointed in opposite directions, dark mode improving blink measures while light mode was preferred and rated less fatiguing.</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choice of contrast metric is also consequential. The ratio defined in the accessibility guidelines is the de facto design standard (World Wide Web Consortium, 2023), but takes no account of text size, weight or polarity, and is held to overstate contrast for dark colour pairs, so nominally compliant light-on-dark combinations can be hard to read and can produce halation. A perceptual replacement incorporating polarity and typography is under development. That a polarity-blind criterion governs a domain in which polarity is among the strongest determinants of legibility (Buchner &amp; Baumgartner, 2007;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Piepenbrock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2014a, 2014b) is a problem to which empirical work can contribute.</w:t>
      </w:r>
    </w:p>
    <w:p>
      <w:pPr>
        <w:pStyle w:val="Heading2"/>
        <w:keepNext/>
        <w:spacing w:after="160" w:before="280"/>
      </w:pPr>
      <w:r>
        <w:rPr>
          <w:rFonts w:ascii="Times New Roman" w:cs="Times New Roman" w:eastAsia="Times New Roman" w:hAnsi="Times New Roman"/>
          <w:b/>
          <w:bCs/>
          <w:i w:val="false"/>
          <w:iCs w:val="false"/>
          <w:sz w:val="28"/>
          <w:szCs w:val="28"/>
        </w:rPr>
        <w:t xml:space="preserve">2.4 Ambient illumination, and the decision to control rather than manipulate it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Illumination modulates the legibility cost of negative polarity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and the fatigue cost of coloured text under it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consistent with a pupil-mediated account in which room light and display polarity trade against one another (Table 2.3).</w:t>
      </w:r>
    </w:p>
    <w:p>
      <w:pPr>
        <w:spacing w:after="140" w:line="340" w:lineRule="auto"/>
        <w:jc w:val="both"/>
      </w:pPr>
      <w:r>
        <w:rPr>
          <w:rFonts w:ascii="Times New Roman" w:cs="Times New Roman" w:eastAsia="Times New Roman" w:hAnsi="Times New Roman"/>
          <w:b/>
          <w:bCs/>
          <w:i w:val="false"/>
          <w:iCs w:val="false"/>
          <w:sz w:val="24"/>
          <w:szCs w:val="24"/>
        </w:rPr>
        <w:t xml:space="preserve">Table 2.3 — Studies on ambient illumination as a moderator.</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700"/>
        <w:gridCol w:w="1264"/>
        <w:gridCol w:w="700"/>
        <w:gridCol w:w="700"/>
        <w:gridCol w:w="1712"/>
        <w:gridCol w:w="2297"/>
        <w:gridCol w:w="1653"/>
      </w:tblGrid>
      <w:tr>
        <w:trPr>
          <w:tblHeader/>
        </w:trPr>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Sl.</w:t>
            </w:r>
          </w:p>
        </w:tc>
        <w:tc>
          <w:tcPr>
            <w:tcW w:type="dxa" w:w="1264"/>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Study</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Year</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N</w:t>
            </w:r>
          </w:p>
        </w:tc>
        <w:tc>
          <w:tcPr>
            <w:tcW w:type="dxa" w:w="171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Illumination manipulated</w:t>
            </w:r>
          </w:p>
        </w:tc>
        <w:tc>
          <w:tcPr>
            <w:tcW w:type="dxa" w:w="2297"/>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Principal finding</w:t>
            </w:r>
          </w:p>
        </w:tc>
        <w:tc>
          <w:tcPr>
            <w:tcW w:type="dxa" w:w="1653"/>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Limitation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Buchner &amp; Baumgartner</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2007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Darkness vs typical office lighting</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Positive polarity advantage independent of ambient lighting</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Two coarse levels; proofreading only</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Dobres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Near-dark vs daylight-like</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Negative polarity worst under near-dark; raising illumination or switching polarity restored legibility</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Threshold legibility only; no fatigue outcome</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Xie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2021</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Low ambient illumination at night, 6 contrast ratios</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Colour mode and contrast jointly affected fatigue under low light</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Night conditions only</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Tian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2022</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Dark environment, graded screen brightness</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Low screen brightness in darkness reduced fatigue; sensitivity most vulnerable at medium-high brightness</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Non-reading stimuli</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Fan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2024</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NR</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Graded ambient illumination, negative polarity</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Higher illumination reduced fatigue, by an amount depending on text colour</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Negative polarity only</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w:t>
            </w:r>
          </w:p>
        </w:tc>
        <w:tc>
          <w:tcPr>
            <w:tcW w:type="dxa" w:w="126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Lin, M.,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30</w:t>
            </w:r>
          </w:p>
        </w:tc>
        <w:tc>
          <w:tcPr>
            <w:tcW w:type="dxa" w:w="171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Bright vs dark room × bright vs dark screen, 30-min reading</w:t>
            </w:r>
          </w:p>
        </w:tc>
        <w:tc>
          <w:tcPr>
            <w:tcW w:type="dxa" w:w="229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Dark room with bright screen most destabilised the tear film; incomplete-blink rate rose over time in all groups</w:t>
            </w:r>
          </w:p>
        </w:tc>
        <w:tc>
          <w:tcPr>
            <w:tcW w:type="dxa" w:w="16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Smartphone; four combinations only; polarity not manipulated</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evidence is not uniform, and the pattern of that disagreement is what determined the present design. The proofreading advantage was independent of ambient lighting (Buchner &amp; Baumgartner, 2007), whereas threshold legibility showed a clear interaction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 that is, the performance-side effect of polarity appears not to depend on room light, while the effects that do depend on it are concentrated in the ocular and tear-film measures. The most recent work is the most directly relevant on that second point: reading in a dark room from a bright screen produced the greatest tear-film destabilisation and the largest blink changes, with incomplete blinking rising over time in every condition (Lin, 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That division matters here because the ocular outcomes of this study are derived from the tablet's own front camera rather than from dedicated instrumentation. In a darkened room the display is the dominant source of light falling on the reader's face, and the two levels of the polarity factor differ greatly in how much light they emit: computed from the locked condition table used here, a positive-polarity screen casts roughly thirty times the illuminance of a negative-polarity one at the reading distance specified in Section 3.6. Against a 10 lux room that leaves the face lit about 2.3 times more brightly in positive than in negative polarity; against a 300 lux room the ratio falls to about 1.05. Camera exposure, and with it the achieved frame rate on which blink classification depends, would therefore have varied systematically with the primary independent variable — and undersampling biases the measured minimum eyelid aperture upward, inflating the incomplete-blink ratio in the direction the hypothesis predicts. An artefact of that shape is indistinguishable from the effect it imitates.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Ambient illumination is consequently held constant at a single controlled level rather than manipulated. Buchner and Baumgartner's null for the performance outcomes indicates that little is forfeited on that side; what is forfeited on the ocular side is stated plainly in Section 4.3, and includes the finding of Sethi and Ziat (2023) that negative polarity raised cognitive load in younger adults specifically under dim conditions — the condition this design no longer includes.</w:t>
      </w:r>
    </w:p>
    <w:p>
      <w:pPr>
        <w:pStyle w:val="Heading2"/>
        <w:keepNext/>
        <w:spacing w:after="160" w:before="280"/>
      </w:pPr>
      <w:r>
        <w:rPr>
          <w:rFonts w:ascii="Times New Roman" w:cs="Times New Roman" w:eastAsia="Times New Roman" w:hAnsi="Times New Roman"/>
          <w:b/>
          <w:bCs/>
          <w:i w:val="false"/>
          <w:iCs w:val="false"/>
          <w:sz w:val="28"/>
          <w:szCs w:val="28"/>
        </w:rPr>
        <w:t xml:space="preserve">2.5 Ocular behaviour as an objective marker</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Suppression of spontaneous blinking during display use is among the most reproducible findings in the field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Sheppard &amp; Wolffsohn, 2018), and the proportion of blinks that fail to close fully has the strongest claim to specificity (Table 2.4).</w:t>
      </w:r>
    </w:p>
    <w:p>
      <w:pPr>
        <w:spacing w:after="140" w:line="340" w:lineRule="auto"/>
        <w:jc w:val="both"/>
      </w:pPr>
      <w:r>
        <w:rPr>
          <w:rFonts w:ascii="Times New Roman" w:cs="Times New Roman" w:eastAsia="Times New Roman" w:hAnsi="Times New Roman"/>
          <w:b/>
          <w:bCs/>
          <w:i w:val="false"/>
          <w:iCs w:val="false"/>
          <w:sz w:val="24"/>
          <w:szCs w:val="24"/>
        </w:rPr>
        <w:t xml:space="preserve">Table 2.4 — Studies on ocular behaviour as an objective marker.</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700"/>
        <w:gridCol w:w="952"/>
        <w:gridCol w:w="700"/>
        <w:gridCol w:w="700"/>
        <w:gridCol w:w="2363"/>
        <w:gridCol w:w="2129"/>
        <w:gridCol w:w="1482"/>
      </w:tblGrid>
      <w:tr>
        <w:trPr>
          <w:tblHeader/>
        </w:trPr>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Sl.</w:t>
            </w:r>
          </w:p>
        </w:tc>
        <w:tc>
          <w:tcPr>
            <w:tcW w:type="dxa" w:w="95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Study</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Year</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N</w:t>
            </w:r>
          </w:p>
        </w:tc>
        <w:tc>
          <w:tcPr>
            <w:tcW w:type="dxa" w:w="2363"/>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Measure and task</w:t>
            </w:r>
          </w:p>
        </w:tc>
        <w:tc>
          <w:tcPr>
            <w:tcW w:type="dxa" w:w="2129"/>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Principal finding</w:t>
            </w:r>
          </w:p>
        </w:tc>
        <w:tc>
          <w:tcPr>
            <w:tcW w:type="dxa" w:w="148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Limitation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Cardona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2011</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25</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and amplitude, tear film; fast vs slow display task</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fell to one-third (fast) and one-half (slow) of baseline; more incomplete blinks when dynamic</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Game task, not reading; manual video coding</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Portello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21</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and completeness, symptom score; 15-min reading</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Incomplete blinks 0.9–56.5% (mean 16.1); symptoms correlated with incomplete-blink % (p = 0.002); raising blink rate did not help</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Single condition; small sample; manual coding</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Hirota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11</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composition and tear break-up time; 60-min task</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Break-up time fell 8.62→4.33 s at 30 min, recovering as incomplete blinking declined; quality, not frequency, governs stability</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Very small sample; single display condition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Argilés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50</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and completeness across 6 hard-copy and electronic reading conditions</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All reading reduced blink rate; incomplete blinks rose only on electronic platforms</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Display parameters not manipulated; manual coding</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Jackson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2016</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12</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PERCLOS and driving performance after 24-h sleep deprivation</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PERCLOS correlated with vigilance variability (r = 0.68) and lane position (r = 0.61)</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Drowsiness, not visual fatigue; extreme manipulation</w:t>
            </w:r>
          </w:p>
        </w:tc>
      </w:tr>
      <w:tr>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w:t>
            </w:r>
          </w:p>
        </w:tc>
        <w:tc>
          <w:tcPr>
            <w:tcW w:type="dxa" w:w="95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Lin, M.,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30</w:t>
            </w:r>
          </w:p>
        </w:tc>
        <w:tc>
          <w:tcPr>
            <w:tcW w:type="dxa" w:w="236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Tear-film indices and blink parameters; 30-min reading, 4 lighting–brightness combinations</w:t>
            </w:r>
          </w:p>
        </w:tc>
        <w:tc>
          <w:tcPr>
            <w:tcW w:type="dxa" w:w="212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Dark room with bright screen most destabilised the tear film; incomplete-blink rate rose over time in all groups</w:t>
            </w:r>
          </w:p>
        </w:tc>
        <w:tc>
          <w:tcPr>
            <w:tcW w:type="dxa" w:w="148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Smartphone; polarity and text colour not manipulated</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Three findings forbid reading blink rate as a simple fatigue index: it is suppressed by reading irrespective of medium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and by task dynamism at matched cognitive load (Cardona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2011); total rate can hold steady while the complete-to-incomplete composition shifts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and raising blink rate experimentally changed no symptom score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The incomplete-blink ratio, referenced to a within-participant baseline, is therefore the better-justified primary marker. Every study in Table 2.4 relied on manual frame-by-frame coding or dedicated hardware, and none manipulated polarity or text colour — which is why the samples are eleven to fifty, and why an automated measure is worth validating.</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PERCLOS, the proportion of time the eyes are more than 80 per cent closed, is among the most validated indices for passive drowsiness detection (Abe, 2023) and correlates with vigilance-performance variability after sleep deprivation (Jackson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Its documented insensitivity in moderate drowsiness (Abe, 2023) dictates its role here as a covariate for sleepiness rather than a measure of visual fatigue.</w:t>
      </w:r>
    </w:p>
    <w:p>
      <w:pPr>
        <w:pStyle w:val="Heading2"/>
        <w:keepNext/>
        <w:spacing w:after="160" w:before="280"/>
      </w:pPr>
      <w:r>
        <w:rPr>
          <w:rFonts w:ascii="Times New Roman" w:cs="Times New Roman" w:eastAsia="Times New Roman" w:hAnsi="Times New Roman"/>
          <w:b/>
          <w:bCs/>
          <w:i w:val="false"/>
          <w:iCs w:val="false"/>
          <w:sz w:val="28"/>
          <w:szCs w:val="28"/>
        </w:rPr>
        <w:t xml:space="preserve">2.6 Task performance and sustained attention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Comparison of reading media reports an advantage for print over screen, moderated by genre and time pressure (Delgado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This constrains how comprehension should be measured, since genre, difficulty and pacing must be standardised, but does not bear on the hypothesis under test, because a within-screen design removes the medium confound. Prolonged monotonous tasks also produce a vigilance decrement best accounted for by resource depletion (Warm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with lapses and reaction-time variability its most fatigue-sensitive indices (Abe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Attentional and visual-fatigue outcomes therefore share time on task as a driver and must be measured together if they are to be distinguished.</w:t>
      </w:r>
    </w:p>
    <w:p>
      <w:pPr>
        <w:pStyle w:val="Heading2"/>
        <w:keepNext/>
        <w:spacing w:after="160" w:before="280"/>
      </w:pPr>
      <w:r>
        <w:rPr>
          <w:rFonts w:ascii="Times New Roman" w:cs="Times New Roman" w:eastAsia="Times New Roman" w:hAnsi="Times New Roman"/>
          <w:b/>
          <w:bCs/>
          <w:i w:val="false"/>
          <w:iCs w:val="false"/>
          <w:sz w:val="28"/>
          <w:szCs w:val="28"/>
        </w:rPr>
        <w:t xml:space="preserve">2.7 Subjective instruments and scalable measurement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Computer Vision Syndrome Questionnaire assesses frequency and intensity of sixteen symptoms on a Rasch-fitting scale, with sensitivity and specificity above 70 per cent and test–retest intraclass correlation of 0.802 (Seguí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Cross-cultural validation reports internal consistency of 0.793, sensitivity 78.5 per cent, specificity 70.7 per cent, convergent validity with the Ocular Surface Disease Index of 0.728 and a cut-off of seven (Cantó-Sancho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Cognitive workload is conventionally indexed by the NASA Task Load Index across six dimensions (Hart &amp; Staveland, 1988). Review notes that correlations between objective and subjective measures are not always apparent (Sheppard &amp; Wolffsohn, 2018), a discrepancy treated here as an object of study.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Automated blink detection derives a scalar eye aspect ratio from facial landmarks and identifies blinks as a temporal pattern in that signal (Soukupová &amp; Čech, 2016). That work establishes the signal and the detection of blink </w:t>
      </w:r>
      <w:r>
        <w:rPr>
          <w:rFonts w:ascii="Times New Roman" w:cs="Times New Roman" w:eastAsia="Times New Roman" w:hAnsi="Times New Roman"/>
          <w:b w:val="false"/>
          <w:bCs w:val="false"/>
          <w:i/>
          <w:iCs/>
          <w:sz w:val="24"/>
          <w:szCs w:val="24"/>
        </w:rPr>
        <w:t xml:space="preserve">events</w:t>
      </w:r>
      <w:r>
        <w:rPr>
          <w:rFonts w:ascii="Times New Roman" w:cs="Times New Roman" w:eastAsia="Times New Roman" w:hAnsi="Times New Roman"/>
          <w:b w:val="false"/>
          <w:bCs w:val="false"/>
          <w:i w:val="false"/>
          <w:iCs w:val="false"/>
          <w:sz w:val="24"/>
          <w:szCs w:val="24"/>
        </w:rPr>
        <w:t xml:space="preserve">; it does not classify a blink as incomplete. Extending it to the depth of closure — the quantity the clinical literature has obtained by hand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 is this study's own step, and is why the classifier is validated against manual annotation rather than assumed (Section 3.5). Validity differs by target: camera-based gaze estimation is lower in accuracy and sampling rate than infrared tracking and is defensible only for coarse zone classification, whereas blink measures are proportion-based and need temporal rather than spatial precision. Because a blink is complete within a few hundred milliseconds, duration-based metrics become unreliable at low sampling rates, and the achieved frame rate is therefore recorded per condition and gates the duration-based tiers, while proportion measures are more robust. No published study has validated a camera-based incomplete-blink measure against manual annotation.</w:t>
      </w:r>
    </w:p>
    <w:p>
      <w:pPr>
        <w:pStyle w:val="Heading2"/>
        <w:keepNext/>
        <w:spacing w:after="160" w:before="280"/>
      </w:pPr>
      <w:r>
        <w:rPr>
          <w:rFonts w:ascii="Times New Roman" w:cs="Times New Roman" w:eastAsia="Times New Roman" w:hAnsi="Times New Roman"/>
          <w:b/>
          <w:bCs/>
          <w:i w:val="false"/>
          <w:iCs w:val="false"/>
          <w:sz w:val="28"/>
          <w:szCs w:val="28"/>
        </w:rPr>
        <w:t xml:space="preserve">2.8 Research gaps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Six gaps follow from the foregoing, and together they define the study.</w:t>
      </w:r>
    </w:p>
    <w:p>
      <w:pPr>
        <w:spacing w:after="120" w:line="320" w:lineRule="auto"/>
        <w:ind w:left="600" w:hanging="60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positive polarity advantage is established for brief, achromatic legibility tasks but untested for prolonged reading with fatigue accumulation and ocular-surface outcomes.</w:t>
      </w:r>
    </w:p>
    <w:p>
      <w:pPr>
        <w:spacing w:after="120" w:line="320" w:lineRule="auto"/>
        <w:ind w:left="600" w:hanging="60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interaction between polarity and text colour on visual fatigue appears unestimated, the only located text-colour fatigue study having held polarity constant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nor has hue been separated from luminance contrast in the studies located (Buchner &amp; Baumgartner, 2007;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Xie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spacing w:after="120" w:line="320" w:lineRule="auto"/>
        <w:ind w:left="600" w:hanging="60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No located study reports contrast metrics alongside measured display photometry, and the prevailing standard is polarity-blind (Advanced Perceptual Contrast Algorithm, n.d.; World Wide Web Consortium, 2023). Joint effects of polarity, colour and illumination remain uncharacterised, the two-way findings being in partial conflict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the present study addresses the polarity × colour interaction at a fixed illuminance and leaves the three-way case to designs whose ocular instrumentation is independent of room light.</w:t>
      </w:r>
    </w:p>
    <w:p>
      <w:pPr>
        <w:spacing w:after="120" w:line="320" w:lineRule="auto"/>
        <w:ind w:left="600" w:hanging="60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Few studies co-register a validated symptom instrument with objective markers in the same condition, leaving the subjective–objective discrepancy unresolved (Sheppard &amp; Wolffsohn, 2018); where both were measured they pointed in opposite directions (Xie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spacing w:after="120" w:line="320" w:lineRule="auto"/>
        <w:ind w:left="600" w:hanging="60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The incomplete-blink ratio does not appear to have been tested as an outcome of a display manipulation despite its specificity (Lin, 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The most recent direct test of the polarity question on a tablet is instructive here: Sengsoon and Intaruk (2025) randomised thirty users between light and dark mode and found </w:t>
      </w:r>
      <w:r>
        <w:rPr>
          <w:rFonts w:ascii="Times New Roman" w:cs="Times New Roman" w:eastAsia="Times New Roman" w:hAnsi="Times New Roman"/>
          <w:b/>
          <w:bCs/>
          <w:i w:val="false"/>
          <w:iCs w:val="false"/>
          <w:sz w:val="24"/>
          <w:szCs w:val="24"/>
        </w:rPr>
        <w:t xml:space="preserve">no</w:t>
      </w:r>
      <w:r>
        <w:rPr>
          <w:rFonts w:ascii="Times New Roman" w:cs="Times New Roman" w:eastAsia="Times New Roman" w:hAnsi="Times New Roman"/>
          <w:b w:val="false"/>
          <w:bCs w:val="false"/>
          <w:i w:val="false"/>
          <w:iCs w:val="false"/>
          <w:sz w:val="24"/>
          <w:szCs w:val="24"/>
        </w:rPr>
        <w:t xml:space="preserve"> difference in subjective visual fatigue, while critical flicker frequency and dry-eye symptoms did differ — a dissociation between what participants report and what can be measured on them. Their design carried no text-colour factor, no blink measurement and a short exposure, so the null on the subjective scale is as likely to reflect the sensitivity of the outcome as the absence of an effect, and no automated implementation was found, in the literature located, to have been validated against manual annotation, so the measure does not scale.</w:t>
      </w:r>
    </w:p>
    <w:p>
      <w:pPr>
        <w:spacing w:after="120" w:line="320" w:lineRule="auto"/>
        <w:ind w:left="600" w:hanging="60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Individual differences in habitual display preference, exposure and lighting environment are seldom modelled as moderators, and tablet-specific, ecologically valid protocols are scarce.</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1"/>
        <w:keepNext/>
        <w:spacing w:after="160" w:before="320"/>
      </w:pPr>
      <w:r>
        <w:rPr>
          <w:rFonts w:ascii="Times New Roman" w:cs="Times New Roman" w:eastAsia="Times New Roman" w:hAnsi="Times New Roman"/>
          <w:b/>
          <w:bCs/>
          <w:i w:val="false"/>
          <w:iCs w:val="false"/>
          <w:sz w:val="32"/>
          <w:szCs w:val="32"/>
        </w:rPr>
        <w:t xml:space="preserve">CHAPTER 3: MATERIALS AND METHODS</w:t>
      </w:r>
    </w:p>
    <w:p>
      <w:pPr>
        <w:pStyle w:val="Heading2"/>
        <w:keepNext/>
        <w:spacing w:after="160" w:before="280"/>
      </w:pPr>
      <w:r>
        <w:rPr>
          <w:rFonts w:ascii="Times New Roman" w:cs="Times New Roman" w:eastAsia="Times New Roman" w:hAnsi="Times New Roman"/>
          <w:b/>
          <w:bCs/>
          <w:i w:val="false"/>
          <w:iCs w:val="false"/>
          <w:sz w:val="28"/>
          <w:szCs w:val="28"/>
        </w:rPr>
        <w:t xml:space="preserve">3.1 Study design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 repeated-measures factorial design in which both factors vary within participant. Display polarity (positive, negative) is crossed with text colour (achromatic, blue, red, yellow, green), giving ten display conditions, each presented once in a single sitting. Ambient illumination is held constant at 300 lux and is a controlled variable with a manipulation check, not a factor (Section 3.4). Each participant contributes ten condition-runs and serves as their own control. Ten reading passages cover the ten runs, so each is read exactly once and no practice effect requires adjustment.</w:t>
      </w:r>
    </w:p>
    <w:p>
      <w:pPr>
        <w:spacing w:after="140" w:line="340" w:lineRule="auto"/>
        <w:jc w:val="both"/>
      </w:pPr>
      <w:r>
        <w:rPr>
          <w:rFonts w:ascii="Times New Roman" w:cs="Times New Roman" w:eastAsia="Times New Roman" w:hAnsi="Times New Roman"/>
          <w:b/>
          <w:bCs/>
          <w:i w:val="false"/>
          <w:iCs w:val="false"/>
          <w:sz w:val="24"/>
          <w:szCs w:val="24"/>
        </w:rPr>
        <w:t xml:space="preserve">Figure 3.1 — The design: what one participant does.</w:t>
      </w:r>
    </w:p>
    <w:p>
      <w:pPr>
        <w:spacing w:after="140" w:before="120"/>
        <w:jc w:val="center"/>
      </w:pPr>
      <w:r>
        <w:drawing>
          <wp:inline distT="0" distB="0" distL="0" distR="0">
            <wp:extent cx="4000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581150"/>
                    </a:xfrm>
                    <a:prstGeom prst="rect">
                      <a:avLst/>
                    </a:prstGeom>
                  </pic:spPr>
                </pic:pic>
              </a:graphicData>
            </a:graphic>
          </wp:inline>
        </w:drawing>
      </w:r>
    </w:p>
    <w:p>
      <w:pPr>
        <w:spacing w:after="140" w:line="340" w:lineRule="auto"/>
        <w:jc w:val="both"/>
      </w:pPr>
      <w:r>
        <w:rPr>
          <w:rFonts w:ascii="Times New Roman" w:cs="Times New Roman" w:eastAsia="Times New Roman" w:hAnsi="Times New Roman"/>
          <w:b/>
          <w:bCs/>
          <w:i w:val="false"/>
          <w:iCs w:val="false"/>
          <w:sz w:val="24"/>
          <w:szCs w:val="24"/>
        </w:rPr>
        <w:t xml:space="preserve">Figure 3.2 — Study flow.</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I — Ethics approval; instrument development; photometric characterisation of the display</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II — Recruitment, screening and baseline profiling</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III — Single sitting at 300 lux: ten display conditions in Williams order</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IV — Quality-control review of each sitting before the participant is released</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8626"/>
        <w:jc w:val="center"/>
        <w:tblBorders>
          <w:top w:val="single" w:color="5A6B7C" w:sz="6"/>
          <w:left w:val="single" w:color="5A6B7C" w:sz="6"/>
          <w:bottom w:val="single" w:color="5A6B7C" w:sz="6"/>
          <w:right w:val="single" w:color="5A6B7C" w:sz="6"/>
          <w:insideH w:val="single" w:color="9FB3C8" w:sz="4"/>
          <w:insideV w:val="single" w:color="9FB3C8" w:sz="4"/>
        </w:tblBorders>
        <w:tblLayout w:type="fixed"/>
      </w:tblPr>
      <w:tblGrid>
        <w:gridCol w:w="4313"/>
        <w:gridCol w:w="4313"/>
      </w:tblGrid>
      <w:tr>
        <w:tc>
          <w:tcPr>
            <w:tcW w:type="dxa" w:w="4313"/>
            <w:shd w:fill="EEF3FA" w:color="auto" w:val="clear"/>
            <w:tcMar>
              <w:top w:type="dxa" w:w="80"/>
              <w:left w:type="dxa" w:w="120"/>
              <w:bottom w:type="dxa" w:w="80"/>
              <w:right w:type="dxa" w:w="12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V — Automated ocular metrics</w:t>
            </w:r>
          </w:p>
        </w:tc>
        <w:tc>
          <w:tcPr>
            <w:tcW w:type="dxa" w:w="4313"/>
            <w:shd w:fill="EEF3FA" w:color="auto" w:val="clear"/>
            <w:tcMar>
              <w:top w:type="dxa" w:w="80"/>
              <w:left w:type="dxa" w:w="120"/>
              <w:bottom w:type="dxa" w:w="80"/>
              <w:right w:type="dxa" w:w="12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Manual-annotation validation sub-study</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Phase VI — Mixed-effects analysis and reporting</w:t>
            </w:r>
          </w:p>
        </w:tc>
      </w:tr>
    </w:tbl>
    <w:p>
      <w:pPr>
        <w:spacing w:after="16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3.2 Setting, participants and sampling</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study runs in a light-controlled room at Assam down town University, with adults aged 18 to 35 recruited by purposive sampling from the university population.</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target is 130 participants for analysis, with 145 enrolled to allow for withdrawal and exclusion. It is a multiple of ten, as the Williams counterbalancing requires (Section 3.8), and was set by simulation rather than by a formula assuming independent observations. Precision on the primary outcome follows the number of condition-runs, not participants: 130 participants give 1,300 runs.</w:t>
      </w:r>
    </w:p>
    <w:p>
      <w:pPr>
        <w:spacing w:after="140" w:line="340" w:lineRule="auto"/>
        <w:jc w:val="both"/>
      </w:pPr>
      <w:r>
        <w:rPr>
          <w:rFonts w:ascii="Times New Roman" w:cs="Times New Roman" w:eastAsia="Times New Roman" w:hAnsi="Times New Roman"/>
          <w:b/>
          <w:bCs/>
          <w:i w:val="false"/>
          <w:iCs w:val="false"/>
          <w:sz w:val="24"/>
          <w:szCs w:val="24"/>
        </w:rPr>
        <w:t xml:space="preserve">Table 3.1 — Eligibility criteria.</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4513"/>
        <w:gridCol w:w="4513"/>
      </w:tblGrid>
      <w:tr>
        <w:trPr>
          <w:tblHeader/>
        </w:trPr>
        <w:tc>
          <w:tcPr>
            <w:tcW w:type="dxa" w:w="4513"/>
            <w:shd w:fill="E8EEF7" w:color="auto" w:val="clear"/>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0"/>
                <w:szCs w:val="20"/>
              </w:rPr>
              <w:t xml:space="preserve">Inclusion</w:t>
            </w:r>
          </w:p>
        </w:tc>
        <w:tc>
          <w:tcPr>
            <w:tcW w:type="dxa" w:w="4513"/>
            <w:shd w:fill="E8EEF7" w:color="auto" w:val="clear"/>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0"/>
                <w:szCs w:val="20"/>
              </w:rPr>
              <w:t xml:space="preserve">Exclusion</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Age 18 to 35 years</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Refractive error beyond ±3.00 D</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Distance visual acuity 6/6 or better, with or without correction</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Manifest binocular vision disorder</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Habitual screen use of at least four hours daily</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Colour-vision deficiency on screening</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 known ocular, systemic or neurological illness</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History of photosensitivity or migraine</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Able to give written informed consent</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Medication affecting vision, accommodation or tear film</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Able to attend one sitting of approximately 100 minutes</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Diagnosed learning or psychiatric disorder</w:t>
            </w:r>
          </w:p>
        </w:tc>
      </w:tr>
      <w:tr>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w:t>
            </w:r>
          </w:p>
        </w:tc>
        <w:tc>
          <w:tcPr>
            <w:tcW w:type="dxa" w:w="4513"/>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Contact-lens wear on test days; ocular surgery within six months</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Screening comprises visual acuity, non-cycloplegic refraction, cover test, near point of convergence and Ishihara colour-vision screening on the study display (Klinke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it is an aid rather than a diagnosis and its outcomes are covariates. A profiling questionnaire supplies the moderators for Objective 3 and the sleepiness covariates.</w:t>
      </w:r>
    </w:p>
    <w:p>
      <w:pPr>
        <w:spacing w:after="140" w:line="340" w:lineRule="auto"/>
        <w:jc w:val="both"/>
      </w:pPr>
      <w:r>
        <w:rPr>
          <w:rFonts w:ascii="Times New Roman" w:cs="Times New Roman" w:eastAsia="Times New Roman" w:hAnsi="Times New Roman"/>
          <w:b/>
          <w:bCs/>
          <w:i w:val="false"/>
          <w:iCs w:val="false"/>
          <w:sz w:val="24"/>
          <w:szCs w:val="24"/>
        </w:rPr>
        <w:t xml:space="preserve">Table 3.2 — The proposed design against the published studies from which its measures are drawn.</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953"/>
        <w:gridCol w:w="700"/>
        <w:gridCol w:w="700"/>
        <w:gridCol w:w="1305"/>
        <w:gridCol w:w="1576"/>
        <w:gridCol w:w="1972"/>
        <w:gridCol w:w="1820"/>
      </w:tblGrid>
      <w:tr>
        <w:trPr>
          <w:tblHeader/>
        </w:trPr>
        <w:tc>
          <w:tcPr>
            <w:tcW w:type="dxa" w:w="953"/>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Study</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Year</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N</w:t>
            </w:r>
          </w:p>
        </w:tc>
        <w:tc>
          <w:tcPr>
            <w:tcW w:type="dxa" w:w="1305"/>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Conditions per participant</w:t>
            </w:r>
          </w:p>
        </w:tc>
        <w:tc>
          <w:tcPr>
            <w:tcW w:type="dxa" w:w="1576"/>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Total condition-runs</w:t>
            </w:r>
          </w:p>
        </w:tc>
        <w:tc>
          <w:tcPr>
            <w:tcW w:type="dxa" w:w="1972"/>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Ocular measure</w:t>
            </w:r>
          </w:p>
        </w:tc>
        <w:tc>
          <w:tcPr>
            <w:tcW w:type="dxa" w:w="182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Display parameter manipulated</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Hirota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11</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11</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composition, tear break-up</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None</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Jackson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2016</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12</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24</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PERCLOS</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None</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Jiménez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2020</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14</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280</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Accommodation, pupil</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Text–background colour</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Portello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21</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42</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completeness</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None</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Cardona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2011</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25</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75</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amplitude</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Task dynamism</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Lin, M.,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2025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30</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120</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patterns, tear film</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Ambient light × screen brightness</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Argilés </w:t>
            </w:r>
            <w:r>
              <w:rPr>
                <w:rFonts w:ascii="Times New Roman" w:cs="Times New Roman" w:eastAsia="Times New Roman" w:hAnsi="Times New Roman"/>
                <w:b w:val="false"/>
                <w:bCs w:val="false"/>
                <w:i/>
                <w:iCs/>
                <w:sz w:val="20"/>
                <w:szCs w:val="20"/>
              </w:rPr>
              <w:t xml:space="preserve">et al.</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2015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50</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300</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Blink rate, completeness</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Reading medium</w:t>
            </w:r>
          </w:p>
        </w:tc>
      </w:tr>
      <w:tr>
        <w:tc>
          <w:tcPr>
            <w:tcW w:type="dxa" w:w="953"/>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Proposed study</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130</w:t>
            </w:r>
          </w:p>
        </w:tc>
        <w:tc>
          <w:tcPr>
            <w:tcW w:type="dxa" w:w="1305"/>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10</w:t>
            </w:r>
          </w:p>
        </w:tc>
        <w:tc>
          <w:tcPr>
            <w:tcW w:type="dxa" w:w="1576"/>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1,300</w:t>
            </w:r>
          </w:p>
        </w:tc>
        <w:tc>
          <w:tcPr>
            <w:tcW w:type="dxa" w:w="1972"/>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Incomplete-blink ratio, blink rate, IBI, PERCLOS</w:t>
            </w:r>
          </w:p>
        </w:tc>
        <w:tc>
          <w:tcPr>
            <w:tcW w:type="dxa" w:w="1820"/>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Polarity × colour, illumination controlled</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Precision on the primary outcome follows the number of condition-runs rather than the number of participants, and no located study combines a sample of this size with per-condition ocular measurement under a manipulated display parameter.</w:t>
      </w:r>
    </w:p>
    <w:p>
      <w:pPr>
        <w:spacing w:after="140" w:line="340" w:lineRule="auto"/>
        <w:jc w:val="both"/>
      </w:pPr>
      <w:r>
        <w:rPr>
          <w:rFonts w:ascii="Times New Roman" w:cs="Times New Roman" w:eastAsia="Times New Roman" w:hAnsi="Times New Roman"/>
          <w:b/>
          <w:bCs/>
          <w:i w:val="false"/>
          <w:iCs w:val="false"/>
          <w:sz w:val="24"/>
          <w:szCs w:val="24"/>
        </w:rPr>
        <w:t xml:space="preserve">Figure 3.3 — Participant flow.</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Approached and assessed for eligibility (target ≈ 180)</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Screened: acuity, refraction, binocular status, colour vision</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Enrolled and consented (n = 145); sequential enrolment number assigned</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Single sitting at 300 lux: ten conditions in Williams order</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Withdrawal, non-completion or data-quality exclusion recorded</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Analysed (target n = 130; 1,300 condition-runs)</w:t>
            </w:r>
          </w:p>
        </w:tc>
      </w:tr>
    </w:tbl>
    <w:p>
      <w:pPr>
        <w:spacing w:after="160"/>
      </w:pPr>
      <w:r>
        <w:rPr>
          <w:rFonts w:ascii="Times New Roman" w:cs="Times New Roman" w:eastAsia="Times New Roman" w:hAnsi="Times New Roman"/>
          <w:sz w:val="24"/>
          <w:szCs w:val="24"/>
        </w:rPr>
        <w:t xml:space="preserve"/>
      </w:r>
    </w:p>
    <w:p>
      <w:pPr>
        <w:pStyle w:val="Heading2"/>
        <w:keepNext/>
        <w:spacing w:after="160" w:before="280"/>
      </w:pPr>
      <w:r>
        <w:rPr>
          <w:rFonts w:ascii="Times New Roman" w:cs="Times New Roman" w:eastAsia="Times New Roman" w:hAnsi="Times New Roman"/>
          <w:b/>
          <w:bCs/>
          <w:i w:val="false"/>
          <w:iCs w:val="false"/>
          <w:sz w:val="28"/>
          <w:szCs w:val="28"/>
        </w:rPr>
        <w:t xml:space="preserve">3.3 Display conditions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All conditions are presented on one tablet at a fixed white luminance, characterised photometrically before collection. Hex values are locked and contrast is computed from them, entering the analysis as a covariate.</w:t>
      </w:r>
    </w:p>
    <w:p>
      <w:pPr>
        <w:spacing w:after="140" w:line="340" w:lineRule="auto"/>
        <w:jc w:val="both"/>
      </w:pPr>
      <w:r>
        <w:rPr>
          <w:rFonts w:ascii="Times New Roman" w:cs="Times New Roman" w:eastAsia="Times New Roman" w:hAnsi="Times New Roman"/>
          <w:b/>
          <w:bCs/>
          <w:i w:val="false"/>
          <w:iCs w:val="false"/>
          <w:sz w:val="24"/>
          <w:szCs w:val="24"/>
        </w:rPr>
        <w:t xml:space="preserve">Table 3.3 — The ten display conditions with computed contrast.</w:t>
      </w:r>
    </w:p>
    <w:tbl>
      <w:tblPr>
        <w:tblW w:type="dxa" w:w="9026"/>
        <w:tblBorders>
          <w:top w:val="single" w:color="8899AA" w:sz="4"/>
          <w:left w:val="single" w:color="8899AA" w:sz="4"/>
          <w:bottom w:val="single" w:color="8899AA" w:sz="4"/>
          <w:right w:val="single" w:color="8899AA" w:sz="4"/>
          <w:insideH w:val="single" w:color="BBC4CC" w:sz="2"/>
          <w:insideV w:val="single" w:color="BBC4CC" w:sz="2"/>
        </w:tblBorders>
        <w:tblLayout w:type="fixed"/>
      </w:tblPr>
      <w:tblGrid>
        <w:gridCol w:w="941"/>
        <w:gridCol w:w="700"/>
        <w:gridCol w:w="1484"/>
        <w:gridCol w:w="1079"/>
        <w:gridCol w:w="1355"/>
        <w:gridCol w:w="1327"/>
        <w:gridCol w:w="1070"/>
        <w:gridCol w:w="1070"/>
      </w:tblGrid>
      <w:tr>
        <w:trPr>
          <w:tblHeader/>
        </w:trPr>
        <w:tc>
          <w:tcPr>
            <w:tcW w:type="dxa" w:w="941"/>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Sl. No.</w:t>
            </w:r>
          </w:p>
        </w:tc>
        <w:tc>
          <w:tcPr>
            <w:tcW w:type="dxa" w:w="70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Code</w:t>
            </w:r>
          </w:p>
        </w:tc>
        <w:tc>
          <w:tcPr>
            <w:tcW w:type="dxa" w:w="1484"/>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Text colour</w:t>
            </w:r>
          </w:p>
        </w:tc>
        <w:tc>
          <w:tcPr>
            <w:tcW w:type="dxa" w:w="1079"/>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Text hex</w:t>
            </w:r>
          </w:p>
        </w:tc>
        <w:tc>
          <w:tcPr>
            <w:tcW w:type="dxa" w:w="1355"/>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Background</w:t>
            </w:r>
          </w:p>
        </w:tc>
        <w:tc>
          <w:tcPr>
            <w:tcW w:type="dxa" w:w="1327"/>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WCAG ratio</w:t>
            </w:r>
          </w:p>
        </w:tc>
        <w:tc>
          <w:tcPr>
            <w:tcW w:type="dxa" w:w="107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Level</w:t>
            </w:r>
          </w:p>
        </w:tc>
        <w:tc>
          <w:tcPr>
            <w:tcW w:type="dxa" w:w="1070"/>
            <w:shd w:fill="E8EEF7" w:color="auto" w:val="clear"/>
            <w:tcMar>
              <w:top w:type="dxa" w:w="60"/>
              <w:left w:type="dxa" w:w="60"/>
              <w:bottom w:type="dxa" w:w="60"/>
              <w:right w:type="dxa" w:w="60"/>
            </w:tcMar>
          </w:tcPr>
          <w:p>
            <w:pPr>
              <w:spacing w:after="20" w:before="20" w:line="240" w:lineRule="auto"/>
            </w:pPr>
            <w:r>
              <w:rPr>
                <w:rFonts w:ascii="Times New Roman" w:cs="Times New Roman" w:eastAsia="Times New Roman" w:hAnsi="Times New Roman"/>
                <w:b/>
                <w:bCs/>
                <w:i w:val="false"/>
                <w:iCs w:val="false"/>
                <w:sz w:val="20"/>
                <w:szCs w:val="20"/>
              </w:rPr>
              <w:t xml:space="preserve">Below AA</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P1</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Achromatic</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21.00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P2</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Blue</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#1E4ED8</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6.70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P3</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Red</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#C81E1E</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5.74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4</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P4</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Yellow</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#C9A400</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2.39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Fail</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Yes</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5</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P5</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Green</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#00A651</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3.19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 Large</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Yes</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N1</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Achromatic</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#FFFFFF</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21.00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7</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N2</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Blue</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#1E4ED8</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3.14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 Large</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Yes</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8</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N3</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Red</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#C81E1E</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3.66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 Large</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Yes</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9</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N4</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Yellow</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#C9A400</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8.79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r>
        <w:tc>
          <w:tcPr>
            <w:tcW w:type="dxa" w:w="941"/>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10</w:t>
            </w:r>
          </w:p>
        </w:tc>
        <w:tc>
          <w:tcPr>
            <w:tcW w:type="dxa" w:w="70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N5</w:t>
            </w:r>
          </w:p>
        </w:tc>
        <w:tc>
          <w:tcPr>
            <w:tcW w:type="dxa" w:w="1484"/>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Green</w:t>
            </w:r>
          </w:p>
        </w:tc>
        <w:tc>
          <w:tcPr>
            <w:tcW w:type="dxa" w:w="1079"/>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#00A651</w:t>
            </w:r>
          </w:p>
        </w:tc>
        <w:tc>
          <w:tcPr>
            <w:tcW w:type="dxa" w:w="1355"/>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#000000</w:t>
            </w:r>
          </w:p>
        </w:tc>
        <w:tc>
          <w:tcPr>
            <w:tcW w:type="dxa" w:w="1327"/>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6.57 : 1</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AA</w:t>
            </w:r>
          </w:p>
        </w:tc>
        <w:tc>
          <w:tcPr>
            <w:tcW w:type="dxa" w:w="1070"/>
            <w:tcMar>
              <w:top w:type="dxa" w:w="60"/>
              <w:left w:type="dxa" w:w="60"/>
              <w:bottom w:type="dxa" w:w="60"/>
              <w:right w:type="dxa" w:w="60"/>
            </w:tcMar>
          </w:tcPr>
          <w:p>
            <w:pPr>
              <w:spacing w:after="20" w:before="20" w:line="240" w:lineRule="auto"/>
            </w:pPr>
            <w:r>
              <w:rPr>
                <w:rFonts w:ascii="Times New Roman" w:cs="Times New Roman" w:eastAsia="Times New Roman" w:hAnsi="Times New Roman"/>
                <w:b w:val="false"/>
                <w:bCs w:val="false"/>
                <w:i w:val="false"/>
                <w:iCs w:val="false"/>
                <w:sz w:val="20"/>
                <w:szCs w:val="20"/>
              </w:rPr>
              <w:t xml:space="preserve">No</w:t>
            </w:r>
          </w:p>
        </w:tc>
      </w:tr>
    </w:tbl>
    <w:p>
      <w:pPr>
        <w:spacing w:after="200"/>
      </w:pPr>
      <w:r>
        <w:rPr>
          <w:sz w:val="12"/>
          <w:szCs w:val="12"/>
        </w:rPr>
        <w:t xml:space="preserve"/>
      </w:r>
    </w:p>
    <w:p>
      <w:pPr>
        <w:spacing w:after="140" w:line="340" w:lineRule="auto"/>
        <w:jc w:val="both"/>
      </w:pPr>
      <w:r>
        <w:rPr>
          <w:rFonts w:ascii="Times New Roman" w:cs="Times New Roman" w:eastAsia="Times New Roman" w:hAnsi="Times New Roman"/>
          <w:b/>
          <w:bCs/>
          <w:i w:val="false"/>
          <w:iCs w:val="false"/>
          <w:sz w:val="24"/>
          <w:szCs w:val="24"/>
        </w:rPr>
        <w:t xml:space="preserve">Figure 3.4 — Why the colour ordering must reverse between polarities, and what that tests.</w:t>
      </w:r>
    </w:p>
    <w:p>
      <w:pPr>
        <w:spacing w:after="140" w:before="120"/>
        <w:jc w:val="center"/>
      </w:pPr>
      <w:r>
        <w:drawing>
          <wp:inline distT="0" distB="0" distL="0" distR="0">
            <wp:extent cx="4000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90775"/>
                    </a:xfrm>
                    <a:prstGeom prst="rect">
                      <a:avLst/>
                    </a:prstGeom>
                  </pic:spPr>
                </pic:pic>
              </a:graphicData>
            </a:graphic>
          </wp:inline>
        </w:drawing>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Two properties govern the analysis. The contrast ordering is exactly inverted between polarities — arithmetic, not design — so a contrast-mediated colour effect must cross over between them and a residual hue effect must not. The achromatic pair is contrast-matched at 21.00:1 in both, giving the one comparison in which a polarity effect cannot be attributed to contrast. Two conditions fall below the accessibility minimum in each polarity, so polarity is unconfounded with compliance.</w:t>
      </w:r>
    </w:p>
    <w:p>
      <w:pPr>
        <w:pStyle w:val="Heading2"/>
        <w:keepNext/>
        <w:spacing w:after="160" w:before="280"/>
      </w:pPr>
      <w:r>
        <w:rPr>
          <w:rFonts w:ascii="Times New Roman" w:cs="Times New Roman" w:eastAsia="Times New Roman" w:hAnsi="Times New Roman"/>
          <w:b/>
          <w:bCs/>
          <w:i w:val="false"/>
          <w:iCs w:val="false"/>
          <w:sz w:val="28"/>
          <w:szCs w:val="28"/>
        </w:rPr>
        <w:t xml:space="preserve">3.4 Ambient illumination as a controlled constant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Illuminance is set to 300 lux (accepted 250–350), verified at the eye position and the display plane with a calibrated meter and logged at the start, middle and end of every sitting; a reading outside the band is a recorded protocol deviation. Colour temperature and light-source type are held constant and daylight excluded.</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level was fixed on photometric grounds rather than by reference to a lighting standard: published guidance for work with self-luminous displays places ambient illuminance around this range, but the specific figures could not be verified against the standards themselves and are therefore not cited. Critically, it is high enough that room light rather than the display dominates the illuminance on the reader's face: because the ocular measures are camera-derived, and the modelled ratio of face illuminance between polarities is about 2.3 at 10 lux against 1.05 at 300, a dimmer room would make camera exposure vary with the primary independent variable.</w:t>
      </w:r>
    </w:p>
    <w:p>
      <w:pPr>
        <w:pStyle w:val="Heading2"/>
        <w:keepNext/>
        <w:spacing w:after="160" w:before="280"/>
      </w:pPr>
      <w:r>
        <w:rPr>
          <w:rFonts w:ascii="Times New Roman" w:cs="Times New Roman" w:eastAsia="Times New Roman" w:hAnsi="Times New Roman"/>
          <w:b/>
          <w:bCs/>
          <w:i w:val="false"/>
          <w:iCs w:val="false"/>
          <w:sz w:val="28"/>
          <w:szCs w:val="28"/>
        </w:rPr>
        <w:t xml:space="preserve">3.5 Instrumentation and measures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 purpose-built, offline-capable tablet application presents the ten conditions with locked colour values and a neutral grey adaptation field between them, timestamping task onsets to the frame. Ocular measures come from the front camera by facial-landmark tracking; no video leaves the device unless separately consented.</w:t>
      </w:r>
    </w:p>
    <w:p>
      <w:pPr>
        <w:spacing w:after="140" w:line="340" w:lineRule="auto"/>
        <w:jc w:val="both"/>
      </w:pPr>
      <w:r>
        <w:rPr>
          <w:rFonts w:ascii="Times New Roman" w:cs="Times New Roman" w:eastAsia="Times New Roman" w:hAnsi="Times New Roman"/>
          <w:b/>
          <w:bCs/>
          <w:i w:val="false"/>
          <w:iCs w:val="false"/>
          <w:sz w:val="24"/>
          <w:szCs w:val="24"/>
        </w:rPr>
        <w:t xml:space="preserve">Figure 3.5 — How a blink is classified, and what makes one incomplete.</w:t>
      </w:r>
    </w:p>
    <w:p>
      <w:pPr>
        <w:spacing w:after="140" w:before="120"/>
        <w:jc w:val="center"/>
      </w:pPr>
      <w:r>
        <w:drawing>
          <wp:inline distT="0" distB="0" distL="0" distR="0">
            <wp:extent cx="4000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09750"/>
                    </a:xfrm>
                    <a:prstGeom prst="rect">
                      <a:avLst/>
                    </a:prstGeom>
                  </pic:spPr>
                </pic:pic>
              </a:graphicData>
            </a:graphic>
          </wp:inline>
        </w:drawing>
      </w:r>
    </w:p>
    <w:p>
      <w:pPr>
        <w:spacing w:after="140" w:line="340" w:lineRule="auto"/>
        <w:jc w:val="both"/>
      </w:pPr>
      <w:r>
        <w:rPr>
          <w:rFonts w:ascii="Times New Roman" w:cs="Times New Roman" w:eastAsia="Times New Roman" w:hAnsi="Times New Roman"/>
          <w:b/>
          <w:bCs/>
          <w:i w:val="false"/>
          <w:iCs w:val="false"/>
          <w:sz w:val="24"/>
          <w:szCs w:val="24"/>
        </w:rPr>
        <w:t xml:space="preserve">Precision.</w:t>
      </w:r>
      <w:r>
        <w:rPr>
          <w:rFonts w:ascii="Times New Roman" w:cs="Times New Roman" w:eastAsia="Times New Roman" w:hAnsi="Times New Roman"/>
          <w:b w:val="false"/>
          <w:bCs w:val="false"/>
          <w:i w:val="false"/>
          <w:iCs w:val="false"/>
          <w:sz w:val="24"/>
          <w:szCs w:val="24"/>
        </w:rPr>
        <w:t xml:space="preserve"> The incomplete-blink ratio is a binomial proportion, so precision follows the blinks captured. Passages of four pages and 570 to 600 words give an exposure of 178 seconds, about 39 blinks, and a condition-level standard error near 0.06; the count is exported with every ratio, and runs below 20 blinks are flagged.</w:t>
      </w:r>
    </w:p>
    <w:p>
      <w:pPr>
        <w:spacing w:after="140" w:line="340" w:lineRule="auto"/>
        <w:jc w:val="both"/>
      </w:pPr>
      <w:r>
        <w:rPr>
          <w:rFonts w:ascii="Times New Roman" w:cs="Times New Roman" w:eastAsia="Times New Roman" w:hAnsi="Times New Roman"/>
          <w:b/>
          <w:bCs/>
          <w:i w:val="false"/>
          <w:iCs w:val="false"/>
          <w:sz w:val="24"/>
          <w:szCs w:val="24"/>
        </w:rPr>
        <w:t xml:space="preserve">Validation.</w:t>
      </w:r>
      <w:r>
        <w:rPr>
          <w:rFonts w:ascii="Times New Roman" w:cs="Times New Roman" w:eastAsia="Times New Roman" w:hAnsi="Times New Roman"/>
          <w:b w:val="false"/>
          <w:bCs w:val="false"/>
          <w:i w:val="false"/>
          <w:iCs w:val="false"/>
          <w:sz w:val="24"/>
          <w:szCs w:val="24"/>
        </w:rPr>
        <w:t xml:space="preserve"> A subsample of twenty participants contributes two 3-minute segments each for masked frame-by-frame annotation, against which the automated classifier is assessed by Cohen's kappa and Bland–Altman bias (criteria: kappa ≥ 0.60, the conventional threshold for substantial agreement, and bias within ±5 percentage points).</w:t>
      </w:r>
    </w:p>
    <w:p>
      <w:pPr>
        <w:pStyle w:val="Heading2"/>
        <w:keepNext/>
        <w:spacing w:after="160" w:before="280"/>
      </w:pPr>
      <w:r>
        <w:rPr>
          <w:rFonts w:ascii="Times New Roman" w:cs="Times New Roman" w:eastAsia="Times New Roman" w:hAnsi="Times New Roman"/>
          <w:b/>
          <w:bCs/>
          <w:i w:val="false"/>
          <w:iCs w:val="false"/>
          <w:sz w:val="28"/>
          <w:szCs w:val="28"/>
        </w:rPr>
        <w:t xml:space="preserve">3.6 Procedure</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After consent, screening and profiling, the participant is seated 50 to 60 cm from the display, the room verified at 300 lux, and calibration and baseline questionnaires completed. The ten conditions then run in the assigned Williams order.</w:t>
      </w:r>
    </w:p>
    <w:p>
      <w:pPr>
        <w:spacing w:after="140" w:line="340" w:lineRule="auto"/>
        <w:jc w:val="both"/>
      </w:pPr>
      <w:r>
        <w:rPr>
          <w:rFonts w:ascii="Times New Roman" w:cs="Times New Roman" w:eastAsia="Times New Roman" w:hAnsi="Times New Roman"/>
          <w:b/>
          <w:bCs/>
          <w:i w:val="false"/>
          <w:iCs w:val="false"/>
          <w:sz w:val="24"/>
          <w:szCs w:val="24"/>
        </w:rPr>
        <w:t xml:space="preserve">Figure 3.6 — One condition-run.</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Adaptation on neutral grey, 60 s (120 s when polarity switches)</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Reading task — the exposure that produces the primary outcome</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8625"/>
        <w:jc w:val="center"/>
        <w:tblBorders>
          <w:top w:val="single" w:color="5A6B7C" w:sz="6"/>
          <w:left w:val="single" w:color="5A6B7C" w:sz="6"/>
          <w:bottom w:val="single" w:color="5A6B7C" w:sz="6"/>
          <w:right w:val="single" w:color="5A6B7C" w:sz="6"/>
          <w:insideH w:val="single" w:color="9FB3C8" w:sz="4"/>
          <w:insideV w:val="single" w:color="9FB3C8" w:sz="4"/>
        </w:tblBorders>
        <w:tblLayout w:type="fixed"/>
      </w:tblPr>
      <w:tblGrid>
        <w:gridCol w:w="2875"/>
        <w:gridCol w:w="2875"/>
        <w:gridCol w:w="2875"/>
      </w:tblGrid>
      <w:tr>
        <w:tc>
          <w:tcPr>
            <w:tcW w:type="dxa" w:w="2875"/>
            <w:shd w:fill="EEF3FA" w:color="auto" w:val="clear"/>
            <w:tcMar>
              <w:top w:type="dxa" w:w="80"/>
              <w:left w:type="dxa" w:w="120"/>
              <w:bottom w:type="dxa" w:w="80"/>
              <w:right w:type="dxa" w:w="12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Comprehension, three questions</w:t>
            </w:r>
          </w:p>
        </w:tc>
        <w:tc>
          <w:tcPr>
            <w:tcW w:type="dxa" w:w="2875"/>
            <w:shd w:fill="EEF3FA" w:color="auto" w:val="clear"/>
            <w:tcMar>
              <w:top w:type="dxa" w:w="80"/>
              <w:left w:type="dxa" w:w="120"/>
              <w:bottom w:type="dxa" w:w="80"/>
              <w:right w:type="dxa" w:w="12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Display-perception rating</w:t>
            </w:r>
          </w:p>
        </w:tc>
        <w:tc>
          <w:tcPr>
            <w:tcW w:type="dxa" w:w="2875"/>
            <w:shd w:fill="EEF3FA" w:color="auto" w:val="clear"/>
            <w:tcMar>
              <w:top w:type="dxa" w:w="80"/>
              <w:left w:type="dxa" w:w="120"/>
              <w:bottom w:type="dxa" w:w="80"/>
              <w:right w:type="dxa" w:w="12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Visual-fatigue VAS</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Visual search — tap every occurrence of a target word</w:t>
            </w:r>
          </w:p>
        </w:tc>
      </w:tr>
    </w:tbl>
    <w:p>
      <w:pPr>
        <w:spacing w:after="0" w:before="0"/>
        <w:jc w:val="center"/>
      </w:pPr>
      <w:r>
        <w:rPr>
          <w:rFonts w:ascii="Times New Roman" w:cs="Times New Roman" w:eastAsia="Times New Roman" w:hAnsi="Times New Roman"/>
          <w:color w:val="5A6B7C"/>
          <w:sz w:val="26"/>
          <w:szCs w:val="26"/>
        </w:rPr>
        <w:t xml:space="preserve">↓</w:t>
      </w:r>
    </w:p>
    <w:tbl>
      <w:tblPr>
        <w:tblW w:type="dxa" w:w="7200"/>
        <w:jc w:val="center"/>
        <w:tblBorders>
          <w:top w:val="single" w:color="5A6B7C" w:sz="6"/>
          <w:left w:val="single" w:color="5A6B7C" w:sz="6"/>
          <w:bottom w:val="single" w:color="5A6B7C" w:sz="6"/>
          <w:right w:val="single" w:color="5A6B7C" w:sz="6"/>
          <w:insideH w:val="none" w:color="FFFFFF" w:sz="0"/>
          <w:insideV w:val="none" w:color="FFFFFF" w:sz="0"/>
        </w:tblBorders>
        <w:tblLayout w:type="fixed"/>
      </w:tblPr>
      <w:tblGrid>
        <w:gridCol w:w="7200"/>
      </w:tblGrid>
      <w:tr>
        <w:tc>
          <w:tcPr>
            <w:tcW w:type="dxa" w:w="7200"/>
            <w:shd w:fill="EEF3FA" w:color="auto" w:val="clear"/>
            <w:tcMar>
              <w:top w:type="dxa" w:w="80"/>
              <w:left w:type="dxa" w:w="140"/>
              <w:bottom w:type="dxa" w:w="80"/>
              <w:right w:type="dxa" w:w="140"/>
            </w:tcMa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Go/no-go reaction time — 32 trials on the active background</w:t>
            </w:r>
          </w:p>
        </w:tc>
      </w:tr>
    </w:tbl>
    <w:p>
      <w:pPr>
        <w:spacing w:after="160"/>
      </w:pPr>
      <w:r>
        <w:rPr>
          <w:rFonts w:ascii="Times New Roman" w:cs="Times New Roman" w:eastAsia="Times New Roman" w:hAnsi="Times New Roman"/>
          <w:sz w:val="24"/>
          <w:szCs w:val="24"/>
        </w:rPr>
        <w:t xml:space="preserve"/>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A self-paced rest follows every second condition and no performance feedback is given. The sitting closes with the CVS-Q repeated and NASA-TLX once. Simulation over 2,000 synthetic participants gives a median of 98 minutes and a 95th percentile of 119 — also the total contact time, there being one visit. A pilot of ten precedes the main study; failing a 120-minute median, one withdrawal in ten, or 0.90 face presence in a tenth of runs, the conditions are split across two sittings of five.</w:t>
      </w:r>
    </w:p>
    <w:p>
      <w:pPr>
        <w:pStyle w:val="Heading2"/>
        <w:keepNext/>
        <w:spacing w:after="160" w:before="280"/>
      </w:pPr>
      <w:r>
        <w:rPr>
          <w:rFonts w:ascii="Times New Roman" w:cs="Times New Roman" w:eastAsia="Times New Roman" w:hAnsi="Times New Roman"/>
          <w:b/>
          <w:bCs/>
          <w:i w:val="false"/>
          <w:iCs w:val="false"/>
          <w:sz w:val="28"/>
          <w:szCs w:val="28"/>
        </w:rPr>
        <w:t xml:space="preserve">3.7 Variables and outcomes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Independent variables are display polarity and text colour; ambient illuminance is a controlled constant and a manipulation check. Covariates are serial position, measured illuminance and display luminance, computed contrast, PERCLOS, achieved sampling rate, refractive and binocular status, and the profiling variables.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primary outcome is the incomplete-blink ratio; the key secondary outcome is the change in CVS-Q from baseline (Seguí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Secondary and exploratory measures are blink rate and inter-blink interval; PERCLOS, head pose and face-presence ratio as drowsiness and quality indices; a five-item visual-fatigue VAS and display comfort and clarity ratings per condition; NASA-TLX once per sitting (Hart &amp; Staveland, 1988); and, for performance, reading rate, comprehension accuracy, visual-search accuracy and efficiency, and reaction-time mean, variability, lapse rate, d′ and criterion. Confirmatory inference is confined to the primary outcome.</w:t>
      </w:r>
    </w:p>
    <w:p>
      <w:pPr>
        <w:pStyle w:val="Heading2"/>
        <w:keepNext/>
        <w:spacing w:after="160" w:before="280"/>
      </w:pPr>
      <w:r>
        <w:rPr>
          <w:rFonts w:ascii="Times New Roman" w:cs="Times New Roman" w:eastAsia="Times New Roman" w:hAnsi="Times New Roman"/>
          <w:b/>
          <w:bCs/>
          <w:i w:val="false"/>
          <w:iCs w:val="false"/>
          <w:sz w:val="28"/>
          <w:szCs w:val="28"/>
        </w:rPr>
        <w:t xml:space="preserve">3.8 Counterbalancing</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Two order-related threats arise: serial-position effects from the vigilance decrement and accumulating fatigue, and first-order carryover, notably the light-adaptation transient at a polarity switch. A balanced Williams-type Latin square over the ten conditions addresses both, since each condition occupies each serial position equally often across a complete block and precedes and follows every other equally often. Participants are assigned to rows by sequential enrolment index, with complete balance in blocks of ten. Where a sitting is split for scheduling, the row continues rather than restarting.</w:t>
      </w:r>
    </w:p>
    <w:p>
      <w:pPr>
        <w:pStyle w:val="Heading2"/>
        <w:keepNext/>
        <w:spacing w:after="160" w:before="280"/>
      </w:pPr>
      <w:r>
        <w:rPr>
          <w:rFonts w:ascii="Times New Roman" w:cs="Times New Roman" w:eastAsia="Times New Roman" w:hAnsi="Times New Roman"/>
          <w:b/>
          <w:bCs/>
          <w:i w:val="false"/>
          <w:iCs w:val="false"/>
          <w:sz w:val="28"/>
          <w:szCs w:val="28"/>
        </w:rPr>
        <w:t xml:space="preserve">3.9 Statistical analysis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confirmatory analysis is a binomial mixed-effects model of the incomplete-blink counts, with fixed effects for polarity, text colour, their interaction and serial position, and a random intercept for participant with a random slope for polarity where supported. Modelling counts rather than the ratio is deliberate: a proportion from five blinks and one from sixty are not equally informative, and a Gaussian model would treat them as though they were. A non-converging random structure is reduced in a pre-specified order and the reduction reported.</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For Objective 2, colour as a categorical factor is compared against luminance contrast as a continuous predictor, so comparative fit and residual hue terms quantify each contribution. Moderation is tested by condition-by-moderator interactions. Ordinal cumulative-link models serve rating outcomes and binomial models accuracy. Sensitivity analyses exclude flagged conditions and add PERCLOS as a covariate. Effect sizes with confidence intervals and multiplicity control within outcome families are reported throughout.</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Each export carries a manifest of per-file checksums and build provenance, and an integrity report flagging incomplete condition sets, gaps in serial position and unattributable sessions; failing rows are retained and flagged rather than dropped, so exclusions are auditable and missingness is never silent.</w:t>
      </w:r>
    </w:p>
    <w:p>
      <w:pPr>
        <w:pStyle w:val="Heading2"/>
        <w:keepNext/>
        <w:spacing w:after="160" w:before="280"/>
      </w:pPr>
      <w:r>
        <w:rPr>
          <w:rFonts w:ascii="Times New Roman" w:cs="Times New Roman" w:eastAsia="Times New Roman" w:hAnsi="Times New Roman"/>
          <w:b/>
          <w:bCs/>
          <w:i w:val="false"/>
          <w:iCs w:val="false"/>
          <w:sz w:val="28"/>
          <w:szCs w:val="28"/>
        </w:rPr>
        <w:t xml:space="preserve">3.10 Ethical considerations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study begins after Institutional Ethics Committee approval and follows the Declaration of Helsinki. Written informed consent precedes any procedure, and participation is voluntary and withdrawable without penalty.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Camera use is separately consented. By default the front camera computes numeric measures only — blink metrics and head position — and images are discarded immediately and never stored. Retaining two setup photographs, and reading video for the annotation sub-study, are separate default-off grants; declining either does not affect participation, and a grant may be withdrawn afterwards, whereupon the recordings it covered are destroyed while the numeric data are retained. Records are held under a participant code with the link to identity stored separately. Risks are limited to transient visual fatigue, mitigated by rest breaks, the right to stop at any time, and advice not to drive immediately afterwards.</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1"/>
        <w:keepNext/>
        <w:spacing w:after="160" w:before="320"/>
      </w:pPr>
      <w:r>
        <w:rPr>
          <w:rFonts w:ascii="Times New Roman" w:cs="Times New Roman" w:eastAsia="Times New Roman" w:hAnsi="Times New Roman"/>
          <w:b/>
          <w:bCs/>
          <w:i w:val="false"/>
          <w:iCs w:val="false"/>
          <w:sz w:val="32"/>
          <w:szCs w:val="32"/>
        </w:rPr>
        <w:t xml:space="preserve">CHAPTER 4: CONCLUSION</w:t>
      </w:r>
    </w:p>
    <w:p>
      <w:pPr>
        <w:pStyle w:val="Heading2"/>
        <w:keepNext/>
        <w:spacing w:after="160" w:before="280"/>
      </w:pPr>
      <w:r>
        <w:rPr>
          <w:rFonts w:ascii="Times New Roman" w:cs="Times New Roman" w:eastAsia="Times New Roman" w:hAnsi="Times New Roman"/>
          <w:b/>
          <w:bCs/>
          <w:i w:val="false"/>
          <w:iCs w:val="false"/>
          <w:sz w:val="28"/>
          <w:szCs w:val="28"/>
        </w:rPr>
        <w:t xml:space="preserve">4.1 Expected outcomes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study is expected to yield quantified effects, with confidence intervals, of display polarity and text colour on subjective visual fatigue, ocular behaviour, cognitive workload and task performance, and among the first estimates of their interaction on fatigue outcomes — establishing whether the positive polarity advantage extends from brief legibility tasks to prolonged reading and ocular-surface outcomes. Because the contrast ordering of the colours reverses across polarity, a crossover interaction would support contrast mediation while a preserved ordering would indicate residual hue-specific effects, with red the candidate exception. The study will further identify the configurations that minimise and maximise fatigue, indicate whether a polarity-blind contrast criterion predicts measured readability, and report the automated blink measure's agreement with manual annotation.</w:t>
      </w:r>
    </w:p>
    <w:p>
      <w:pPr>
        <w:pStyle w:val="Heading2"/>
        <w:keepNext/>
        <w:spacing w:after="160" w:before="280"/>
      </w:pPr>
      <w:r>
        <w:rPr>
          <w:rFonts w:ascii="Times New Roman" w:cs="Times New Roman" w:eastAsia="Times New Roman" w:hAnsi="Times New Roman"/>
          <w:b/>
          <w:bCs/>
          <w:i w:val="false"/>
          <w:iCs w:val="false"/>
          <w:sz w:val="28"/>
          <w:szCs w:val="28"/>
        </w:rPr>
        <w:t xml:space="preserve">4.2 Significance of the study</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Display configuration is a preventive measure that costs nothing and can be deployed at population scale for a condition affecting roughly seven in ten screen users. The findings give an empirically grounded specification of text presentation and dark-mode implementation for reading applications, e-readers and operating-system themes; they bear on accessibility standards by indicating whether polarity must enter a contrast criterion; and they inform the advice optometrists give patients, an area in which practitioners are documented to lack quality evidence. Methodologically, a scalable instrument relieves the annotation bottleneck that has confined this literature to small samples.</w:t>
      </w:r>
    </w:p>
    <w:p>
      <w:pPr>
        <w:pStyle w:val="Heading2"/>
        <w:keepNext/>
        <w:spacing w:after="160" w:before="280"/>
      </w:pPr>
      <w:r>
        <w:rPr>
          <w:rFonts w:ascii="Times New Roman" w:cs="Times New Roman" w:eastAsia="Times New Roman" w:hAnsi="Times New Roman"/>
          <w:b/>
          <w:bCs/>
          <w:i w:val="false"/>
          <w:iCs w:val="false"/>
          <w:sz w:val="28"/>
          <w:szCs w:val="28"/>
        </w:rPr>
        <w:t xml:space="preserve">4.3 Limitations and delimitations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Polarity is not fully orthogonal to luminance contrast, pigments differing intrinsically in luminance, nor to mean display luminance, white rather than mean luminance being held constant; Buchner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(2009) report that the advantage disappears when overall luminance is equalised, so what is estimated here is polarity with its attendant luminance. Contrast is measured and modelled, but causal attribution is constrained.</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Camera metrology is screening-grade: coarser and slower than infrared eye tracking, limited to gaze zones, gated on achieved frame rate, and blind to accommodation, which places accommodative outcomes outside this scope. Precision within a condition is bounded by the blinks it captures, giving a condition-level standard error near 0.06, so the power figures in Table 3.1 are upper bounds and blink counts are exported with every ratio. The manipulation cannot be blinded, leaving expectation effects on subjective ratings possible; generic fatigue and boredom are counterbalanced and modelled rather than eliminated; the NASA Task Load Index, administered once per sitting, is a descriptive session-level index rather than a contrast; and PERCLOS is insensitive to moderate drowsiness.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Holding ambient illumination constant forfeits the polarity-by-room-light interaction — the form the popular claim about dark mode actually takes — places night-time reading outside scope, and prevents this study speaking to Sethi and Ziat (2023), who located the cognitive cost of negative polarity in younger adults specifically under dim conditions. The reason is measurement rather than convenience: at low illuminance the light reaching the face is dominated by the display, so camera-derived blink measures would have carried an artefact aligned with the primary independent variable (Section 2.4). The narrowing is real, and the findings hold at a single display-to-ambient ratio.</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Findings are further specific to the device, display technology, luminance range and population studied: adults aged 18 to 35 with normal or corrected vision and no colour-vision deficiency. Presbyopic, paediatric and colour-vision-deficient populations, in whom polarity effects may differ, are identified as future work.</w:t>
      </w:r>
    </w:p>
    <w:p>
      <w:pPr>
        <w:pStyle w:val="Heading2"/>
        <w:keepNext/>
        <w:spacing w:after="160" w:before="280"/>
      </w:pPr>
      <w:r>
        <w:rPr>
          <w:rFonts w:ascii="Times New Roman" w:cs="Times New Roman" w:eastAsia="Times New Roman" w:hAnsi="Times New Roman"/>
          <w:b/>
          <w:bCs/>
          <w:i w:val="false"/>
          <w:iCs w:val="false"/>
          <w:sz w:val="28"/>
          <w:szCs w:val="28"/>
        </w:rPr>
        <w:t xml:space="preserve">4.4 Concluding remarks</w:t>
      </w:r>
    </w:p>
    <w:p>
      <w:pPr>
        <w:spacing w:after="140" w:line="340" w:lineRule="auto"/>
        <w:jc w:val="both"/>
      </w:pPr>
      <w:r>
        <w:rPr>
          <w:rFonts w:ascii="Times New Roman" w:cs="Times New Roman" w:eastAsia="Times New Roman" w:hAnsi="Times New Roman"/>
          <w:b w:val="false"/>
          <w:bCs w:val="false"/>
          <w:i w:val="false"/>
          <w:iCs w:val="false"/>
          <w:sz w:val="24"/>
          <w:szCs w:val="24"/>
        </w:rPr>
        <w:t xml:space="preserve">The proposed research addresses a determinant of visual health that is ubiquitous, freely modifiable and inadequately evidenced. By crossing display polarity with a five-level text-colour factor at a controlled ambient illuminance, and measuring validated symptoms alongside ocular behaviour, workload and performance in one instrumented protocol, it is intended to provide quantified, standards-relevant evidence on display configuration for prolonged reading, and a measurement approach that may reduce reliance on manual annotation.</w:t>
      </w:r>
    </w:p>
    <w:p>
      <w:pPr>
        <w:pBdr>
          <w:bottom w:val="single" w:color="AAAAAA" w:sz="6" w:space="1"/>
        </w:pBdr>
        <w:spacing w:after="200" w:before="120"/>
      </w:pPr>
      <w:r>
        <w:rPr>
          <w:rFonts w:ascii="Times New Roman" w:cs="Times New Roman" w:eastAsia="Times New Roman" w:hAnsi="Times New Roman"/>
          <w:sz w:val="24"/>
          <w:szCs w:val="24"/>
        </w:rPr>
        <w:t xml:space="preserve"/>
      </w:r>
    </w:p>
    <w:p>
      <w:pPr>
        <w:pStyle w:val="Heading1"/>
        <w:keepNext/>
        <w:spacing w:after="160" w:before="320"/>
      </w:pPr>
      <w:r>
        <w:rPr>
          <w:rFonts w:ascii="Times New Roman" w:cs="Times New Roman" w:eastAsia="Times New Roman" w:hAnsi="Times New Roman"/>
          <w:b/>
          <w:bCs/>
          <w:i w:val="false"/>
          <w:iCs w:val="false"/>
          <w:sz w:val="32"/>
          <w:szCs w:val="32"/>
        </w:rPr>
        <w:t xml:space="preserve">REFERENCES</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Lin, M., Zheng, X., He, C., Li, M., Lu, F., &amp; Hu, L. (2025). Effects of ambient illuminance and mobile phone screen brightness on tear film stability, visual fatigue, and blink patterns during reading. </w:t>
      </w:r>
      <w:r>
        <w:rPr>
          <w:rFonts w:ascii="Times New Roman" w:cs="Times New Roman" w:eastAsia="Times New Roman" w:hAnsi="Times New Roman"/>
          <w:b w:val="false"/>
          <w:bCs w:val="false"/>
          <w:i/>
          <w:iCs/>
          <w:sz w:val="24"/>
          <w:szCs w:val="24"/>
        </w:rPr>
        <w:t xml:space="preserve">Contact Lens and Anterior Eye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49</w:t>
      </w:r>
      <w:r>
        <w:rPr>
          <w:rFonts w:ascii="Times New Roman" w:cs="Times New Roman" w:eastAsia="Times New Roman" w:hAnsi="Times New Roman"/>
          <w:b w:val="false"/>
          <w:bCs w:val="false"/>
          <w:i w:val="false"/>
          <w:iCs w:val="false"/>
          <w:sz w:val="24"/>
          <w:szCs w:val="24"/>
        </w:rPr>
        <w:t xml:space="preserve">(1), 102515. https://doi.org/10.1016/j.clae.2025.102515</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Abe, T. (2023). PERCLOS-based technologies for detecting drowsiness: Current evidence and future directions. </w:t>
      </w:r>
      <w:r>
        <w:rPr>
          <w:rFonts w:ascii="Times New Roman" w:cs="Times New Roman" w:eastAsia="Times New Roman" w:hAnsi="Times New Roman"/>
          <w:b w:val="false"/>
          <w:bCs w:val="false"/>
          <w:i/>
          <w:iCs/>
          <w:sz w:val="24"/>
          <w:szCs w:val="24"/>
        </w:rPr>
        <w:t xml:space="preserve">SLEEP Advances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w:t>
      </w:r>
      <w:r>
        <w:rPr>
          <w:rFonts w:ascii="Times New Roman" w:cs="Times New Roman" w:eastAsia="Times New Roman" w:hAnsi="Times New Roman"/>
          <w:b w:val="false"/>
          <w:bCs w:val="false"/>
          <w:i w:val="false"/>
          <w:iCs w:val="false"/>
          <w:sz w:val="24"/>
          <w:szCs w:val="24"/>
        </w:rPr>
        <w:t xml:space="preserve">(1), zpad006. https://doi.org/10.1093/sleepadvances/zpad006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Abe, T., Mollicone, D., Basner, M., &amp; Dinges, D. F. (2014). Sleepiness and safety: Where biology needs technology. </w:t>
      </w:r>
      <w:r>
        <w:rPr>
          <w:rFonts w:ascii="Times New Roman" w:cs="Times New Roman" w:eastAsia="Times New Roman" w:hAnsi="Times New Roman"/>
          <w:b w:val="false"/>
          <w:bCs w:val="false"/>
          <w:i/>
          <w:iCs/>
          <w:sz w:val="24"/>
          <w:szCs w:val="24"/>
        </w:rPr>
        <w:t xml:space="preserve">Sleep and Biological Rhythms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12</w:t>
      </w:r>
      <w:r>
        <w:rPr>
          <w:rFonts w:ascii="Times New Roman" w:cs="Times New Roman" w:eastAsia="Times New Roman" w:hAnsi="Times New Roman"/>
          <w:b w:val="false"/>
          <w:bCs w:val="false"/>
          <w:i w:val="false"/>
          <w:iCs w:val="false"/>
          <w:sz w:val="24"/>
          <w:szCs w:val="24"/>
        </w:rPr>
        <w:t xml:space="preserve">(2), 74–84. https://doi.org/10.1111/sbr.12067</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Argilés, M., Cardona, G., Pérez-Cabré, E., &amp; Rodríguez, M. (2015). Blink rate and incomplete blinks in six different controlled hard-copy and electronic reading conditions. </w:t>
      </w:r>
      <w:r>
        <w:rPr>
          <w:rFonts w:ascii="Times New Roman" w:cs="Times New Roman" w:eastAsia="Times New Roman" w:hAnsi="Times New Roman"/>
          <w:b w:val="false"/>
          <w:bCs w:val="false"/>
          <w:i/>
          <w:iCs/>
          <w:sz w:val="24"/>
          <w:szCs w:val="24"/>
        </w:rPr>
        <w:t xml:space="preserve">Investigative Ophthalmology &amp; Visual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56</w:t>
      </w:r>
      <w:r>
        <w:rPr>
          <w:rFonts w:ascii="Times New Roman" w:cs="Times New Roman" w:eastAsia="Times New Roman" w:hAnsi="Times New Roman"/>
          <w:b w:val="false"/>
          <w:bCs w:val="false"/>
          <w:i w:val="false"/>
          <w:iCs w:val="false"/>
          <w:sz w:val="24"/>
          <w:szCs w:val="24"/>
        </w:rPr>
        <w:t xml:space="preserve">(11), 6679–6685. https://doi.org/10.1167/iovs.15-16967</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Buchner, A., &amp; Baumgartner, N. (2007). Text–background polarity affects performance irrespective of ambient illumination and colour contrast.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50</w:t>
      </w:r>
      <w:r>
        <w:rPr>
          <w:rFonts w:ascii="Times New Roman" w:cs="Times New Roman" w:eastAsia="Times New Roman" w:hAnsi="Times New Roman"/>
          <w:b w:val="false"/>
          <w:bCs w:val="false"/>
          <w:i w:val="false"/>
          <w:iCs w:val="false"/>
          <w:sz w:val="24"/>
          <w:szCs w:val="24"/>
        </w:rPr>
        <w:t xml:space="preserve">(7), 1036–1063. https://doi.org/10.1080/00140130701306413</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Buchner, A., Mayr, S., &amp; Brandt, M. (2009). The advantage of positive text–background polarity is due to high display luminance.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52</w:t>
      </w:r>
      <w:r>
        <w:rPr>
          <w:rFonts w:ascii="Times New Roman" w:cs="Times New Roman" w:eastAsia="Times New Roman" w:hAnsi="Times New Roman"/>
          <w:b w:val="false"/>
          <w:bCs w:val="false"/>
          <w:i w:val="false"/>
          <w:iCs w:val="false"/>
          <w:sz w:val="24"/>
          <w:szCs w:val="24"/>
        </w:rPr>
        <w:t xml:space="preserve">(7), 882–886. https://doi.org/10.1080/00140130802641635</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Cantó-Sancho, N., Linhares, J., Ronda-Pérez, E., Franco, S., Perales, E., &amp; Seguí-Crespo, M. (2024). Cross-cultural validation into Portuguese of a questionnaire to assess computer vision syndrome in workers exposed to digital devices. </w:t>
      </w:r>
      <w:r>
        <w:rPr>
          <w:rFonts w:ascii="Times New Roman" w:cs="Times New Roman" w:eastAsia="Times New Roman" w:hAnsi="Times New Roman"/>
          <w:b w:val="false"/>
          <w:bCs w:val="false"/>
          <w:i/>
          <w:iCs/>
          <w:sz w:val="24"/>
          <w:szCs w:val="24"/>
        </w:rPr>
        <w:t xml:space="preserve">Arquivos Brasileiros de Oftalmologia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87</w:t>
      </w:r>
      <w:r>
        <w:rPr>
          <w:rFonts w:ascii="Times New Roman" w:cs="Times New Roman" w:eastAsia="Times New Roman" w:hAnsi="Times New Roman"/>
          <w:b w:val="false"/>
          <w:bCs w:val="false"/>
          <w:i w:val="false"/>
          <w:iCs w:val="false"/>
          <w:sz w:val="24"/>
          <w:szCs w:val="24"/>
        </w:rPr>
        <w:t xml:space="preserve">(6), e20220256. https://doi.org/10.5935/0004-2749.2022-0256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Cardona, G., García, C., Serés, C., Vilaseca, M., &amp; Gispets, J. (2011). Blink rate, blink amplitude, and tear film integrity during dynamic visual display terminal tasks. </w:t>
      </w:r>
      <w:r>
        <w:rPr>
          <w:rFonts w:ascii="Times New Roman" w:cs="Times New Roman" w:eastAsia="Times New Roman" w:hAnsi="Times New Roman"/>
          <w:b w:val="false"/>
          <w:bCs w:val="false"/>
          <w:i/>
          <w:iCs/>
          <w:sz w:val="24"/>
          <w:szCs w:val="24"/>
        </w:rPr>
        <w:t xml:space="preserve">Current Eye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36</w:t>
      </w:r>
      <w:r>
        <w:rPr>
          <w:rFonts w:ascii="Times New Roman" w:cs="Times New Roman" w:eastAsia="Times New Roman" w:hAnsi="Times New Roman"/>
          <w:b w:val="false"/>
          <w:bCs w:val="false"/>
          <w:i w:val="false"/>
          <w:iCs w:val="false"/>
          <w:sz w:val="24"/>
          <w:szCs w:val="24"/>
        </w:rPr>
        <w:t xml:space="preserve">(3), 190–197. https://doi.org/10.3109/02713683.2010.544442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Ccami-Bernal, F., Soriano-Moreno, D. R., Romero-Robles, M. A., Barriga-Chambi, F., Tuco, K. G., Castro-Diaz, S. D., Nuñez-Lupaca, J. N., Pacheco-Mendoza, J., Galvez-Olortegui, T., &amp; Benites-Zapata, V. A. (2024). Prevalence of computer vision syndrome: A systematic review and meta-analysis. </w:t>
      </w:r>
      <w:r>
        <w:rPr>
          <w:rFonts w:ascii="Times New Roman" w:cs="Times New Roman" w:eastAsia="Times New Roman" w:hAnsi="Times New Roman"/>
          <w:b w:val="false"/>
          <w:bCs w:val="false"/>
          <w:i/>
          <w:iCs/>
          <w:sz w:val="24"/>
          <w:szCs w:val="24"/>
        </w:rPr>
        <w:t xml:space="preserve">Journal of Optometry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w:t>
      </w:r>
      <w:r>
        <w:rPr>
          <w:rFonts w:ascii="Times New Roman" w:cs="Times New Roman" w:eastAsia="Times New Roman" w:hAnsi="Times New Roman"/>
          <w:b w:val="false"/>
          <w:bCs w:val="false"/>
          <w:i w:val="false"/>
          <w:iCs w:val="false"/>
          <w:sz w:val="24"/>
          <w:szCs w:val="24"/>
        </w:rPr>
        <w:t xml:space="preserve">(1), 100482. https://doi.org/10.1016/j.optom.2023.100482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Delgado, P., Vargas, C., Ackerman, R., &amp; Salmerón, L. (2018). Don't throw away your printed books: A meta-analysis on the effects of reading media on reading comprehension. </w:t>
      </w:r>
      <w:r>
        <w:rPr>
          <w:rFonts w:ascii="Times New Roman" w:cs="Times New Roman" w:eastAsia="Times New Roman" w:hAnsi="Times New Roman"/>
          <w:b w:val="false"/>
          <w:bCs w:val="false"/>
          <w:i/>
          <w:iCs/>
          <w:sz w:val="24"/>
          <w:szCs w:val="24"/>
        </w:rPr>
        <w:t xml:space="preserve">Educational Research Review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25</w:t>
      </w:r>
      <w:r>
        <w:rPr>
          <w:rFonts w:ascii="Times New Roman" w:cs="Times New Roman" w:eastAsia="Times New Roman" w:hAnsi="Times New Roman"/>
          <w:b w:val="false"/>
          <w:bCs w:val="false"/>
          <w:i w:val="false"/>
          <w:iCs w:val="false"/>
          <w:sz w:val="24"/>
          <w:szCs w:val="24"/>
        </w:rPr>
        <w:t xml:space="preserve">, 23–38. https://doi.org/10.1016/j.edurev.2018.09.003</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Dobres, J., Chahine, N., Reimer, B., Gould, D., Mehler, B., &amp; Coughlin, J. F. (2016). Utilising psychophysical techniques to investigate the effects of age, typeface design, size and display polarity on glance legibility.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59</w:t>
      </w:r>
      <w:r>
        <w:rPr>
          <w:rFonts w:ascii="Times New Roman" w:cs="Times New Roman" w:eastAsia="Times New Roman" w:hAnsi="Times New Roman"/>
          <w:b w:val="false"/>
          <w:bCs w:val="false"/>
          <w:i w:val="false"/>
          <w:iCs w:val="false"/>
          <w:sz w:val="24"/>
          <w:szCs w:val="24"/>
        </w:rPr>
        <w:t xml:space="preserve">(10), 1377–1391. https://doi.org/10.1080/00140139.2015.1137637</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Dobres, J., Chahine, N., &amp; Reimer, B. (2017). Effects of ambient illumination, contrast polarity, and letter size on text legibility under glance-like reading. </w:t>
      </w:r>
      <w:r>
        <w:rPr>
          <w:rFonts w:ascii="Times New Roman" w:cs="Times New Roman" w:eastAsia="Times New Roman" w:hAnsi="Times New Roman"/>
          <w:b w:val="false"/>
          <w:bCs w:val="false"/>
          <w:i/>
          <w:iCs/>
          <w:sz w:val="24"/>
          <w:szCs w:val="24"/>
        </w:rPr>
        <w:t xml:space="preserve">Applied 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60</w:t>
      </w:r>
      <w:r>
        <w:rPr>
          <w:rFonts w:ascii="Times New Roman" w:cs="Times New Roman" w:eastAsia="Times New Roman" w:hAnsi="Times New Roman"/>
          <w:b w:val="false"/>
          <w:bCs w:val="false"/>
          <w:i w:val="false"/>
          <w:iCs w:val="false"/>
          <w:sz w:val="24"/>
          <w:szCs w:val="24"/>
        </w:rPr>
        <w:t xml:space="preserve">, 68–73. https://doi.org/10.1016/j.apergo.2016.11.001</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Fan, Q., Xie, J., Dong, Z., &amp; Wang, Y. (2024). The effect of ambient illumination and text color on visual fatigue under negative polarity.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24</w:t>
      </w:r>
      <w:r>
        <w:rPr>
          <w:rFonts w:ascii="Times New Roman" w:cs="Times New Roman" w:eastAsia="Times New Roman" w:hAnsi="Times New Roman"/>
          <w:b w:val="false"/>
          <w:bCs w:val="false"/>
          <w:i w:val="false"/>
          <w:iCs w:val="false"/>
          <w:sz w:val="24"/>
          <w:szCs w:val="24"/>
        </w:rPr>
        <w:t xml:space="preserve">(11), 3516. https://doi.org/10.3390/s24113516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Fjaervoll, K., Fjaervoll, H., Magno, M., Nøland, S. T., Dartt, D. A., Vehof, J., &amp; Utheim, T. P. (2022). Review on the possible pathophysiological mechanisms underlying visual display terminal-associated dry eye disease.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100</w:t>
      </w:r>
      <w:r>
        <w:rPr>
          <w:rFonts w:ascii="Times New Roman" w:cs="Times New Roman" w:eastAsia="Times New Roman" w:hAnsi="Times New Roman"/>
          <w:b w:val="false"/>
          <w:bCs w:val="false"/>
          <w:i w:val="false"/>
          <w:iCs w:val="false"/>
          <w:sz w:val="24"/>
          <w:szCs w:val="24"/>
        </w:rPr>
        <w:t xml:space="preserve">(8), 861–877. https://doi.org/10.1111/aos.15150</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Hart, S. G., &amp; Staveland, L. E. (1988). Development of NASA-TLX (Task Load Index): Results of empirical and theoretical research. In P. A. Hancock &amp; N. Meshkati (Eds.), </w:t>
      </w:r>
      <w:r>
        <w:rPr>
          <w:rFonts w:ascii="Times New Roman" w:cs="Times New Roman" w:eastAsia="Times New Roman" w:hAnsi="Times New Roman"/>
          <w:b w:val="false"/>
          <w:bCs w:val="false"/>
          <w:i/>
          <w:iCs/>
          <w:sz w:val="24"/>
          <w:szCs w:val="24"/>
        </w:rPr>
        <w:t xml:space="preserve">Human mental workload</w:t>
      </w:r>
      <w:r>
        <w:rPr>
          <w:rFonts w:ascii="Times New Roman" w:cs="Times New Roman" w:eastAsia="Times New Roman" w:hAnsi="Times New Roman"/>
          <w:b w:val="false"/>
          <w:bCs w:val="false"/>
          <w:i w:val="false"/>
          <w:iCs w:val="false"/>
          <w:sz w:val="24"/>
          <w:szCs w:val="24"/>
        </w:rPr>
        <w:t xml:space="preserve"> (pp. 139–183). North-Holland.</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Hirota, M., Uozato, H., Kawamorita, T., Shibata, Y., &amp; Yamamoto, S. (2013). Effect of incomplete blinking on tear film stability.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90</w:t>
      </w:r>
      <w:r>
        <w:rPr>
          <w:rFonts w:ascii="Times New Roman" w:cs="Times New Roman" w:eastAsia="Times New Roman" w:hAnsi="Times New Roman"/>
          <w:b w:val="false"/>
          <w:bCs w:val="false"/>
          <w:i w:val="false"/>
          <w:iCs w:val="false"/>
          <w:sz w:val="24"/>
          <w:szCs w:val="24"/>
        </w:rPr>
        <w:t xml:space="preserve">(7), 650–657. https://doi.org/10.1097/OPX.0b013e31829962ec</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Jackson, M. L., Raj, S., Croft, R. J., Hayley, A. C., Downey, L. A., Kennedy, G. A., &amp; Howard, M. E. (2016). Slow eyelid closure as a measure of driver drowsiness and its relationship to performance. </w:t>
      </w:r>
      <w:r>
        <w:rPr>
          <w:rFonts w:ascii="Times New Roman" w:cs="Times New Roman" w:eastAsia="Times New Roman" w:hAnsi="Times New Roman"/>
          <w:b w:val="false"/>
          <w:bCs w:val="false"/>
          <w:i/>
          <w:iCs/>
          <w:sz w:val="24"/>
          <w:szCs w:val="24"/>
        </w:rPr>
        <w:t xml:space="preserve">Traffic Injury Prevention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w:t>
      </w:r>
      <w:r>
        <w:rPr>
          <w:rFonts w:ascii="Times New Roman" w:cs="Times New Roman" w:eastAsia="Times New Roman" w:hAnsi="Times New Roman"/>
          <w:b w:val="false"/>
          <w:bCs w:val="false"/>
          <w:i w:val="false"/>
          <w:iCs w:val="false"/>
          <w:sz w:val="24"/>
          <w:szCs w:val="24"/>
        </w:rPr>
        <w:t xml:space="preserve">(3), 251–257. https://doi.org/10.1080/15389588.2015.1055327</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Jiménez, R., Redondo, B., Molina, R., Martínez-Domingo, M. Á., Hernández-Andrés, J., &amp; Vera, J. (2020). Short-term effects of text-background color combinations on the dynamics of the accommodative response. </w:t>
      </w:r>
      <w:r>
        <w:rPr>
          <w:rFonts w:ascii="Times New Roman" w:cs="Times New Roman" w:eastAsia="Times New Roman" w:hAnsi="Times New Roman"/>
          <w:b w:val="false"/>
          <w:bCs w:val="false"/>
          <w:i/>
          <w:iCs/>
          <w:sz w:val="24"/>
          <w:szCs w:val="24"/>
        </w:rPr>
        <w:t xml:space="preserve">Vision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166</w:t>
      </w:r>
      <w:r>
        <w:rPr>
          <w:rFonts w:ascii="Times New Roman" w:cs="Times New Roman" w:eastAsia="Times New Roman" w:hAnsi="Times New Roman"/>
          <w:b w:val="false"/>
          <w:bCs w:val="false"/>
          <w:i w:val="false"/>
          <w:iCs w:val="false"/>
          <w:sz w:val="24"/>
          <w:szCs w:val="24"/>
        </w:rPr>
        <w:t xml:space="preserve">, 33–42. https://doi.org/10.1016/j.visres.2019.11.006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Kamøy, B., Magno, M., Nøland, S. T., Moe, M. C., Petrovski, G., Vehof, J., &amp; Utheim, T. P. (2022). Video display terminal use and dry eye: Preventive measures and future perspectives.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100</w:t>
      </w:r>
      <w:r>
        <w:rPr>
          <w:rFonts w:ascii="Times New Roman" w:cs="Times New Roman" w:eastAsia="Times New Roman" w:hAnsi="Times New Roman"/>
          <w:b w:val="false"/>
          <w:bCs w:val="false"/>
          <w:i w:val="false"/>
          <w:iCs w:val="false"/>
          <w:sz w:val="24"/>
          <w:szCs w:val="24"/>
        </w:rPr>
        <w:t xml:space="preserve">(7), 723–739. https://doi.org/10.1111/aos.15105</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Kaur, K., Gurnani, B., Nayak, S., Deori, N., Kaur, S., Jethani, J., Singh, D., Agarkar, S., Hussaindeen, J. R., Sukhija, J., &amp; Mishra, D. (2022). Digital eye strain: A comprehensive review. </w:t>
      </w:r>
      <w:r>
        <w:rPr>
          <w:rFonts w:ascii="Times New Roman" w:cs="Times New Roman" w:eastAsia="Times New Roman" w:hAnsi="Times New Roman"/>
          <w:b w:val="false"/>
          <w:bCs w:val="false"/>
          <w:i/>
          <w:iCs/>
          <w:sz w:val="24"/>
          <w:szCs w:val="24"/>
        </w:rPr>
        <w:t xml:space="preserve">Ophthalmology and Therapy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11</w:t>
      </w:r>
      <w:r>
        <w:rPr>
          <w:rFonts w:ascii="Times New Roman" w:cs="Times New Roman" w:eastAsia="Times New Roman" w:hAnsi="Times New Roman"/>
          <w:b w:val="false"/>
          <w:bCs w:val="false"/>
          <w:i w:val="false"/>
          <w:iCs w:val="false"/>
          <w:sz w:val="24"/>
          <w:szCs w:val="24"/>
        </w:rPr>
        <w:t xml:space="preserve">(5), 1655–1680. https://doi.org/10.1007/s40123-022-00540-9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Klinke, T., Hannak, W., Böning, K., &amp; Jakstat, H. (2024). A comparative study of the sensitivity and specificity of the Ishihara test with various displays. </w:t>
      </w:r>
      <w:r>
        <w:rPr>
          <w:rFonts w:ascii="Times New Roman" w:cs="Times New Roman" w:eastAsia="Times New Roman" w:hAnsi="Times New Roman"/>
          <w:b w:val="false"/>
          <w:bCs w:val="false"/>
          <w:i/>
          <w:iCs/>
          <w:sz w:val="24"/>
          <w:szCs w:val="24"/>
        </w:rPr>
        <w:t xml:space="preserve">International Dental Journal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74</w:t>
      </w:r>
      <w:r>
        <w:rPr>
          <w:rFonts w:ascii="Times New Roman" w:cs="Times New Roman" w:eastAsia="Times New Roman" w:hAnsi="Times New Roman"/>
          <w:b w:val="false"/>
          <w:bCs w:val="false"/>
          <w:i w:val="false"/>
          <w:iCs w:val="false"/>
          <w:sz w:val="24"/>
          <w:szCs w:val="24"/>
        </w:rPr>
        <w:t xml:space="preserve">(4), 892–896. https://doi.org/10.1016/j.identj.2023.12.009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Lin, C., Ji, Z., &amp; Lin, Y. (2024). Optimum display luminance and contrast polarity of desktop head-up display under office lighting level based on visual ergonomic study.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67</w:t>
      </w:r>
      <w:r>
        <w:rPr>
          <w:rFonts w:ascii="Times New Roman" w:cs="Times New Roman" w:eastAsia="Times New Roman" w:hAnsi="Times New Roman"/>
          <w:b w:val="false"/>
          <w:bCs w:val="false"/>
          <w:i w:val="false"/>
          <w:iCs w:val="false"/>
          <w:sz w:val="24"/>
          <w:szCs w:val="24"/>
        </w:rPr>
        <w:t xml:space="preserve">(11), 1491–1503. https://doi.org/10.1080/00140139.2024.2339439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Mataftsi, A., Seliniotaki, A. K., Moutzouri, S., Prousali, E., Darusman, K. R., Adio, A. O., Haidich, A. B., &amp; Nischal, K. K. (2023). Digital eye strain in young screen users: A systematic review. </w:t>
      </w:r>
      <w:r>
        <w:rPr>
          <w:rFonts w:ascii="Times New Roman" w:cs="Times New Roman" w:eastAsia="Times New Roman" w:hAnsi="Times New Roman"/>
          <w:b w:val="false"/>
          <w:bCs w:val="false"/>
          <w:i/>
          <w:iCs/>
          <w:sz w:val="24"/>
          <w:szCs w:val="24"/>
        </w:rPr>
        <w:t xml:space="preserve">Preventive Medicine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170</w:t>
      </w:r>
      <w:r>
        <w:rPr>
          <w:rFonts w:ascii="Times New Roman" w:cs="Times New Roman" w:eastAsia="Times New Roman" w:hAnsi="Times New Roman"/>
          <w:b w:val="false"/>
          <w:bCs w:val="false"/>
          <w:i w:val="false"/>
          <w:iCs w:val="false"/>
          <w:sz w:val="24"/>
          <w:szCs w:val="24"/>
        </w:rPr>
        <w:t xml:space="preserve">, 107493. https://doi.org/10.1016/j.ypmed.2023.107493</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Piepenbrock, C., Mayr, S., &amp; Buchner, A. (2014a). Positive display polarity is particularly advantageous for small character sizes: Implications for display design.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56</w:t>
      </w:r>
      <w:r>
        <w:rPr>
          <w:rFonts w:ascii="Times New Roman" w:cs="Times New Roman" w:eastAsia="Times New Roman" w:hAnsi="Times New Roman"/>
          <w:b w:val="false"/>
          <w:bCs w:val="false"/>
          <w:i w:val="false"/>
          <w:iCs w:val="false"/>
          <w:sz w:val="24"/>
          <w:szCs w:val="24"/>
        </w:rPr>
        <w:t xml:space="preserve">(5), 942–951. https://doi.org/10.1177/0018720813515509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Piepenbrock, C., Mayr, S., &amp; Buchner, A. (2014b). Smaller pupil size and better proofreading performance with positive than with negative polarity displays.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57</w:t>
      </w:r>
      <w:r>
        <w:rPr>
          <w:rFonts w:ascii="Times New Roman" w:cs="Times New Roman" w:eastAsia="Times New Roman" w:hAnsi="Times New Roman"/>
          <w:b w:val="false"/>
          <w:bCs w:val="false"/>
          <w:i w:val="false"/>
          <w:iCs w:val="false"/>
          <w:sz w:val="24"/>
          <w:szCs w:val="24"/>
        </w:rPr>
        <w:t xml:space="preserve">(11), 1670–1677. https://doi.org/10.1080/00140139.2014.948496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Portello, J. K., Rosenfield, M., &amp; Chu, C. A. (2013). Blink rate, incomplete blinks and computer vision syndrome.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90</w:t>
      </w:r>
      <w:r>
        <w:rPr>
          <w:rFonts w:ascii="Times New Roman" w:cs="Times New Roman" w:eastAsia="Times New Roman" w:hAnsi="Times New Roman"/>
          <w:b w:val="false"/>
          <w:bCs w:val="false"/>
          <w:i w:val="false"/>
          <w:iCs w:val="false"/>
          <w:sz w:val="24"/>
          <w:szCs w:val="24"/>
        </w:rPr>
        <w:t xml:space="preserve">(5), 482–487. https://doi.org/10.1097/OPX.0b013e31828f09a7</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Pucker, A. D., Kerr, A. M., Sanderson, J., &amp; Lievens, C. (2024). Digital eye strain: Updated perspectives. </w:t>
      </w:r>
      <w:r>
        <w:rPr>
          <w:rFonts w:ascii="Times New Roman" w:cs="Times New Roman" w:eastAsia="Times New Roman" w:hAnsi="Times New Roman"/>
          <w:b w:val="false"/>
          <w:bCs w:val="false"/>
          <w:i/>
          <w:iCs/>
          <w:sz w:val="24"/>
          <w:szCs w:val="24"/>
        </w:rPr>
        <w:t xml:space="preserve">Clinical Optometry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w:t>
      </w:r>
      <w:r>
        <w:rPr>
          <w:rFonts w:ascii="Times New Roman" w:cs="Times New Roman" w:eastAsia="Times New Roman" w:hAnsi="Times New Roman"/>
          <w:b w:val="false"/>
          <w:bCs w:val="false"/>
          <w:i w:val="false"/>
          <w:iCs w:val="false"/>
          <w:sz w:val="24"/>
          <w:szCs w:val="24"/>
        </w:rPr>
        <w:t xml:space="preserve">, 233–246. https://doi.org/10.2147/OPTO.S412382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Redondo, B., Jiménez, R., Vera, J., &amp; Rosenfield, M. (2025). The impact of break schedules on digital eye strain symptoms and ocular accommodation during prolonged near work. </w:t>
      </w:r>
      <w:r>
        <w:rPr>
          <w:rFonts w:ascii="Times New Roman" w:cs="Times New Roman" w:eastAsia="Times New Roman" w:hAnsi="Times New Roman"/>
          <w:b w:val="false"/>
          <w:bCs w:val="false"/>
          <w:i/>
          <w:iCs/>
          <w:sz w:val="24"/>
          <w:szCs w:val="24"/>
        </w:rPr>
        <w:t xml:space="preserve">Experimental Eye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258</w:t>
      </w:r>
      <w:r>
        <w:rPr>
          <w:rFonts w:ascii="Times New Roman" w:cs="Times New Roman" w:eastAsia="Times New Roman" w:hAnsi="Times New Roman"/>
          <w:b w:val="false"/>
          <w:bCs w:val="false"/>
          <w:i w:val="false"/>
          <w:iCs w:val="false"/>
          <w:sz w:val="24"/>
          <w:szCs w:val="24"/>
        </w:rPr>
        <w:t xml:space="preserve">, 110463. https://doi.org/10.1016/j.exer.2025.110463</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Seguí, M. del M., Cabrero-García, J., Crespo, A., Verdú, J., &amp; Ronda, E. (2015). A reliable and valid questionnaire was developed to measure computer vision syndrome at the workplace. </w:t>
      </w:r>
      <w:r>
        <w:rPr>
          <w:rFonts w:ascii="Times New Roman" w:cs="Times New Roman" w:eastAsia="Times New Roman" w:hAnsi="Times New Roman"/>
          <w:b w:val="false"/>
          <w:bCs w:val="false"/>
          <w:i/>
          <w:iCs/>
          <w:sz w:val="24"/>
          <w:szCs w:val="24"/>
        </w:rPr>
        <w:t xml:space="preserve">Journal of Clinical Epidemiology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68</w:t>
      </w:r>
      <w:r>
        <w:rPr>
          <w:rFonts w:ascii="Times New Roman" w:cs="Times New Roman" w:eastAsia="Times New Roman" w:hAnsi="Times New Roman"/>
          <w:b w:val="false"/>
          <w:bCs w:val="false"/>
          <w:i w:val="false"/>
          <w:iCs w:val="false"/>
          <w:sz w:val="24"/>
          <w:szCs w:val="24"/>
        </w:rPr>
        <w:t xml:space="preserve">(6), 662–673. https://doi.org/10.1016/j.jclinepi.2015.01.015</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Sengsoon, P., &amp; Intaruk, R. (2025). Immediate effects of light mode and dark mode features on visual fatigue in tablet users. </w:t>
      </w:r>
      <w:r>
        <w:rPr>
          <w:rFonts w:ascii="Times New Roman" w:cs="Times New Roman" w:eastAsia="Times New Roman" w:hAnsi="Times New Roman"/>
          <w:b w:val="false"/>
          <w:bCs w:val="false"/>
          <w:i/>
          <w:iCs/>
          <w:sz w:val="24"/>
          <w:szCs w:val="24"/>
        </w:rPr>
        <w:t xml:space="preserve">International Journal of Environmental Research and Public Health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22</w:t>
      </w:r>
      <w:r>
        <w:rPr>
          <w:rFonts w:ascii="Times New Roman" w:cs="Times New Roman" w:eastAsia="Times New Roman" w:hAnsi="Times New Roman"/>
          <w:b w:val="false"/>
          <w:bCs w:val="false"/>
          <w:i w:val="false"/>
          <w:iCs w:val="false"/>
          <w:sz w:val="24"/>
          <w:szCs w:val="24"/>
        </w:rPr>
        <w:t xml:space="preserve">(4), 609. https://doi.org/10.3390/ijerph22040609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Sethi, T., &amp; Ziat, M. (2023). Dark mode vogue: Do light-on-dark displays have measurable benefits to users?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66</w:t>
      </w:r>
      <w:r>
        <w:rPr>
          <w:rFonts w:ascii="Times New Roman" w:cs="Times New Roman" w:eastAsia="Times New Roman" w:hAnsi="Times New Roman"/>
          <w:b w:val="false"/>
          <w:bCs w:val="false"/>
          <w:i w:val="false"/>
          <w:iCs w:val="false"/>
          <w:sz w:val="24"/>
          <w:szCs w:val="24"/>
        </w:rPr>
        <w:t xml:space="preserve">(12), 1814–1828. https://doi.org/10.1080/00140139.2022.2160879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Sheppard, A. L., &amp; Wolffsohn, J. S. (2018). Digital eye strain: Prevalence, measurement and amelioration. </w:t>
      </w:r>
      <w:r>
        <w:rPr>
          <w:rFonts w:ascii="Times New Roman" w:cs="Times New Roman" w:eastAsia="Times New Roman" w:hAnsi="Times New Roman"/>
          <w:b w:val="false"/>
          <w:bCs w:val="false"/>
          <w:i/>
          <w:iCs/>
          <w:sz w:val="24"/>
          <w:szCs w:val="24"/>
        </w:rPr>
        <w:t xml:space="preserve">BMJ Open Ophthalmology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3</w:t>
      </w:r>
      <w:r>
        <w:rPr>
          <w:rFonts w:ascii="Times New Roman" w:cs="Times New Roman" w:eastAsia="Times New Roman" w:hAnsi="Times New Roman"/>
          <w:b w:val="false"/>
          <w:bCs w:val="false"/>
          <w:i w:val="false"/>
          <w:iCs w:val="false"/>
          <w:sz w:val="24"/>
          <w:szCs w:val="24"/>
        </w:rPr>
        <w:t xml:space="preserve">(1), e000146. https://doi.org/10.1136/bmjophth-2018-000146</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Singh, S., McGuinness, M. B., Anderson, A. J., &amp; Downie, L. E. (2022). Interventions for the management of computer vision syndrome: A systematic review and meta-analysis. </w:t>
      </w:r>
      <w:r>
        <w:rPr>
          <w:rFonts w:ascii="Times New Roman" w:cs="Times New Roman" w:eastAsia="Times New Roman" w:hAnsi="Times New Roman"/>
          <w:b w:val="false"/>
          <w:bCs w:val="false"/>
          <w:i/>
          <w:iCs/>
          <w:sz w:val="24"/>
          <w:szCs w:val="24"/>
        </w:rPr>
        <w:t xml:space="preserve">Ophthalmology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129</w:t>
      </w:r>
      <w:r>
        <w:rPr>
          <w:rFonts w:ascii="Times New Roman" w:cs="Times New Roman" w:eastAsia="Times New Roman" w:hAnsi="Times New Roman"/>
          <w:b w:val="false"/>
          <w:bCs w:val="false"/>
          <w:i w:val="false"/>
          <w:iCs w:val="false"/>
          <w:sz w:val="24"/>
          <w:szCs w:val="24"/>
        </w:rPr>
        <w:t xml:space="preserve">(10), 1192–1215. https://doi.org/10.1016/j.ophtha.2022.05.009</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Soukupová, T., &amp; Čech, J. (2016). </w:t>
      </w:r>
      <w:r>
        <w:rPr>
          <w:rFonts w:ascii="Times New Roman" w:cs="Times New Roman" w:eastAsia="Times New Roman" w:hAnsi="Times New Roman"/>
          <w:b w:val="false"/>
          <w:bCs w:val="false"/>
          <w:i/>
          <w:iCs/>
          <w:sz w:val="24"/>
          <w:szCs w:val="24"/>
        </w:rPr>
        <w:t xml:space="preserve">Real-time eye blink detection using facial landmarks</w:t>
      </w:r>
      <w:r>
        <w:rPr>
          <w:rFonts w:ascii="Times New Roman" w:cs="Times New Roman" w:eastAsia="Times New Roman" w:hAnsi="Times New Roman"/>
          <w:b w:val="false"/>
          <w:bCs w:val="false"/>
          <w:i w:val="false"/>
          <w:iCs w:val="false"/>
          <w:sz w:val="24"/>
          <w:szCs w:val="24"/>
        </w:rPr>
        <w:t xml:space="preserve"> [Paper presentation]. 21st Computer Vision Winter Workshop, Rimske Toplice, Slovenia.</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Tian, P., Xu, G., Han, C., Zheng, X., Zhang, K., Du, C., Wei, F., &amp; Zhang, S. (2022). Effects of paradigm color and screen brightness on visual fatigue in light environment of night based on eye tracker and EEG acquisition equipment.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22</w:t>
      </w:r>
      <w:r>
        <w:rPr>
          <w:rFonts w:ascii="Times New Roman" w:cs="Times New Roman" w:eastAsia="Times New Roman" w:hAnsi="Times New Roman"/>
          <w:b w:val="false"/>
          <w:bCs w:val="false"/>
          <w:i w:val="false"/>
          <w:iCs w:val="false"/>
          <w:sz w:val="24"/>
          <w:szCs w:val="24"/>
        </w:rPr>
        <w:t xml:space="preserve">(11), 4082. https://doi.org/10.3390/s22114082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Warm, J. S., Parasuraman, R., &amp; Matthews, G. (2008). Vigilance requires hard mental work and is stressful.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50</w:t>
      </w:r>
      <w:r>
        <w:rPr>
          <w:rFonts w:ascii="Times New Roman" w:cs="Times New Roman" w:eastAsia="Times New Roman" w:hAnsi="Times New Roman"/>
          <w:b w:val="false"/>
          <w:bCs w:val="false"/>
          <w:i w:val="false"/>
          <w:iCs w:val="false"/>
          <w:sz w:val="24"/>
          <w:szCs w:val="24"/>
        </w:rPr>
        <w:t xml:space="preserve">(3), 433–441. https://doi.org/10.1518/001872008X312152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World Wide Web Consortium. (2023, October 5). </w:t>
      </w:r>
      <w:r>
        <w:rPr>
          <w:rFonts w:ascii="Times New Roman" w:cs="Times New Roman" w:eastAsia="Times New Roman" w:hAnsi="Times New Roman"/>
          <w:b w:val="false"/>
          <w:bCs w:val="false"/>
          <w:i/>
          <w:iCs/>
          <w:sz w:val="24"/>
          <w:szCs w:val="24"/>
        </w:rPr>
        <w:t xml:space="preserve">Web content accessibility guidelines (WCAG) 2.2</w:t>
      </w:r>
      <w:r>
        <w:rPr>
          <w:rFonts w:ascii="Times New Roman" w:cs="Times New Roman" w:eastAsia="Times New Roman" w:hAnsi="Times New Roman"/>
          <w:b w:val="false"/>
          <w:bCs w:val="false"/>
          <w:i w:val="false"/>
          <w:iCs w:val="false"/>
          <w:sz w:val="24"/>
          <w:szCs w:val="24"/>
        </w:rPr>
        <w:t xml:space="preserve">. https://www.w3.org/TR/WCAG22/</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Xie, X., Song, F., Liu, Y., Wang, S., &amp; Yu, D. (2021). Study on the effects of display color mode and luminance contrast on visual fatigue. </w:t>
      </w:r>
      <w:r>
        <w:rPr>
          <w:rFonts w:ascii="Times New Roman" w:cs="Times New Roman" w:eastAsia="Times New Roman" w:hAnsi="Times New Roman"/>
          <w:b w:val="false"/>
          <w:bCs w:val="false"/>
          <w:i/>
          <w:iCs/>
          <w:sz w:val="24"/>
          <w:szCs w:val="24"/>
        </w:rPr>
        <w:t xml:space="preserve">IEEE Access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w:t>
      </w:r>
      <w:r>
        <w:rPr>
          <w:rFonts w:ascii="Times New Roman" w:cs="Times New Roman" w:eastAsia="Times New Roman" w:hAnsi="Times New Roman"/>
          <w:b w:val="false"/>
          <w:bCs w:val="false"/>
          <w:i w:val="false"/>
          <w:iCs w:val="false"/>
          <w:sz w:val="24"/>
          <w:szCs w:val="24"/>
        </w:rPr>
        <w:t xml:space="preserve">, 35915–35923. https://doi.org/10.1109/ACCESS.2021.3061770</w:t>
      </w:r>
    </w:p>
    <w:p>
      <w:pPr>
        <w:pBdr>
          <w:bottom w:val="single" w:color="AAAAAA" w:sz="6" w:space="1"/>
        </w:pBdr>
        <w:spacing w:after="200" w:before="120"/>
      </w:pPr>
      <w:r>
        <w:rPr>
          <w:rFonts w:ascii="Times New Roman" w:cs="Times New Roman" w:eastAsia="Times New Roman" w:hAnsi="Times New Roman"/>
          <w:sz w:val="24"/>
          <w:szCs w:val="24"/>
        </w:rPr>
        <w:t xml:space="preserve"/>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Date: ……………………………                     Signature of Scholar</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Signature of Supervisor                              Signature of Supervisor</w:t>
      </w:r>
    </w:p>
    <w:p>
      <w:pPr>
        <w:spacing w:after="100" w:line="340" w:lineRule="auto"/>
        <w:ind w:left="720" w:hanging="720"/>
        <w:jc w:val="left"/>
      </w:pPr>
      <w:r>
        <w:rPr>
          <w:rFonts w:ascii="Times New Roman" w:cs="Times New Roman" w:eastAsia="Times New Roman" w:hAnsi="Times New Roman"/>
          <w:b w:val="false"/>
          <w:bCs w:val="false"/>
          <w:i w:val="false"/>
          <w:iCs w:val="false"/>
          <w:sz w:val="24"/>
          <w:szCs w:val="24"/>
        </w:rPr>
        <w:t xml:space="preserve">Seal                                                              Seal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after="150" w:before="300"/>
    </w:pPr>
    <w:rPr>
      <w:rFonts w:ascii="Times New Roman" w:cs="Times New Roman" w:eastAsia="Times New Roman" w:hAnsi="Times New Roman"/>
      <w:b/>
      <w:bCs/>
      <w:color w:val="1A1A2E"/>
      <w:sz w:val="28"/>
      <w:szCs w:val="28"/>
    </w:rPr>
  </w:style>
  <w:style w:type="paragraph" w:styleId="Heading3">
    <w:name w:val="Heading 3"/>
    <w:basedOn w:val="Normal"/>
    <w:next w:val="Normal"/>
    <w:qFormat/>
    <w:pPr>
      <w:spacing w:after="130" w:before="260"/>
    </w:pPr>
    <w:rPr>
      <w:rFonts w:ascii="Times New Roman" w:cs="Times New Roman" w:eastAsia="Times New Roman" w:hAnsi="Times New Roman"/>
      <w:b/>
      <w:bCs/>
      <w:color w:val="243B53"/>
      <w:sz w:val="26"/>
      <w:szCs w:val="26"/>
    </w:rPr>
  </w:style>
  <w:style w:type="paragraph" w:styleId="Heading4">
    <w:name w:val="Heading 4"/>
    <w:basedOn w:val="Normal"/>
    <w:next w:val="Normal"/>
    <w:qFormat/>
    <w:pPr>
      <w:spacing w:after="110" w:before="220"/>
    </w:pPr>
    <w:rPr>
      <w:rFonts w:ascii="Times New Roman" w:cs="Times New Roman" w:eastAsia="Times New Roman" w:hAnsi="Times New Roman"/>
      <w:b/>
      <w:bCs/>
      <w:i/>
      <w:iCs/>
      <w:color w:val="243B53"/>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4b1347afe6c0a286a4b9dc5d82d87f13fbb3f0.png"/><Relationship Id="rId8" Type="http://schemas.openxmlformats.org/officeDocument/2006/relationships/image" Target="media/4e05bb5d022e75b9fcf2fa13458eb392642cb5be.png"/><Relationship Id="rId9" Type="http://schemas.openxmlformats.org/officeDocument/2006/relationships/image" Target="media/6e2c67485f6bac61850bb02cbc179dff28f4e821.png"/><Relationship Id="rId10" Type="http://schemas.openxmlformats.org/officeDocument/2006/relationships/image" Target="media/f94028606598c4ce9da3cdf1223c04f2f0901c0c.png"/><Relationship Id="rId11" Type="http://schemas.openxmlformats.org/officeDocument/2006/relationships/image" Target="media/dccde36574f0563b3f3ebbe33b21a2720f131b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Literature — Display Polarity and Text Colour</dc:title>
  <dc:creator>PhD Synopsis</dc:creator>
  <dc:description>Literature review prepared for PhD synopsis presentation</dc:description>
  <cp:lastModifiedBy>Un-named</cp:lastModifiedBy>
  <cp:revision>1</cp:revision>
  <dcterms:created xsi:type="dcterms:W3CDTF">2026-09-10T22:00:02.968Z</dcterms:created>
  <dcterms:modified xsi:type="dcterms:W3CDTF">2026-09-10T22:00:02.968Z</dcterms:modified>
</cp:coreProperties>
</file>

<file path=docProps/custom.xml><?xml version="1.0" encoding="utf-8"?>
<Properties xmlns="http://schemas.openxmlformats.org/officeDocument/2006/custom-properties" xmlns:vt="http://schemas.openxmlformats.org/officeDocument/2006/docPropsVTypes"/>
</file>