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40"/>
        <w:jc w:val="both"/>
      </w:pPr>
      <w:r>
        <w:rPr>
          <w:rFonts w:ascii="Times New Roman" w:cs="Times New Roman" w:eastAsia="Times New Roman" w:hAnsi="Times New Roman"/>
          <w:b w:val="false"/>
          <w:bCs w:val="false"/>
          <w:i w:val="false"/>
          <w:iCs w:val="false"/>
          <w:sz w:val="24"/>
          <w:szCs w:val="24"/>
        </w:rPr>
        <w:t xml:space="preserve">EFFECTS OF DISPLAY POLARITY AND TEXT COLOUR ON VISUAL FATIGUE, OCULAR BEHAVIOUR AND TASK PERFORMANCE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140" w:line="340"/>
        <w:jc w:val="both"/>
      </w:pPr>
      <w:r>
        <w:rPr>
          <w:rFonts w:ascii="Times New Roman" w:cs="Times New Roman" w:eastAsia="Times New Roman" w:hAnsi="Times New Roman"/>
          <w:b w:val="false"/>
          <w:bCs w:val="false"/>
          <w:i w:val="false"/>
          <w:iCs w:val="false"/>
          <w:sz w:val="24"/>
          <w:szCs w:val="24"/>
        </w:rPr>
        <w:t xml:space="preserve">DEGREE OF DOCTOR OF PHILOSOPHY</w:t>
      </w:r>
    </w:p>
    <w:p>
      <w:pPr>
        <w:spacing w:after="140" w:line="340"/>
        <w:jc w:val="both"/>
      </w:pPr>
      <w:r>
        <w:rPr>
          <w:rFonts w:ascii="Times New Roman" w:cs="Times New Roman" w:eastAsia="Times New Roman" w:hAnsi="Times New Roman"/>
          <w:b w:val="false"/>
          <w:bCs w:val="false"/>
          <w:i w:val="false"/>
          <w:iCs w:val="false"/>
          <w:sz w:val="24"/>
          <w:szCs w:val="24"/>
        </w:rPr>
        <w:t xml:space="preserve">in</w:t>
      </w:r>
    </w:p>
    <w:p>
      <w:pPr>
        <w:spacing w:after="140" w:line="340"/>
        <w:jc w:val="both"/>
      </w:pPr>
      <w:r>
        <w:rPr>
          <w:rFonts w:ascii="Times New Roman" w:cs="Times New Roman" w:eastAsia="Times New Roman" w:hAnsi="Times New Roman"/>
          <w:b w:val="false"/>
          <w:bCs w:val="false"/>
          <w:i w:val="false"/>
          <w:iCs w:val="false"/>
          <w:sz w:val="24"/>
          <w:szCs w:val="24"/>
        </w:rPr>
        <w:t xml:space="preserve">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By</w:t>
      </w:r>
    </w:p>
    <w:p>
      <w:pPr>
        <w:spacing w:after="140" w:line="340"/>
        <w:jc w:val="both"/>
      </w:pPr>
      <w:r>
        <w:rPr>
          <w:rFonts w:ascii="Times New Roman" w:cs="Times New Roman" w:eastAsia="Times New Roman" w:hAnsi="Times New Roman"/>
          <w:b w:val="false"/>
          <w:bCs w:val="false"/>
          <w:i w:val="false"/>
          <w:iCs w:val="false"/>
          <w:sz w:val="24"/>
          <w:szCs w:val="24"/>
        </w:rPr>
        <w:t xml:space="preserve">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Registration No. ………………………………………</w:t>
      </w:r>
    </w:p>
    <w:p>
      <w:pPr>
        <w:spacing w:after="140" w:line="340"/>
        <w:jc w:val="both"/>
      </w:pPr>
      <w:r>
        <w:rPr>
          <w:rFonts w:ascii="Times New Roman" w:cs="Times New Roman" w:eastAsia="Times New Roman" w:hAnsi="Times New Roman"/>
          <w:b w:val="false"/>
          <w:bCs w:val="false"/>
          <w:i w:val="false"/>
          <w:iCs w:val="false"/>
          <w:sz w:val="24"/>
          <w:szCs w:val="24"/>
        </w:rPr>
        <w:t xml:space="preserve">Assam down town University</w:t>
      </w:r>
    </w:p>
    <w:p>
      <w:pPr>
        <w:spacing w:after="140" w:line="340"/>
        <w:jc w:val="both"/>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spacing w:after="140" w:line="340"/>
        <w:jc w:val="both"/>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40" w:line="340"/>
        <w:jc w:val="both"/>
      </w:pPr>
      <w:r>
        <w:rPr>
          <w:rFonts w:ascii="Times New Roman" w:cs="Times New Roman" w:eastAsia="Times New Roman" w:hAnsi="Times New Roman"/>
          <w:b w:val="false"/>
          <w:bCs w:val="false"/>
          <w:i w:val="false"/>
          <w:iCs w:val="false"/>
          <w:sz w:val="24"/>
          <w:szCs w:val="24"/>
        </w:rPr>
        <w:t xml:space="preserve">Department/Discipline : 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Batch/session : …………………………………………………</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160" w:before="320"/>
      </w:pPr>
      <w:r>
        <w:rPr>
          <w:rFonts w:ascii="Times New Roman" w:cs="Times New Roman" w:eastAsia="Times New Roman" w:hAnsi="Times New Roman"/>
          <w:b/>
          <w:bCs/>
          <w:i w:val="false"/>
          <w:iCs w:val="false"/>
          <w:sz w:val="32"/>
          <w:szCs w:val="32"/>
        </w:rPr>
        <w:t xml:space="preserve">CHAPTER 1: INTRODUCTION</w:t>
      </w:r>
    </w:p>
    <w:p>
      <w:pPr>
        <w:pStyle w:val="Heading2"/>
        <w:keepNext/>
        <w:spacing w:after="160" w:before="280"/>
      </w:pPr>
      <w:r>
        <w:rPr>
          <w:rFonts w:ascii="Times New Roman" w:cs="Times New Roman" w:eastAsia="Times New Roman" w:hAnsi="Times New Roman"/>
          <w:b/>
          <w:bCs/>
          <w:i w:val="false"/>
          <w:iCs w:val="false"/>
          <w:sz w:val="28"/>
          <w:szCs w:val="28"/>
        </w:rPr>
        <w:t xml:space="preserve">1.1 Background</w:t>
      </w:r>
    </w:p>
    <w:p>
      <w:pPr>
        <w:spacing w:after="140" w:line="340"/>
        <w:jc w:val="both"/>
      </w:pPr>
      <w:r>
        <w:rPr>
          <w:rFonts w:ascii="Times New Roman" w:cs="Times New Roman" w:eastAsia="Times New Roman" w:hAnsi="Times New Roman"/>
          <w:b w:val="false"/>
          <w:bCs w:val="false"/>
          <w:i w:val="false"/>
          <w:iCs w:val="false"/>
          <w:sz w:val="24"/>
          <w:szCs w:val="24"/>
        </w:rPr>
        <w:t xml:space="preserve">Most reading now happens on a screen. Unlike a printed page, a screen emits its own light, and almost every property of what it shows can be altered in software. Four such properties are used throughout. Display polarity describes which element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is dark text on a light background,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light text on a dark one, popularly "dark mode". Text colour is the hue of the letters. Luminance is the light the screen emits, and luminance contrast the brightness difference between letters and background — the property that decides whether text is easy to resolve, and not the same thing as colour difference.</w:t>
      </w:r>
    </w:p>
    <w:p>
      <w:pPr>
        <w:spacing w:after="140" w:line="34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 dry or gritty eyes, blurred vision, slow refocusing, headache and neck ache — grouped as computer vision syndrome or, interchangeably, digital eye strain. Pooled across 103 cross-sectional studies and 66,577 participants, prevalence is 69.0 per cent (95% CI 62.3–75.3), rising to 76.1 per cent among university students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160" w:before="280"/>
      </w:pPr>
      <w:r>
        <w:rPr>
          <w:rFonts w:ascii="Times New Roman" w:cs="Times New Roman" w:eastAsia="Times New Roman" w:hAnsi="Times New Roman"/>
          <w:b/>
          <w:bCs/>
          <w:i w:val="false"/>
          <w:iCs w:val="false"/>
          <w:sz w:val="28"/>
          <w:szCs w:val="28"/>
        </w:rPr>
        <w:t xml:space="preserve">1.2 Biophysiological basis</w:t>
      </w:r>
    </w:p>
    <w:p>
      <w:pPr>
        <w:spacing w:after="140" w:line="340"/>
        <w:jc w:val="both"/>
      </w:pPr>
      <w:r>
        <w:rPr>
          <w:rFonts w:ascii="Times New Roman" w:cs="Times New Roman" w:eastAsia="Times New Roman" w:hAnsi="Times New Roman"/>
          <w:b w:val="false"/>
          <w:bCs w:val="false"/>
          <w:i w:val="false"/>
          <w:iCs w:val="false"/>
          <w:sz w:val="24"/>
          <w:szCs w:val="24"/>
        </w:rPr>
        <w:t xml:space="preserve">These symptoms arise by two routes, and separating them is what makes them measurable (Sheppard &amp; Wolffsohn, 2018). The first is focusing effort — accommodation and vergence sustained at near — which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but is not measured here. The second, and the one that is, concerns the ocular surface. A blink spreads fresh tear fluid across it and draws an oily secretion from the lid margins over that fluid, which slows evaporation. Screen work reduces blink frequency and raises the proportion of blinks in which the lids approach but do not meet — incomplete blinks — leaving part of the surface unwetted,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It is therefore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not its frequency, that this study treats as primary. Mechanistic review attributes display-associated dry eye principally to impaired blinking rather than to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1.3 Polarity and text colour,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The best-replicated finding in this literature is the positive polarity advantage: reading is better for dark text on a light field than for light text on a dark one, and the accepted explanation runs through the pupil (Figure 1.1). Text colour has been studied far less, and any manipulation of it also manipulates luminance contrast, so an apparent effect of colour may be an effect of contrast unless the two are measured separately. Ambient light drives pupil size independently of the display and so acts on the same mechanism; it is held constant here rather than manipulated. All three, and the reasons for controlling the third, are reviewed in Chapter 2.</w:t>
      </w:r>
    </w:p>
    <w:p>
      <w:pPr>
        <w:spacing w:after="140" w:line="340"/>
        <w:jc w:val="both"/>
      </w:pPr>
      <w:r>
        <w:rPr>
          <w:rFonts w:ascii="Times New Roman" w:cs="Times New Roman" w:eastAsia="Times New Roman" w:hAnsi="Times New Roman"/>
          <w:b/>
          <w:bCs/>
          <w:i w:val="false"/>
          <w:iCs w:val="false"/>
          <w:sz w:val="24"/>
          <w:szCs w:val="24"/>
        </w:rPr>
        <w:t xml:space="preserve">Figure 1.1 — The pupil-mediated account of the positive polarity advantage.</w:t>
      </w:r>
    </w:p>
    <w:p>
      <w:pPr>
        <w:spacing w:after="140" w:before="120"/>
        <w:jc w:val="center"/>
      </w:pPr>
      <w:r>
        <w:drawing>
          <wp:inline distT="0" distB="0" distL="0" distR="0">
            <wp:extent cx="4000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533525"/>
                    </a:xfrm>
                    <a:prstGeom prst="rect">
                      <a:avLst/>
                    </a:prstGeom>
                  </pic:spPr>
                </pic:pic>
              </a:graphicData>
            </a:graphic>
          </wp:inline>
        </w:drawing>
      </w:r>
    </w:p>
    <w:p>
      <w:pPr>
        <w:pStyle w:val="Heading2"/>
        <w:keepNext/>
        <w:spacing w:after="160" w:before="280"/>
      </w:pPr>
      <w:r>
        <w:rPr>
          <w:rFonts w:ascii="Times New Roman" w:cs="Times New Roman" w:eastAsia="Times New Roman" w:hAnsi="Times New Roman"/>
          <w:b/>
          <w:bCs/>
          <w:i w:val="false"/>
          <w:iCs w:val="false"/>
          <w:sz w:val="28"/>
          <w:szCs w:val="28"/>
        </w:rPr>
        <w:t xml:space="preserve">1.4 Statement of the problem</w:t>
      </w:r>
    </w:p>
    <w:p>
      <w:pPr>
        <w:spacing w:after="140" w:line="340"/>
        <w:jc w:val="both"/>
      </w:pPr>
      <w:r>
        <w:rPr>
          <w:rFonts w:ascii="Times New Roman" w:cs="Times New Roman" w:eastAsia="Times New Roman" w:hAnsi="Times New Roman"/>
          <w:b w:val="false"/>
          <w:bCs w:val="false"/>
          <w:i w:val="false"/>
          <w:iCs w:val="false"/>
          <w:sz w:val="24"/>
          <w:szCs w:val="24"/>
        </w:rPr>
        <w:t xml:space="preserve">Roughly seven in ten screen users report symptoms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no therapy examined across 45 randomised controlled trials and 4,497 participants — blue-blocking lenses included — reached high-certainty evidence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displayed stimulus is upstream of the visual load, costs nothing to change and can be deployed universally, yet is the least investigated: no located study has estimated how polarity and text colour interact, separated hue from luminance contrast, or measured a validated symptom instrument alongside the ocular marker most specific to this condition (Section 2.8). Blink completeness has moreover required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 clinician, designer or standards body therefore has no evidence base for advising how a tablet should be configured for prolonged reading.</w:t>
      </w:r>
    </w:p>
    <w:p>
      <w:pPr>
        <w:pStyle w:val="Heading2"/>
        <w:keepNext/>
        <w:spacing w:after="160" w:before="280"/>
      </w:pPr>
      <w:r>
        <w:rPr>
          <w:rFonts w:ascii="Times New Roman" w:cs="Times New Roman" w:eastAsia="Times New Roman" w:hAnsi="Times New Roman"/>
          <w:b/>
          <w:bCs/>
          <w:i w:val="false"/>
          <w:iCs w:val="false"/>
          <w:sz w:val="28"/>
          <w:szCs w:val="28"/>
        </w:rPr>
        <w:t xml:space="preserve">1.5 Rationale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five text colours are chosen so that the arithmetic of contrast does experimental work. WCAG contrast falls with the text's relative luminance on a white field and rises with it on a black one, so the rank order of the chromatic conditions is exactly inverted between polarities (Table 3.3), while the achromatic pair — both 21.00:1 — varies polarity with contrast held constant. The polarity-by-colour interaction can therefore separate contrast-mediated effects from residual, hue-specific ones, and that separation matters: the ordering Fan and colleagues (2024) reported under negative polarity, red worst and yellow best, is what contrast alone predicts for those hues on black, and a single-polarity design cannot exclude it.</w:t>
      </w:r>
    </w:p>
    <w:p>
      <w:pPr>
        <w:spacing w:after="140" w:line="340"/>
        <w:jc w:val="both"/>
      </w:pPr>
      <w:r>
        <w:rPr>
          <w:rFonts w:ascii="Times New Roman" w:cs="Times New Roman" w:eastAsia="Times New Roman" w:hAnsi="Times New Roman"/>
          <w:b w:val="false"/>
          <w:bCs w:val="false"/>
          <w:i w:val="false"/>
          <w:iCs w:val="false"/>
          <w:sz w:val="24"/>
          <w:szCs w:val="24"/>
        </w:rPr>
        <w:t xml:space="preserve">Validating an automated measure of blink completeness would additionally remove the annotation bottleneck that has kept this literature small. The findings bear on interface design, on accessibility standards whose contrast criterion does not account for polarity (World Wide Web Consortium, 2023), and on optometric advice (Section 4.2).</w:t>
      </w:r>
    </w:p>
    <w:p>
      <w:pPr>
        <w:pStyle w:val="Heading2"/>
        <w:keepNext/>
        <w:spacing w:after="160" w:before="280"/>
      </w:pPr>
      <w:r>
        <w:rPr>
          <w:rFonts w:ascii="Times New Roman" w:cs="Times New Roman" w:eastAsia="Times New Roman" w:hAnsi="Times New Roman"/>
          <w:b/>
          <w:bCs/>
          <w:i w:val="false"/>
          <w:iCs w:val="false"/>
          <w:sz w:val="28"/>
          <w:szCs w:val="28"/>
        </w:rPr>
        <w:t xml:space="preserve">1.6 Aim</w:t>
      </w:r>
    </w:p>
    <w:p>
      <w:pPr>
        <w:spacing w:after="140" w:line="340"/>
        <w:jc w:val="both"/>
      </w:pPr>
      <w:r>
        <w:rPr>
          <w:rFonts w:ascii="Times New Roman" w:cs="Times New Roman" w:eastAsia="Times New Roman" w:hAnsi="Times New Roman"/>
          <w:b w:val="false"/>
          <w:bCs w:val="false"/>
          <w:i w:val="false"/>
          <w:iCs w:val="false"/>
          <w:sz w:val="24"/>
          <w:szCs w:val="24"/>
        </w:rPr>
        <w:t xml:space="preserve">To determine the effects and interaction of display polarity and text colour on visual fatigue, ocular behaviour and visual task performance during prolonged tablet-based reading under controlled ambient illumination, and, as a secondary methodological objective, to evaluate the validity and feasibility of camera-based blink assessment as an objective measure of ocular response.</w:t>
      </w:r>
    </w:p>
    <w:p>
      <w:pPr>
        <w:pStyle w:val="Heading2"/>
        <w:keepNext/>
        <w:spacing w:after="160" w:before="280"/>
      </w:pPr>
      <w:r>
        <w:rPr>
          <w:rFonts w:ascii="Times New Roman" w:cs="Times New Roman" w:eastAsia="Times New Roman" w:hAnsi="Times New Roman"/>
          <w:b/>
          <w:bCs/>
          <w:i w:val="false"/>
          <w:iCs w:val="false"/>
          <w:sz w:val="28"/>
          <w:szCs w:val="28"/>
        </w:rPr>
        <w:t xml:space="preserve">1.7 Objectives</w:t>
      </w:r>
    </w:p>
    <w:p>
      <w:pPr>
        <w:spacing w:after="140" w:line="340"/>
        <w:jc w:val="both"/>
      </w:pPr>
      <w:r>
        <w:rPr>
          <w:rFonts w:ascii="Times New Roman" w:cs="Times New Roman" w:eastAsia="Times New Roman" w:hAnsi="Times New Roman"/>
          <w:b/>
          <w:bCs/>
          <w:i w:val="false"/>
          <w:iCs w:val="false"/>
          <w:sz w:val="24"/>
          <w:szCs w:val="24"/>
        </w:rPr>
        <w:t xml:space="preserve">Primary objectives</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and text colour on subjective visual fatigue, ocular behaviour, cognitive workload and task performance during prolonged tablet reading, with ambient illumination held constant at a single controlled level.</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combination of polarity and text colour that minimises visual fatigue and maximises task performance at that illumination level, and to examine how participant characteristics moderate these effects.</w:t>
      </w:r>
    </w:p>
    <w:p>
      <w:pPr>
        <w:spacing w:after="140" w:line="340"/>
        <w:jc w:val="both"/>
      </w:pPr>
      <w:r>
        <w:rPr>
          <w:rFonts w:ascii="Times New Roman" w:cs="Times New Roman" w:eastAsia="Times New Roman" w:hAnsi="Times New Roman"/>
          <w:b/>
          <w:bCs/>
          <w:i w:val="false"/>
          <w:iCs w:val="false"/>
          <w:sz w:val="24"/>
          <w:szCs w:val="24"/>
        </w:rPr>
        <w:t xml:space="preserve">Methodological objective</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160" w:before="280"/>
      </w:pPr>
      <w:r>
        <w:rPr>
          <w:rFonts w:ascii="Times New Roman" w:cs="Times New Roman" w:eastAsia="Times New Roman" w:hAnsi="Times New Roman"/>
          <w:b/>
          <w:bCs/>
          <w:i w:val="false"/>
          <w:iCs w:val="false"/>
          <w:sz w:val="28"/>
          <w:szCs w:val="28"/>
        </w:rPr>
        <w:t xml:space="preserve">1.8 Hypotheses</w:t>
      </w:r>
    </w:p>
    <w:p>
      <w:pPr>
        <w:spacing w:after="140" w:line="34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and text colour, individually or in combination, have no significant effect on visual fatigue, ocular behaviour or visual task performance during prolonged tablet reading at 300 lux. </w:t>
      </w: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them does. The four hypotheses below are linked to the objectives.</w:t>
      </w:r>
    </w:p>
    <w:p>
      <w:pPr>
        <w:spacing w:after="140" w:line="34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and higher luminance contrast are each associated with a lower incomplete-blink ratio, lower subjective visual fatigue and better task performance.</w:t>
      </w:r>
    </w:p>
    <w:p>
      <w:pPr>
        <w:spacing w:after="140" w:line="34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The further prediction that negative polarity costs more under dim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is not tested, illumination being held constant, and is retained in Section 4.3 as a question this design deliberately forgoes.</w:t>
      </w:r>
    </w:p>
    <w:p>
      <w:pPr>
        <w:spacing w:after="140" w:line="34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contrast ordering reverses between polarities (Table 3.3), contrast mediation predicts a matching reversal of the colour ordering and a residual hue effect predicts a consistent one,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140" w:line="34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160" w:before="280"/>
      </w:pPr>
      <w:r>
        <w:rPr>
          <w:rFonts w:ascii="Times New Roman" w:cs="Times New Roman" w:eastAsia="Times New Roman" w:hAnsi="Times New Roman"/>
          <w:b/>
          <w:bCs/>
          <w:i w:val="false"/>
          <w:iCs w:val="false"/>
          <w:sz w:val="28"/>
          <w:szCs w:val="28"/>
        </w:rPr>
        <w:t xml:space="preserve">1.9 Conceptual framework</w:t>
      </w:r>
    </w:p>
    <w:p>
      <w:pPr>
        <w:spacing w:after="140" w:line="340"/>
        <w:jc w:val="both"/>
      </w:pPr>
      <w:r>
        <w:rPr>
          <w:rFonts w:ascii="Times New Roman" w:cs="Times New Roman" w:eastAsia="Times New Roman" w:hAnsi="Times New Roman"/>
          <w:b w:val="false"/>
          <w:bCs w:val="false"/>
          <w:i w:val="false"/>
          <w:iCs w:val="false"/>
          <w:sz w:val="24"/>
          <w:szCs w:val="24"/>
        </w:rPr>
        <w:t xml:space="preserve">Display configuration acts through two parallel routes — optical and ocular-surface — which feed a common set of manifest outcomes. Table 1.1 sets them out and Figure 1.2 draws them; the cross-cutting influences in its final row are measured and modelled rather than assumed away.</w:t>
      </w:r>
    </w:p>
    <w:p>
      <w:pPr>
        <w:spacing w:after="140" w:line="340"/>
        <w:jc w:val="both"/>
      </w:pPr>
      <w:r>
        <w:rPr>
          <w:rFonts w:ascii="Times New Roman" w:cs="Times New Roman" w:eastAsia="Times New Roman" w:hAnsi="Times New Roman"/>
          <w:b/>
          <w:bCs/>
          <w:i w:val="false"/>
          <w:iCs w:val="false"/>
          <w:sz w:val="24"/>
          <w:szCs w:val="24"/>
        </w:rPr>
        <w:t xml:space="preserve">Figure 1.2 — The two pathways from display configuration to measured outcome.</w:t>
      </w:r>
    </w:p>
    <w:p>
      <w:pPr>
        <w:spacing w:after="140" w:before="120"/>
        <w:jc w:val="center"/>
      </w:pPr>
      <w:r>
        <w:drawing>
          <wp:inline distT="0" distB="0" distL="0" distR="0">
            <wp:extent cx="4000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09875"/>
                    </a:xfrm>
                    <a:prstGeom prst="rect">
                      <a:avLst/>
                    </a:prstGeom>
                  </pic:spPr>
                </pic:pic>
              </a:graphicData>
            </a:graphic>
          </wp:inline>
        </w:drawing>
      </w:r>
    </w:p>
    <w:p>
      <w:pPr>
        <w:spacing w:after="140" w:line="34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227"/>
        <w:gridCol w:w="994"/>
        <w:gridCol w:w="975"/>
        <w:gridCol w:w="1556"/>
        <w:gridCol w:w="1786"/>
        <w:gridCol w:w="178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Pathway</w:t>
            </w:r>
          </w:p>
        </w:tc>
        <w:tc>
          <w:tcPr>
            <w:tcW w:type="dxa" w:w="122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Antecedent (independent variable)</w:t>
            </w:r>
          </w:p>
        </w:tc>
        <w:tc>
          <w:tcPr>
            <w:tcW w:type="dxa" w:w="99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Proximal mechanism</w:t>
            </w:r>
          </w:p>
        </w:tc>
        <w:tc>
          <w:tcPr>
            <w:tcW w:type="dxa" w:w="97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Mediating state</w:t>
            </w:r>
          </w:p>
        </w:tc>
        <w:tc>
          <w:tcPr>
            <w:tcW w:type="dxa" w:w="155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Symptom cluster</w:t>
            </w:r>
          </w:p>
        </w:tc>
        <w:tc>
          <w:tcPr>
            <w:tcW w:type="dxa" w:w="178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Measured outcome (P = primary, S = secondary)</w:t>
            </w:r>
          </w:p>
        </w:tc>
        <w:tc>
          <w:tcPr>
            <w:tcW w:type="dxa" w:w="178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Evidence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Optical / refractive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luminance and polarity; ambient illuminance</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 diameter → aberration and depth of focus</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Retinal image quality; accommodative demand</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Accommodative/vergence (blur, focusing difficulty, headache, transient myopia)</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rate (S); comprehension (S); visual search (S); perceived clarity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2017; Jiménez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2020; Piepenbrock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2014a, 2014b; Redondo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2025)</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Luminance contrast; chromaticity; visual and cognitive demand</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Reduced blink rate; increased incomplete blinking</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Exposed evaporative area; tear-film stability</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 (dryness, burning, irritation)</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Incomplete-blink ratio (P); CVS-Q change (key S); blink rate, inter-blink interval, VAS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2015; Fjaervoll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Hirota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 Kamøy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Portello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Cross-cutting</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Time on task; sleepiness; disengagement; participant factors</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Resource depletion; arousal state; habituation</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Sustained-attention capacity; response criterion</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RT variability and lapses (S); PERCLOS (covariate); engagement flags (quality control)</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(Abe, 2023; Abe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 Jackson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2016; Warm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2008)</w:t>
            </w:r>
          </w:p>
        </w:tc>
      </w:tr>
    </w:tbl>
    <w:p>
      <w:pPr>
        <w:spacing w:after="20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2: REVIEW OF LITERATURE</w:t>
      </w:r>
    </w:p>
    <w:p>
      <w:pPr>
        <w:pStyle w:val="Heading2"/>
        <w:keepNext/>
        <w:spacing w:after="160" w:before="280"/>
      </w:pPr>
      <w:r>
        <w:rPr>
          <w:rFonts w:ascii="Times New Roman" w:cs="Times New Roman" w:eastAsia="Times New Roman" w:hAnsi="Times New Roman"/>
          <w:b/>
          <w:bCs/>
          <w:i w:val="false"/>
          <w:iCs w:val="false"/>
          <w:sz w:val="28"/>
          <w:szCs w:val="28"/>
        </w:rPr>
        <w:t xml:space="preserve">2.1 Burden, risk factors and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2.2 Display polarity</w:t>
      </w:r>
    </w:p>
    <w:p>
      <w:pPr>
        <w:spacing w:after="140" w:line="34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140" w:line="34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082"/>
        <w:gridCol w:w="2125"/>
        <w:gridCol w:w="2019"/>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08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12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201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illumination × chromaticity</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advantage independent of lighting and chromaticity; colour contrast cannot replace luminance contrast</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Short task; no ocular or symptom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2014b</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Pupillometry with proofreading; polarity</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2014a</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character size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brief exposure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Adaptive-staircase psychophysics; typeface × polarity × size × age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Glance reading only; threshold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Lexical decision; polarity × illumination × size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fatigue or ocular-surface outcomes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Sethi &amp; Ziat</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with subjective and affective measures; polarity × environment × age × task</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Search and writing tasks;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C.,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 21</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Visual-ergonomic optimisation; luminance × polarity at 300 lux</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Desktop head-up display; office lighting only; achromatic</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Sengsoon &amp; Intaruk</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Randomised crossover; light vs dark mode on a tablet, immediate effects</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difference in subjective visual fatigue between modes; critical flicker frequency and dry-eye symptoms did differ, and both modes worsened all three measures</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Female participants only; short exposure; no text-colour factor; no blink measurement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160" w:before="280"/>
      </w:pPr>
      <w:r>
        <w:rPr>
          <w:rFonts w:ascii="Times New Roman" w:cs="Times New Roman" w:eastAsia="Times New Roman" w:hAnsi="Times New Roman"/>
          <w:b/>
          <w:bCs/>
          <w:i w:val="false"/>
          <w:iCs w:val="false"/>
          <w:sz w:val="28"/>
          <w:szCs w:val="28"/>
        </w:rPr>
        <w:t xml:space="preserve">2.3 Text colour and the contrast confound</w:t>
      </w:r>
    </w:p>
    <w:p>
      <w:pPr>
        <w:spacing w:after="140" w:line="34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140" w:line="34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241"/>
        <w:gridCol w:w="2240"/>
        <w:gridCol w:w="1745"/>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24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24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4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colour contrast vs luminance contrast (red-on-green)</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contrast cannot compensate for absent luminance contrast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chromatic pair; short task</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Binocular open-field autorefractometry; 14 text–background colour combinations, 2-min passages</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modulated accommodative and pupillary dynamics; low-contrast pairs rated less legible; reading speed unaffected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2-min exposure; no symptom-level outcome; lab instrumentation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and Likert scales; 2 colour modes × 6 luminance-contrast ratios at night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mode raised blink rate and pupil accommodation, yet light mode was rated less fatiguing and preferred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Objective–subjective dissociation unexplained; 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tracker and EEG; paradigm colour × screen brightness in a dark environment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reduced fatigue; blue preferred to red; no EEG colour effect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paradigm stimuli;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during reading; ambient illumination × text colour, negative polarity only</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 most fatiguing, yellow least; performance better with yellow and white</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 hue confounded with contrast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140" w:line="34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160" w:before="280"/>
      </w:pPr>
      <w:r>
        <w:rPr>
          <w:rFonts w:ascii="Times New Roman" w:cs="Times New Roman" w:eastAsia="Times New Roman" w:hAnsi="Times New Roman"/>
          <w:b/>
          <w:bCs/>
          <w:i w:val="false"/>
          <w:iCs w:val="false"/>
          <w:sz w:val="28"/>
          <w:szCs w:val="28"/>
        </w:rPr>
        <w:t xml:space="preserve">2.4 Ambient illumination, and the decision to control rather than manipulate it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140" w:line="34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65"/>
        <w:gridCol w:w="700"/>
        <w:gridCol w:w="700"/>
        <w:gridCol w:w="1771"/>
        <w:gridCol w:w="2592"/>
        <w:gridCol w:w="179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6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7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Illumination manipulated</w:t>
            </w:r>
          </w:p>
        </w:tc>
        <w:tc>
          <w:tcPr>
            <w:tcW w:type="dxa" w:w="259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9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Darkness vs typical office lighting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advantage independent of ambient lighting</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Two coarse levels; proofreading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Near-dark vs daylight-like</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worst under near-dark; raising illumination or switching polarity restored legibility</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 legibility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ambient illumination at night, 6 contrast ratios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mode and contrast jointly affected fatigue under low light</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environment, graded screen brightness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in darkness reduced fatigue; sensitivity most vulnerable at medium-high brightness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stimuli</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Graded ambient illumination, negative polarity</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illumination reduced fatigue, by an amount depending on text colour</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Bright vs dark room × bright vs dark screen, 30-min reading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four combinations only; polarity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The evidence is not uniform, and the pattern of that disagreement is what determined the present design.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 that is, the performance-side effect of polarity appears not to depend on room light, while the effects that do depend on it are concentrated in the ocular and tear-film measures. The most recent work is the most directly relevant on that second point: reading in a dark room from a bright screen produced the greatest tear-film destabilisation and the largest blink changes, with incomplete blinking rising over time in every condition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140" w:line="340"/>
        <w:jc w:val="both"/>
      </w:pPr>
      <w:r>
        <w:rPr>
          <w:rFonts w:ascii="Times New Roman" w:cs="Times New Roman" w:eastAsia="Times New Roman" w:hAnsi="Times New Roman"/>
          <w:b w:val="false"/>
          <w:bCs w:val="false"/>
          <w:i w:val="false"/>
          <w:iCs w:val="false"/>
          <w:sz w:val="24"/>
          <w:szCs w:val="24"/>
        </w:rPr>
        <w:t xml:space="preserve">That division matters here because the ocular outcomes of this study are derived from the tablet's own front camera rather than from dedicated instrumentation. In a darkened room the display is the dominant source of light falling on the reader's face, and the two levels of the polarity factor differ greatly in how much light they emit: computed from the locked condition table used here, a positive-polarity screen casts roughly thirty times the illuminance of a negative-polarity one at the reading distance specified in Section 3.6. Against a 10 lux room that leaves the face lit about 2.3 times more brightly in positive than in negative polarity; against a 300 lux room the ratio falls to about 1.05. Camera exposure, and with it the achieved frame rate on which blink classification depends, would therefore have varied systematically with the primary independent variable — and undersampling biases the measured minimum eyelid aperture upward, inflating the incomplete-blink ratio in the direction the hypothesis predicts. An artefact of that shape is indistinguishable from the effect it imitates.</w:t>
      </w:r>
    </w:p>
    <w:p>
      <w:pPr>
        <w:spacing w:after="140" w:line="340"/>
        <w:jc w:val="both"/>
      </w:pPr>
      <w:r>
        <w:rPr>
          <w:rFonts w:ascii="Times New Roman" w:cs="Times New Roman" w:eastAsia="Times New Roman" w:hAnsi="Times New Roman"/>
          <w:b w:val="false"/>
          <w:bCs w:val="false"/>
          <w:i w:val="false"/>
          <w:iCs w:val="false"/>
          <w:sz w:val="24"/>
          <w:szCs w:val="24"/>
        </w:rPr>
        <w:t xml:space="preserve">Ambient illumination is consequently held constant at a single controlled level rather than manipulated. Buchner and Baumgartner's null for the performance outcomes indicates that little is forfeited on that side; what is forfeited on the ocular side is stated plainly in Section 4.3, and includes the finding of Sethi and Ziat (2023) that negative polarity raised cognitive load in younger adults specifically under dim conditions — the condition this design no longer includes.</w:t>
      </w:r>
    </w:p>
    <w:p>
      <w:pPr>
        <w:pStyle w:val="Heading2"/>
        <w:keepNext/>
        <w:spacing w:after="160" w:before="280"/>
      </w:pPr>
      <w:r>
        <w:rPr>
          <w:rFonts w:ascii="Times New Roman" w:cs="Times New Roman" w:eastAsia="Times New Roman" w:hAnsi="Times New Roman"/>
          <w:b/>
          <w:bCs/>
          <w:i w:val="false"/>
          <w:iCs w:val="false"/>
          <w:sz w:val="28"/>
          <w:szCs w:val="28"/>
        </w:rPr>
        <w:t xml:space="preserve">2.5 Ocular behaviour as an objective marker</w:t>
      </w:r>
    </w:p>
    <w:p>
      <w:pPr>
        <w:spacing w:after="140" w:line="34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140" w:line="34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380"/>
        <w:gridCol w:w="2379"/>
        <w:gridCol w:w="1467"/>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38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 and task</w:t>
            </w:r>
          </w:p>
        </w:tc>
        <w:tc>
          <w:tcPr>
            <w:tcW w:type="dxa" w:w="237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46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amplitude, tear film; fast vs slow display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fell to one-third (fast) and one-half (slow) of baseline; more incomplete blinks when dynamic</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Game task, not reading; manual video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symptom score; 15-min reading</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 blinks 0.9–56.5% (mean 16.1); symptoms correlated with incomplete-blink % (p = 0.002); raising blink rate did not help</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condition; small sample;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and tear break-up time; 60-min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Break-up time fell 8.62→4.33 s at 30 min, recovering as incomplete blinking declined; quality, not frequency, governs stability</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Very small sample; single display condition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across 6 hard-copy and electronic reading conditions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All reading reduced blink rate; incomplete blinks rose only on electronic platforms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parameters not manipulated;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and driving performance after 24-h sleep deprivation</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correlated with vigilance variability (r = 0.68) and lane position (r = 0.61)</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Drowsiness, not visual fatigue; extreme manipulation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Tear-film indices and blink parameters; 30-min reading, 4 lighting–brightness combinations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polarity and text colour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140" w:line="34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160" w:before="280"/>
      </w:pPr>
      <w:r>
        <w:rPr>
          <w:rFonts w:ascii="Times New Roman" w:cs="Times New Roman" w:eastAsia="Times New Roman" w:hAnsi="Times New Roman"/>
          <w:b/>
          <w:bCs/>
          <w:i w:val="false"/>
          <w:iCs w:val="false"/>
          <w:sz w:val="28"/>
          <w:szCs w:val="28"/>
        </w:rPr>
        <w:t xml:space="preserve">2.6 Task performance and sustained attention</w:t>
      </w:r>
    </w:p>
    <w:p>
      <w:pPr>
        <w:spacing w:after="140" w:line="34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160" w:before="280"/>
      </w:pPr>
      <w:r>
        <w:rPr>
          <w:rFonts w:ascii="Times New Roman" w:cs="Times New Roman" w:eastAsia="Times New Roman" w:hAnsi="Times New Roman"/>
          <w:b/>
          <w:bCs/>
          <w:i w:val="false"/>
          <w:iCs w:val="false"/>
          <w:sz w:val="28"/>
          <w:szCs w:val="28"/>
        </w:rPr>
        <w:t xml:space="preserve">2.7 Subjective instruments and scalable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140" w:line="34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That work establishes the signal and the detection of blink </w:t>
      </w:r>
      <w:r>
        <w:rPr>
          <w:rFonts w:ascii="Times New Roman" w:cs="Times New Roman" w:eastAsia="Times New Roman" w:hAnsi="Times New Roman"/>
          <w:b w:val="false"/>
          <w:bCs w:val="false"/>
          <w:i/>
          <w:iCs/>
          <w:sz w:val="24"/>
          <w:szCs w:val="24"/>
        </w:rPr>
        <w:t xml:space="preserve">events</w:t>
      </w:r>
      <w:r>
        <w:rPr>
          <w:rFonts w:ascii="Times New Roman" w:cs="Times New Roman" w:eastAsia="Times New Roman" w:hAnsi="Times New Roman"/>
          <w:b w:val="false"/>
          <w:bCs w:val="false"/>
          <w:i w:val="false"/>
          <w:iCs w:val="false"/>
          <w:sz w:val="24"/>
          <w:szCs w:val="24"/>
        </w:rPr>
        <w:t xml:space="preserve">; it does not classify a blink as incomplete. Extending it to the depth of closure — the quantity the clinical literature has obtained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 is this study's own step, and is why the classifier is validated against manual annotation rather than assumed (Section 3.5). Validity differs by target: camera-based gaze estimation is lower in accuracy and sampling rate than infrared tracking and is defensible only for coarse zone classification, whereas blink measures are proportion-based and need temporal rather than spatial precision. Because a blink is complete within a few hundred milliseconds, duration-based metrics become unreliable at low sampling rates, and the achieved frame rate is therefore recorded per condition and gates the duration-based tiers, while proportion measures are more robust. No published study has validated a camera-based incomplete-blink measure against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2.8 Research gaps</w:t>
      </w:r>
    </w:p>
    <w:p>
      <w:pPr>
        <w:spacing w:after="140" w:line="340"/>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and the prevailing standard is polarity-blind (Advanced Perceptual Contrast Algorithm, n.d.; World Wide Web Consortium, 2023). Joint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present study addresses the polarity × colour interaction at a fixed illuminance and leaves the three-way case to designs whose ocular instrumentation is independent of room light.</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most recent direct test of the polarity question on a tablet is instructive here: Sengsoon and Intaruk (2025) randomised thirty users between light and dark mode and found </w:t>
      </w:r>
      <w:r>
        <w:rPr>
          <w:rFonts w:ascii="Times New Roman" w:cs="Times New Roman" w:eastAsia="Times New Roman" w:hAnsi="Times New Roman"/>
          <w:b/>
          <w:bCs/>
          <w:i w:val="false"/>
          <w:iCs w:val="false"/>
          <w:sz w:val="24"/>
          <w:szCs w:val="24"/>
        </w:rPr>
        <w:t xml:space="preserve">no</w:t>
      </w:r>
      <w:r>
        <w:rPr>
          <w:rFonts w:ascii="Times New Roman" w:cs="Times New Roman" w:eastAsia="Times New Roman" w:hAnsi="Times New Roman"/>
          <w:b w:val="false"/>
          <w:bCs w:val="false"/>
          <w:i w:val="false"/>
          <w:iCs w:val="false"/>
          <w:sz w:val="24"/>
          <w:szCs w:val="24"/>
        </w:rPr>
        <w:t xml:space="preserve"> difference in subjective visual fatigue, while critical flicker frequency and dry-eye symptoms did differ — a dissociation between what participants report and what can be measured on them. Their design carried no text-colour factor, no blink measurement and a short exposure, so the null on the subjective scale is as likely to reflect the sensitivity of the outcome as the absence of an effect, and no automated implementation was found, in the literature located, to have been validated against manual annotation, so the measure does not scale.</w:t>
      </w:r>
    </w:p>
    <w:p>
      <w:pPr>
        <w:spacing w:after="120" w:line="320"/>
        <w:ind w:left="600" w:hanging="60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3: MATERIALS AND METHODS</w:t>
      </w:r>
    </w:p>
    <w:p>
      <w:pPr>
        <w:pStyle w:val="Heading2"/>
        <w:keepNext/>
        <w:spacing w:after="160" w:before="280"/>
      </w:pPr>
      <w:r>
        <w:rPr>
          <w:rFonts w:ascii="Times New Roman" w:cs="Times New Roman" w:eastAsia="Times New Roman" w:hAnsi="Times New Roman"/>
          <w:b/>
          <w:bCs/>
          <w:i w:val="false"/>
          <w:iCs w:val="false"/>
          <w:sz w:val="28"/>
          <w:szCs w:val="28"/>
        </w:rPr>
        <w:t xml:space="preserve">3.1 Study design</w:t>
      </w:r>
    </w:p>
    <w:p>
      <w:pPr>
        <w:spacing w:after="140" w:line="340"/>
        <w:jc w:val="both"/>
      </w:pPr>
      <w:r>
        <w:rPr>
          <w:rFonts w:ascii="Times New Roman" w:cs="Times New Roman" w:eastAsia="Times New Roman" w:hAnsi="Times New Roman"/>
          <w:b w:val="false"/>
          <w:bCs w:val="false"/>
          <w:i w:val="false"/>
          <w:iCs w:val="false"/>
          <w:sz w:val="24"/>
          <w:szCs w:val="24"/>
        </w:rPr>
        <w:t xml:space="preserve">A repeated-measures factorial design in which both factors vary within participant. Display polarity (positive, negative) is crossed with text colour (achromatic, blue, red, yellow, green), giving ten display conditions, each presented once in a single sitting. Ambient illumination is held constant at 300 lux and is a controlled variable with a manipulation check, not a factor (Section 3.4). Each participant contributes ten condition-runs and serves as their own control. Ten reading passages cover the ten runs, so each is read exactly once and no practice effect requires adjustment.</w:t>
      </w:r>
    </w:p>
    <w:p>
      <w:pPr>
        <w:spacing w:after="140" w:line="340"/>
        <w:jc w:val="both"/>
      </w:pPr>
      <w:r>
        <w:rPr>
          <w:rFonts w:ascii="Times New Roman" w:cs="Times New Roman" w:eastAsia="Times New Roman" w:hAnsi="Times New Roman"/>
          <w:b/>
          <w:bCs/>
          <w:i w:val="false"/>
          <w:iCs w:val="false"/>
          <w:sz w:val="24"/>
          <w:szCs w:val="24"/>
        </w:rPr>
        <w:t xml:space="preserve">Figure 3.1 — The design: what one participant does.</w:t>
      </w:r>
    </w:p>
    <w:p>
      <w:pPr>
        <w:spacing w:after="140" w:before="120"/>
        <w:jc w:val="center"/>
      </w:pPr>
      <w:r>
        <w:drawing>
          <wp:inline distT="0" distB="0" distL="0" distR="0">
            <wp:extent cx="4000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581150"/>
                    </a:xfrm>
                    <a:prstGeom prst="rect">
                      <a:avLst/>
                    </a:prstGeom>
                  </pic:spPr>
                </pic:pic>
              </a:graphicData>
            </a:graphic>
          </wp:inline>
        </w:drawing>
      </w:r>
    </w:p>
    <w:p>
      <w:pPr>
        <w:spacing w:after="140" w:line="340"/>
        <w:jc w:val="both"/>
      </w:pPr>
      <w:r>
        <w:rPr>
          <w:rFonts w:ascii="Times New Roman" w:cs="Times New Roman" w:eastAsia="Times New Roman" w:hAnsi="Times New Roman"/>
          <w:b/>
          <w:bCs/>
          <w:i w:val="false"/>
          <w:iCs w:val="false"/>
          <w:sz w:val="24"/>
          <w:szCs w:val="24"/>
        </w:rPr>
        <w:t xml:space="preserve">Figure 3.2 — Study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 — Ethics approval; instrument development; photometric characterisation of the display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III — Single sitting at 300 lux: ten display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IV — Quality-control review of each sitting before the participant is released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6"/>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4313"/>
        <w:gridCol w:w="4313"/>
      </w:tblGrid>
      <w:tr>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 — Automated ocular metrics</w:t>
            </w:r>
          </w:p>
        </w:tc>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Manual-annotation validation sub-study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VI — Mixed-effects analysis and reporting</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3.2 Setting, participants and sampling</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runs in a light-controlled room at Assam down town University, with adults aged 18 to 35 recruited by purposive sampling from the university population.</w:t>
      </w:r>
    </w:p>
    <w:p>
      <w:pPr>
        <w:spacing w:after="140" w:line="340"/>
        <w:jc w:val="both"/>
      </w:pPr>
      <w:r>
        <w:rPr>
          <w:rFonts w:ascii="Times New Roman" w:cs="Times New Roman" w:eastAsia="Times New Roman" w:hAnsi="Times New Roman"/>
          <w:b w:val="false"/>
          <w:bCs w:val="false"/>
          <w:i w:val="false"/>
          <w:iCs w:val="false"/>
          <w:sz w:val="24"/>
          <w:szCs w:val="24"/>
        </w:rPr>
        <w:t xml:space="preserve">The target is 130 participants for analysis, with 145 enrolled to allow for withdrawal and exclusion. It is a multiple of ten, as the Williams counterbalancing requires (Section 3.8), and was set by simulation rather than by a formula assuming independent observations. Precision on the primary outcome follows the number of condition-runs, not participants: 130 participants give 1,300 runs.</w:t>
      </w:r>
    </w:p>
    <w:p>
      <w:pPr>
        <w:spacing w:after="140" w:line="340"/>
        <w:jc w:val="both"/>
      </w:pPr>
      <w:r>
        <w:rPr>
          <w:rFonts w:ascii="Times New Roman" w:cs="Times New Roman" w:eastAsia="Times New Roman" w:hAnsi="Times New Roman"/>
          <w:b/>
          <w:bCs/>
          <w:i w:val="false"/>
          <w:iCs w:val="false"/>
          <w:sz w:val="24"/>
          <w:szCs w:val="24"/>
        </w:rPr>
        <w:t xml:space="preserve">Table 3.1 — Eligibility criteria.</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4513"/>
        <w:gridCol w:w="4513"/>
      </w:tblGrid>
      <w:tr>
        <w:trPr>
          <w:tblHeader/>
        </w:trPr>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Inclusion</w:t>
            </w:r>
          </w:p>
        </w:tc>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Exclusion</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Age 18 to 35 years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Refractive error beyond ±3.00 D</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Distance visual acuity 6/6 or better, with or without correction</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Manifest binocular vision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Habitual screen use of at least four hours daily</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Colour-vision deficiency on screening</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known ocular, systemic or neurological illness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History of photosensitivity or migraine</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give written informed consent</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Medication affecting vision, accommodation or tear film</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attend one sitting of approximately 100 minutes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Diagnosed learning or psychiatric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Contact-lens wear on test days; ocular surgery within six months</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on the study display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an aid rather than a diagnosis and its outcomes are covariates. A profiling questionnaire supplies the moderators for Objective 3 and the sleepiness covariates.</w:t>
      </w:r>
    </w:p>
    <w:p>
      <w:pPr>
        <w:spacing w:after="140" w:line="340"/>
        <w:jc w:val="both"/>
      </w:pPr>
      <w:r>
        <w:rPr>
          <w:rFonts w:ascii="Times New Roman" w:cs="Times New Roman" w:eastAsia="Times New Roman" w:hAnsi="Times New Roman"/>
          <w:b/>
          <w:bCs/>
          <w:i w:val="false"/>
          <w:iCs w:val="false"/>
          <w:sz w:val="24"/>
          <w:szCs w:val="24"/>
        </w:rPr>
        <w:t xml:space="preserve">Table 3.2 — The proposed design against the published studies from which its measures are drawn.</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08"/>
        <w:gridCol w:w="700"/>
        <w:gridCol w:w="700"/>
        <w:gridCol w:w="1317"/>
        <w:gridCol w:w="1044"/>
        <w:gridCol w:w="2315"/>
        <w:gridCol w:w="2042"/>
      </w:tblGrid>
      <w:tr>
        <w:trPr>
          <w:tblHeader/>
        </w:trPr>
        <w:tc>
          <w:tcPr>
            <w:tcW w:type="dxa" w:w="90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31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Conditions per participant</w:t>
            </w:r>
          </w:p>
        </w:tc>
        <w:tc>
          <w:tcPr>
            <w:tcW w:type="dxa" w:w="104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Total condition-runs</w:t>
            </w:r>
          </w:p>
        </w:tc>
        <w:tc>
          <w:tcPr>
            <w:tcW w:type="dxa" w:w="231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Ocular measure</w:t>
            </w:r>
          </w:p>
        </w:tc>
        <w:tc>
          <w:tcPr>
            <w:tcW w:type="dxa" w:w="204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Display parameter manipulated</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tear break-up</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24</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14</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280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Accommodation, pupil</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Text–background colour</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42</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75</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amplitude</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Task dynamism</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patterns, tear film</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Ambient light × screen brightness</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medium</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Proposed study</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10</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Incomplete-blink ratio, blink rate, IBI, PERCLOS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Polarity × colour, illumination controlled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Precision on the primary outcome follows the number of condition-runs rather than the number of participants, and no located study combines a sample of this size with per-condition ocular measurement under a manipulated display parameter.</w:t>
      </w:r>
    </w:p>
    <w:p>
      <w:pPr>
        <w:spacing w:after="140" w:line="340"/>
        <w:jc w:val="both"/>
      </w:pPr>
      <w:r>
        <w:rPr>
          <w:rFonts w:ascii="Times New Roman" w:cs="Times New Roman" w:eastAsia="Times New Roman" w:hAnsi="Times New Roman"/>
          <w:b/>
          <w:bCs/>
          <w:i w:val="false"/>
          <w:iCs w:val="false"/>
          <w:sz w:val="24"/>
          <w:szCs w:val="24"/>
        </w:rPr>
        <w:t xml:space="preserve">Figure 3.3 — Participant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Approached and assessed for eligibility (target ≈ 180)</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Screened: acuity, refraction, binocular status, colour vision</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Enrolled and consented (n = 145); sequential enrolment number assigned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Single sitting at 300 lux: ten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Withdrawal, non-completion or data-quality exclusion recorded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Analysed (target n = 130; 1,300 condition-runs)</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3.3 Display conditions</w:t>
      </w:r>
    </w:p>
    <w:p>
      <w:pPr>
        <w:spacing w:after="140" w:line="340"/>
        <w:jc w:val="both"/>
      </w:pPr>
      <w:r>
        <w:rPr>
          <w:rFonts w:ascii="Times New Roman" w:cs="Times New Roman" w:eastAsia="Times New Roman" w:hAnsi="Times New Roman"/>
          <w:b w:val="false"/>
          <w:bCs w:val="false"/>
          <w:i w:val="false"/>
          <w:iCs w:val="false"/>
          <w:sz w:val="24"/>
          <w:szCs w:val="24"/>
        </w:rPr>
        <w:t xml:space="preserve">All conditions are presented on one tablet at a fixed white luminance, characterised photometrically before collection. Hex values are locked and contrast is computed from them, entering the analysis as a covariate.</w:t>
      </w:r>
    </w:p>
    <w:p>
      <w:pPr>
        <w:spacing w:after="140" w:line="340"/>
        <w:jc w:val="both"/>
      </w:pPr>
      <w:r>
        <w:rPr>
          <w:rFonts w:ascii="Times New Roman" w:cs="Times New Roman" w:eastAsia="Times New Roman" w:hAnsi="Times New Roman"/>
          <w:b/>
          <w:bCs/>
          <w:i w:val="false"/>
          <w:iCs w:val="false"/>
          <w:sz w:val="24"/>
          <w:szCs w:val="24"/>
        </w:rPr>
        <w:t xml:space="preserve">Table 3.3 — The ten display conditions with computed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46"/>
        <w:gridCol w:w="700"/>
        <w:gridCol w:w="1471"/>
        <w:gridCol w:w="1077"/>
        <w:gridCol w:w="1339"/>
        <w:gridCol w:w="1339"/>
        <w:gridCol w:w="1077"/>
        <w:gridCol w:w="1077"/>
      </w:tblGrid>
      <w:tr>
        <w:trPr>
          <w:tblHeader/>
        </w:trPr>
        <w:tc>
          <w:tcPr>
            <w:tcW w:type="dxa" w:w="94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 No.</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Code</w:t>
            </w:r>
          </w:p>
        </w:tc>
        <w:tc>
          <w:tcPr>
            <w:tcW w:type="dxa" w:w="14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colour</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hex</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Background</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WCAG ratio</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Level</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Below AA</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6.70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5.74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2.39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Fail</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3.66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8.79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6.57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bl>
    <w:p>
      <w:pPr>
        <w:spacing w:after="200"/>
      </w:pPr>
      <w:r>
        <w:rPr>
          <w:sz w:val="12"/>
          <w:szCs w:val="12"/>
        </w:rPr>
        <w:t xml:space="preserve"/>
      </w:r>
    </w:p>
    <w:p>
      <w:pPr>
        <w:spacing w:after="140" w:line="340"/>
        <w:jc w:val="both"/>
      </w:pPr>
      <w:r>
        <w:rPr>
          <w:rFonts w:ascii="Times New Roman" w:cs="Times New Roman" w:eastAsia="Times New Roman" w:hAnsi="Times New Roman"/>
          <w:b/>
          <w:bCs/>
          <w:i w:val="false"/>
          <w:iCs w:val="false"/>
          <w:sz w:val="24"/>
          <w:szCs w:val="24"/>
        </w:rPr>
        <w:t xml:space="preserve">Figure 3.4 — Why the colour ordering must reverse between polarities, and what that tests.</w:t>
      </w:r>
    </w:p>
    <w:p>
      <w:pPr>
        <w:spacing w:after="140" w:before="120"/>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390775"/>
                    </a:xfrm>
                    <a:prstGeom prst="rect">
                      <a:avLst/>
                    </a:prstGeom>
                  </pic:spPr>
                </pic:pic>
              </a:graphicData>
            </a:graphic>
          </wp:inline>
        </w:drawing>
      </w:r>
    </w:p>
    <w:p>
      <w:pPr>
        <w:spacing w:after="140" w:line="340"/>
        <w:jc w:val="both"/>
      </w:pPr>
      <w:r>
        <w:rPr>
          <w:rFonts w:ascii="Times New Roman" w:cs="Times New Roman" w:eastAsia="Times New Roman" w:hAnsi="Times New Roman"/>
          <w:b w:val="false"/>
          <w:bCs w:val="false"/>
          <w:i w:val="false"/>
          <w:iCs w:val="false"/>
          <w:sz w:val="24"/>
          <w:szCs w:val="24"/>
        </w:rPr>
        <w:t xml:space="preserve">Two properties govern the analysis. The contrast ordering is exactly inverted between polarities — arithmetic, not design — so a contrast-mediated colour effect must cross over between them and a residual hue effect must not. The achromatic pair is contrast-matched at 21.00:1 in both, giving the one comparison in which a polarity effect cannot be attributed to contrast. Two conditions fall below the accessibility minimum in each polarity, so polarity is unconfounded with compliance.</w:t>
      </w:r>
    </w:p>
    <w:p>
      <w:pPr>
        <w:pStyle w:val="Heading2"/>
        <w:keepNext/>
        <w:spacing w:after="160" w:before="280"/>
      </w:pPr>
      <w:r>
        <w:rPr>
          <w:rFonts w:ascii="Times New Roman" w:cs="Times New Roman" w:eastAsia="Times New Roman" w:hAnsi="Times New Roman"/>
          <w:b/>
          <w:bCs/>
          <w:i w:val="false"/>
          <w:iCs w:val="false"/>
          <w:sz w:val="28"/>
          <w:szCs w:val="28"/>
        </w:rPr>
        <w:t xml:space="preserve">3.4 Ambient illumination as a controlled constant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Illuminance is set to 300 lux (accepted 250–350), verified at the eye position and the display plane with a calibrated meter and logged at the start, middle and end of every sitting; a reading outside the band is a recorded protocol deviation. Colour temperature and light-source type are held constant and daylight excluded.</w:t>
      </w:r>
    </w:p>
    <w:p>
      <w:pPr>
        <w:spacing w:after="140" w:line="340"/>
        <w:jc w:val="both"/>
      </w:pPr>
      <w:r>
        <w:rPr>
          <w:rFonts w:ascii="Times New Roman" w:cs="Times New Roman" w:eastAsia="Times New Roman" w:hAnsi="Times New Roman"/>
          <w:b w:val="false"/>
          <w:bCs w:val="false"/>
          <w:i w:val="false"/>
          <w:iCs w:val="false"/>
          <w:sz w:val="24"/>
          <w:szCs w:val="24"/>
        </w:rPr>
        <w:t xml:space="preserve">The level was fixed on photometric grounds rather than by reference to a lighting standard: published guidance for work with self-luminous displays places ambient illuminance around this range, but the specific figures could not be verified against the standards themselves and are therefore not cited. Critically, it is high enough that room light rather than the display dominates the illuminance on the reader's face: because the ocular measures are camera-derived, and the modelled ratio of face illuminance between polarities is about 2.3 at 10 lux against 1.05 at 300, a dimmer room would make camera exposure vary with the primary independent variable.</w:t>
      </w:r>
    </w:p>
    <w:p>
      <w:pPr>
        <w:pStyle w:val="Heading2"/>
        <w:keepNext/>
        <w:spacing w:after="160" w:before="280"/>
      </w:pPr>
      <w:r>
        <w:rPr>
          <w:rFonts w:ascii="Times New Roman" w:cs="Times New Roman" w:eastAsia="Times New Roman" w:hAnsi="Times New Roman"/>
          <w:b/>
          <w:bCs/>
          <w:i w:val="false"/>
          <w:iCs w:val="false"/>
          <w:sz w:val="28"/>
          <w:szCs w:val="28"/>
        </w:rPr>
        <w:t xml:space="preserve">3.5 Instrumentation and measures</w:t>
      </w:r>
    </w:p>
    <w:p>
      <w:pPr>
        <w:spacing w:after="140" w:line="340"/>
        <w:jc w:val="both"/>
      </w:pPr>
      <w:r>
        <w:rPr>
          <w:rFonts w:ascii="Times New Roman" w:cs="Times New Roman" w:eastAsia="Times New Roman" w:hAnsi="Times New Roman"/>
          <w:b w:val="false"/>
          <w:bCs w:val="false"/>
          <w:i w:val="false"/>
          <w:iCs w:val="false"/>
          <w:sz w:val="24"/>
          <w:szCs w:val="24"/>
        </w:rPr>
        <w:t xml:space="preserve">A purpose-built, offline-capable tablet application presents the ten conditions with locked colour values and a neutral grey adaptation field between them, timestamping task onsets to the frame. Ocular measures come from the front camera by facial-landmark tracking; no video leaves the device unless separately consented.</w:t>
      </w:r>
    </w:p>
    <w:p>
      <w:pPr>
        <w:spacing w:after="140" w:line="340"/>
        <w:jc w:val="both"/>
      </w:pPr>
      <w:r>
        <w:rPr>
          <w:rFonts w:ascii="Times New Roman" w:cs="Times New Roman" w:eastAsia="Times New Roman" w:hAnsi="Times New Roman"/>
          <w:b/>
          <w:bCs/>
          <w:i w:val="false"/>
          <w:iCs w:val="false"/>
          <w:sz w:val="24"/>
          <w:szCs w:val="24"/>
        </w:rPr>
        <w:t xml:space="preserve">Figure 3.5 — How a blink is classified, and what makes one incomplete.</w:t>
      </w:r>
    </w:p>
    <w:p>
      <w:pPr>
        <w:spacing w:after="140" w:before="120"/>
        <w:jc w:val="center"/>
      </w:pPr>
      <w:r>
        <w:drawing>
          <wp:inline distT="0" distB="0" distL="0" distR="0">
            <wp:extent cx="4000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809750"/>
                    </a:xfrm>
                    <a:prstGeom prst="rect">
                      <a:avLst/>
                    </a:prstGeom>
                  </pic:spPr>
                </pic:pic>
              </a:graphicData>
            </a:graphic>
          </wp:inline>
        </w:drawing>
      </w:r>
    </w:p>
    <w:p>
      <w:pPr>
        <w:spacing w:after="140" w:line="340"/>
        <w:jc w:val="both"/>
      </w:pPr>
      <w:r>
        <w:rPr>
          <w:rFonts w:ascii="Times New Roman" w:cs="Times New Roman" w:eastAsia="Times New Roman" w:hAnsi="Times New Roman"/>
          <w:b/>
          <w:bCs/>
          <w:i w:val="false"/>
          <w:iCs w:val="false"/>
          <w:sz w:val="24"/>
          <w:szCs w:val="24"/>
        </w:rPr>
        <w:t xml:space="preserve">Precision.</w:t>
      </w:r>
      <w:r>
        <w:rPr>
          <w:rFonts w:ascii="Times New Roman" w:cs="Times New Roman" w:eastAsia="Times New Roman" w:hAnsi="Times New Roman"/>
          <w:b w:val="false"/>
          <w:bCs w:val="false"/>
          <w:i w:val="false"/>
          <w:iCs w:val="false"/>
          <w:sz w:val="24"/>
          <w:szCs w:val="24"/>
        </w:rPr>
        <w:t xml:space="preserve"> The incomplete-blink ratio is a binomial proportion, so precision follows the blinks captured. Passages of four pages and 570 to 600 words give an exposure of 178 seconds, about 39 blinks, and a condition-level standard error near 0.06; the count is exported with every ratio, and runs below 20 blinks are flagged.</w:t>
      </w:r>
    </w:p>
    <w:p>
      <w:pPr>
        <w:spacing w:after="140" w:line="340"/>
        <w:jc w:val="both"/>
      </w:pPr>
      <w:r>
        <w:rPr>
          <w:rFonts w:ascii="Times New Roman" w:cs="Times New Roman" w:eastAsia="Times New Roman" w:hAnsi="Times New Roman"/>
          <w:b/>
          <w:bCs/>
          <w:i w:val="false"/>
          <w:iCs w:val="false"/>
          <w:sz w:val="24"/>
          <w:szCs w:val="24"/>
        </w:rPr>
        <w:t xml:space="preserve">Validation.</w:t>
      </w:r>
      <w:r>
        <w:rPr>
          <w:rFonts w:ascii="Times New Roman" w:cs="Times New Roman" w:eastAsia="Times New Roman" w:hAnsi="Times New Roman"/>
          <w:b w:val="false"/>
          <w:bCs w:val="false"/>
          <w:i w:val="false"/>
          <w:iCs w:val="false"/>
          <w:sz w:val="24"/>
          <w:szCs w:val="24"/>
        </w:rPr>
        <w:t xml:space="preserve"> A subsample of twenty participants contributes two 3-minute segments each for masked frame-by-frame annotation, against which the automated classifier is assessed by Cohen's kappa and Bland–Altman bias (criteria: kappa ≥ 0.60, the conventional threshold for substantial agreement, and bias within ±5 percentage points).</w:t>
      </w:r>
    </w:p>
    <w:p>
      <w:pPr>
        <w:pStyle w:val="Heading2"/>
        <w:keepNext/>
        <w:spacing w:after="160" w:before="280"/>
      </w:pPr>
      <w:r>
        <w:rPr>
          <w:rFonts w:ascii="Times New Roman" w:cs="Times New Roman" w:eastAsia="Times New Roman" w:hAnsi="Times New Roman"/>
          <w:b/>
          <w:bCs/>
          <w:i w:val="false"/>
          <w:iCs w:val="false"/>
          <w:sz w:val="28"/>
          <w:szCs w:val="28"/>
        </w:rPr>
        <w:t xml:space="preserve">3.6 Procedure</w:t>
      </w:r>
    </w:p>
    <w:p>
      <w:pPr>
        <w:spacing w:after="140" w:line="340"/>
        <w:jc w:val="both"/>
      </w:pPr>
      <w:r>
        <w:rPr>
          <w:rFonts w:ascii="Times New Roman" w:cs="Times New Roman" w:eastAsia="Times New Roman" w:hAnsi="Times New Roman"/>
          <w:b w:val="false"/>
          <w:bCs w:val="false"/>
          <w:i w:val="false"/>
          <w:iCs w:val="false"/>
          <w:sz w:val="24"/>
          <w:szCs w:val="24"/>
        </w:rPr>
        <w:t xml:space="preserve">After consent, screening and profiling, the participant is seated 50 to 60 cm from the display, the room verified at 300 lux, and calibration and baseline questionnaires completed. The ten conditions then run in the assigned Williams order.</w:t>
      </w:r>
    </w:p>
    <w:p>
      <w:pPr>
        <w:spacing w:after="140" w:line="340"/>
        <w:jc w:val="both"/>
      </w:pPr>
      <w:r>
        <w:rPr>
          <w:rFonts w:ascii="Times New Roman" w:cs="Times New Roman" w:eastAsia="Times New Roman" w:hAnsi="Times New Roman"/>
          <w:b/>
          <w:bCs/>
          <w:i w:val="false"/>
          <w:iCs w:val="false"/>
          <w:sz w:val="24"/>
          <w:szCs w:val="24"/>
        </w:rPr>
        <w:t xml:space="preserve">Figure 3.6 — One condition-run.</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Adaptation on neutral grey, 60 s (120 s when polarity switches)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Reading task — the exposure that produces the primary outcome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5"/>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2875"/>
        <w:gridCol w:w="2875"/>
        <w:gridCol w:w="2875"/>
      </w:tblGrid>
      <w:tr>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Comprehension, three questions</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Display-perception rating</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Visual-fatigue VAS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 search — tap every occurrence of a target word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Go/no-go reaction time — 32 trials on the active background</w:t>
            </w:r>
          </w:p>
        </w:tc>
      </w:tr>
    </w:tbl>
    <w:p>
      <w:pPr>
        <w:spacing w:after="16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A self-paced rest follows every second condition and no performance feedback is given. The sitting closes with the CVS-Q repeated and NASA-TLX once. Simulation over 2,000 synthetic participants gives a median of 98 minutes and a 95th percentile of 119 — also the total contact time, there being one visit. A pilot of ten precedes the main study; failing a 120-minute median, one withdrawal in ten, or 0.90 face presence in a tenth of runs, the conditions are split across two sittings of five.</w:t>
      </w:r>
    </w:p>
    <w:p>
      <w:pPr>
        <w:pStyle w:val="Heading2"/>
        <w:keepNext/>
        <w:spacing w:after="160" w:before="280"/>
      </w:pPr>
      <w:r>
        <w:rPr>
          <w:rFonts w:ascii="Times New Roman" w:cs="Times New Roman" w:eastAsia="Times New Roman" w:hAnsi="Times New Roman"/>
          <w:b/>
          <w:bCs/>
          <w:i w:val="false"/>
          <w:iCs w:val="false"/>
          <w:sz w:val="28"/>
          <w:szCs w:val="28"/>
        </w:rPr>
        <w:t xml:space="preserve">3.7 Variables and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Independent variables are display polarity and text colour; ambient illuminance is a controlled constant and a manipulation check. Covariates are serial position, measured illuminance and display luminance, computed contrast, PERCLOS, achieved sampling rate, refractive and binocular status, and the profiling variables.</w:t>
      </w:r>
    </w:p>
    <w:p>
      <w:pPr>
        <w:spacing w:after="140" w:line="340"/>
        <w:jc w:val="both"/>
      </w:pPr>
      <w:r>
        <w:rPr>
          <w:rFonts w:ascii="Times New Roman" w:cs="Times New Roman" w:eastAsia="Times New Roman" w:hAnsi="Times New Roman"/>
          <w:b w:val="false"/>
          <w:bCs w:val="false"/>
          <w:i w:val="false"/>
          <w:iCs w:val="false"/>
          <w:sz w:val="24"/>
          <w:szCs w:val="24"/>
        </w:rPr>
        <w:t xml:space="preserve">The primary outcome is the incomplete-blink ratio; the key secondary outcome is the change in CVS-Q from baseline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Secondary and exploratory measures are blink rate and inter-blink interval; PERCLOS, head pose and face-presence ratio as drowsiness and quality indices; a five-item visual-fatigue VAS and display comfort and clarity ratings per condition; NASA-TLX once per sitting (Hart &amp; Staveland, 1988); and, for performance, reading rate, comprehension accuracy, visual-search accuracy and efficiency, and reaction-time mean, variability, lapse rate, d′ and criterion. Confirmatory inference is confined to the primary outcome.</w:t>
      </w:r>
    </w:p>
    <w:p>
      <w:pPr>
        <w:pStyle w:val="Heading2"/>
        <w:keepNext/>
        <w:spacing w:after="160" w:before="280"/>
      </w:pPr>
      <w:r>
        <w:rPr>
          <w:rFonts w:ascii="Times New Roman" w:cs="Times New Roman" w:eastAsia="Times New Roman" w:hAnsi="Times New Roman"/>
          <w:b/>
          <w:bCs/>
          <w:i w:val="false"/>
          <w:iCs w:val="false"/>
          <w:sz w:val="28"/>
          <w:szCs w:val="28"/>
        </w:rPr>
        <w:t xml:space="preserve">3.8 Counterbalancing</w:t>
      </w:r>
    </w:p>
    <w:p>
      <w:pPr>
        <w:spacing w:after="140" w:line="34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from the vigilance decrement and accumulating fatigue, and first-order carryover, notably the light-adaptation transient at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with complete balance in blocks of ten. Where a sitting is split for scheduling, the row continues rather than restarting.</w:t>
      </w:r>
    </w:p>
    <w:p>
      <w:pPr>
        <w:pStyle w:val="Heading2"/>
        <w:keepNext/>
        <w:spacing w:after="160" w:before="280"/>
      </w:pPr>
      <w:r>
        <w:rPr>
          <w:rFonts w:ascii="Times New Roman" w:cs="Times New Roman" w:eastAsia="Times New Roman" w:hAnsi="Times New Roman"/>
          <w:b/>
          <w:bCs/>
          <w:i w:val="false"/>
          <w:iCs w:val="false"/>
          <w:sz w:val="28"/>
          <w:szCs w:val="28"/>
        </w:rPr>
        <w:t xml:space="preserve">3.9 Statistical analysis</w:t>
      </w:r>
    </w:p>
    <w:p>
      <w:pPr>
        <w:spacing w:after="140" w:line="340"/>
        <w:jc w:val="both"/>
      </w:pPr>
      <w:r>
        <w:rPr>
          <w:rFonts w:ascii="Times New Roman" w:cs="Times New Roman" w:eastAsia="Times New Roman" w:hAnsi="Times New Roman"/>
          <w:b w:val="false"/>
          <w:bCs w:val="false"/>
          <w:i w:val="false"/>
          <w:iCs w:val="false"/>
          <w:sz w:val="24"/>
          <w:szCs w:val="24"/>
        </w:rPr>
        <w:t xml:space="preserve">The confirmatory analysis is a binomial mixed-effects model of the incomplete-blink counts, with fixed effects for polarity, text colour, their interaction and serial position, and a random intercept for participant with a random slope for polarity where supported. Modelling counts rather than the ratio is deliberate: a proportion from five blinks and one from sixty are not equally informative, and a Gaussian model would treat them as though they were. A non-converging random structure is reduced in a pre-specified order and the reduction reported.</w:t>
      </w:r>
    </w:p>
    <w:p>
      <w:pPr>
        <w:spacing w:after="140" w:line="340"/>
        <w:jc w:val="both"/>
      </w:pPr>
      <w:r>
        <w:rPr>
          <w:rFonts w:ascii="Times New Roman" w:cs="Times New Roman" w:eastAsia="Times New Roman" w:hAnsi="Times New Roman"/>
          <w:b w:val="false"/>
          <w:bCs w:val="false"/>
          <w:i w:val="false"/>
          <w:iCs w:val="false"/>
          <w:sz w:val="24"/>
          <w:szCs w:val="24"/>
        </w:rPr>
        <w:t xml:space="preserve">For Objective 2, colour as a categorical factor is compared against luminance contrast as a continuous predictor, so comparative fit and residual hue terms quantify each contribution. Moderation is tested by condition-by-moderator interactions. Ordinal cumulative-link models serve rating outcomes and binomial models accuracy. Sensitivity analyses exclude flagged conditions and add PERCLOS as a covariate. Effect sizes with confidence intervals and multiplicity control within outcome families are reported throughout.</w:t>
      </w:r>
    </w:p>
    <w:p>
      <w:pPr>
        <w:spacing w:after="140" w:line="340"/>
        <w:jc w:val="both"/>
      </w:pPr>
      <w:r>
        <w:rPr>
          <w:rFonts w:ascii="Times New Roman" w:cs="Times New Roman" w:eastAsia="Times New Roman" w:hAnsi="Times New Roman"/>
          <w:b w:val="false"/>
          <w:bCs w:val="false"/>
          <w:i w:val="false"/>
          <w:iCs w:val="false"/>
          <w:sz w:val="24"/>
          <w:szCs w:val="24"/>
        </w:rPr>
        <w:t xml:space="preserve">Each export carries a manifest of per-file checksums and build provenance, and an integrity report flagging incomplete condition sets, gaps in serial position and unattributable sessions; failing rows are retained and flagged rather than dropped, so exclusions are auditable and missingness is never silent.</w:t>
      </w:r>
    </w:p>
    <w:p>
      <w:pPr>
        <w:pStyle w:val="Heading2"/>
        <w:keepNext/>
        <w:spacing w:after="160" w:before="280"/>
      </w:pPr>
      <w:r>
        <w:rPr>
          <w:rFonts w:ascii="Times New Roman" w:cs="Times New Roman" w:eastAsia="Times New Roman" w:hAnsi="Times New Roman"/>
          <w:b/>
          <w:bCs/>
          <w:i w:val="false"/>
          <w:iCs w:val="false"/>
          <w:sz w:val="28"/>
          <w:szCs w:val="28"/>
        </w:rPr>
        <w:t xml:space="preserve">3.10 Ethical considerations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begins after Institutional Ethics Committee approval and follows the Declaration of Helsinki. Written informed consent precedes any procedure, and participation is voluntary and withdrawable without penalty.</w:t>
      </w:r>
    </w:p>
    <w:p>
      <w:pPr>
        <w:spacing w:after="140" w:line="340"/>
        <w:jc w:val="both"/>
      </w:pPr>
      <w:r>
        <w:rPr>
          <w:rFonts w:ascii="Times New Roman" w:cs="Times New Roman" w:eastAsia="Times New Roman" w:hAnsi="Times New Roman"/>
          <w:b w:val="false"/>
          <w:bCs w:val="false"/>
          <w:i w:val="false"/>
          <w:iCs w:val="false"/>
          <w:sz w:val="24"/>
          <w:szCs w:val="24"/>
        </w:rPr>
        <w:t xml:space="preserve">Camera use is separately consented. By default the front camera computes numeric measures only — blink metrics and head position — and images are discarded immediately and never stored. Retaining two setup photographs, and reading video for the annotation sub-study, are separate default-off grants; declining either does not affect participation, and a grant may be withdrawn afterwards, whereupon the recordings it covered are destroyed while the numeric data are retained. Records are held under a participant code with the link to identity stored separately. Risks are limited to transient visual fatigue, mitigated by rest breaks, the right to stop at any time, and advice not to drive immediately afterwards.</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4: CONCLUSION</w:t>
      </w:r>
    </w:p>
    <w:p>
      <w:pPr>
        <w:pStyle w:val="Heading2"/>
        <w:keepNext/>
        <w:spacing w:after="160" w:before="280"/>
      </w:pPr>
      <w:r>
        <w:rPr>
          <w:rFonts w:ascii="Times New Roman" w:cs="Times New Roman" w:eastAsia="Times New Roman" w:hAnsi="Times New Roman"/>
          <w:b/>
          <w:bCs/>
          <w:i w:val="false"/>
          <w:iCs w:val="false"/>
          <w:sz w:val="28"/>
          <w:szCs w:val="28"/>
        </w:rPr>
        <w:t xml:space="preserve">4.1 Expected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and text colour on subjective visual fatigue, ocular behaviour, cognitive workload and task performance, and among the first estimates of their interaction on fatigue outcomes — establishing whether the positive polarity advantage extends from brief legibility tasks to prolonged reading and ocular-surface outcomes. Because the contrast ordering of the colours reverses across polarity, a crossover interaction would support contrast mediation while a preserved ordering would indicate residual hue-specific effects, with red the candidate exception. The study will further identify the configurations that minimise and maximise fatigue, indicate whether a polarity-blind contrast criterion predicts measured readability, and report the automated blink measure's agreement with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4.2 Significance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Display configuration is a preventive measure that costs nothing and can be deployed at population scale for a condition affecting roughly seven in ten screen users. The findings give an empirically grounded specification of text presentation and dark-mode implementation for reading applications, e-readers and operating-system themes; they bear on accessibility standards by indicating whether polarity must enter a contrast criterion; and they inform the advice optometrists give patients, an area in which practitioners are documented to lack quality evidence. Methodologically, a scalable instrument relieves the annotation bottleneck that has confined this literature to small samples.</w:t>
      </w:r>
    </w:p>
    <w:p>
      <w:pPr>
        <w:pStyle w:val="Heading2"/>
        <w:keepNext/>
        <w:spacing w:after="160" w:before="280"/>
      </w:pPr>
      <w:r>
        <w:rPr>
          <w:rFonts w:ascii="Times New Roman" w:cs="Times New Roman" w:eastAsia="Times New Roman" w:hAnsi="Times New Roman"/>
          <w:b/>
          <w:bCs/>
          <w:i w:val="false"/>
          <w:iCs w:val="false"/>
          <w:sz w:val="28"/>
          <w:szCs w:val="28"/>
        </w:rPr>
        <w:t xml:space="preserve">4.3 Limitations and delimitations</w:t>
      </w:r>
    </w:p>
    <w:p>
      <w:pPr>
        <w:spacing w:after="140" w:line="340"/>
        <w:jc w:val="both"/>
      </w:pPr>
      <w:r>
        <w:rPr>
          <w:rFonts w:ascii="Times New Roman" w:cs="Times New Roman" w:eastAsia="Times New Roman" w:hAnsi="Times New Roman"/>
          <w:b w:val="false"/>
          <w:bCs w:val="false"/>
          <w:i w:val="false"/>
          <w:iCs w:val="false"/>
          <w:sz w:val="24"/>
          <w:szCs w:val="24"/>
        </w:rPr>
        <w:t xml:space="preserve">Polarity is not fully orthogonal to luminance contrast, pigments differing intrinsically in luminance, nor to mean display luminance, white rather than mean luminance being held constant; Buchner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(2009) report that the advantage disappears when overall luminance is equalised, so what is estimated here is polarity with its attendant luminance. Contrast is measured and modelled, but causal attribution is constrained.</w:t>
      </w:r>
    </w:p>
    <w:p>
      <w:pPr>
        <w:spacing w:after="140" w:line="340"/>
        <w:jc w:val="both"/>
      </w:pPr>
      <w:r>
        <w:rPr>
          <w:rFonts w:ascii="Times New Roman" w:cs="Times New Roman" w:eastAsia="Times New Roman" w:hAnsi="Times New Roman"/>
          <w:b w:val="false"/>
          <w:bCs w:val="false"/>
          <w:i w:val="false"/>
          <w:iCs w:val="false"/>
          <w:sz w:val="24"/>
          <w:szCs w:val="24"/>
        </w:rPr>
        <w:t xml:space="preserve">Camera metrology is screening-grade: coarser and slower than infrared eye tracking, limited to gaze zones, gated on achieved frame rate, and blind to accommodation, which places accommodative outcomes outside this scope. Precision within a condition is bounded by the blinks it captures, giving a condition-level standard error near 0.06, so the power figures in Table 3.1 are upper bounds and blink counts are exported with every ratio. The manipulation cannot be blinded, leaving expectation effects on subjective ratings possible; generic fatigue and boredom are counterbalanced and modelled rather than eliminated; the NASA Task Load Index, administered once per sitting, is a descriptive session-level index rather than a contrast; and PERCLOS is insensitive to moderate drowsiness.</w:t>
      </w:r>
    </w:p>
    <w:p>
      <w:pPr>
        <w:spacing w:after="140" w:line="340"/>
        <w:jc w:val="both"/>
      </w:pPr>
      <w:r>
        <w:rPr>
          <w:rFonts w:ascii="Times New Roman" w:cs="Times New Roman" w:eastAsia="Times New Roman" w:hAnsi="Times New Roman"/>
          <w:b w:val="false"/>
          <w:bCs w:val="false"/>
          <w:i w:val="false"/>
          <w:iCs w:val="false"/>
          <w:sz w:val="24"/>
          <w:szCs w:val="24"/>
        </w:rPr>
        <w:t xml:space="preserve">Holding ambient illumination constant forfeits the polarity-by-room-light interaction — the form the popular claim about dark mode actually takes — places night-time reading outside scope, and prevents this study speaking to Sethi and Ziat (2023), who located the cognitive cost of negative polarity in younger adults specifically under dim conditions. The reason is measurement rather than convenience: at low illuminance the light reaching the face is dominated by the display, so camera-derived blink measures would have carried an artefact aligned with the primary independent variable (Section 2.4). The narrowing is real, and the findings hold at a single display-to-ambient ratio.</w:t>
      </w:r>
    </w:p>
    <w:p>
      <w:pPr>
        <w:spacing w:after="140" w:line="340"/>
        <w:jc w:val="both"/>
      </w:pPr>
      <w:r>
        <w:rPr>
          <w:rFonts w:ascii="Times New Roman" w:cs="Times New Roman" w:eastAsia="Times New Roman" w:hAnsi="Times New Roman"/>
          <w:b w:val="false"/>
          <w:bCs w:val="false"/>
          <w:i w:val="false"/>
          <w:iCs w:val="false"/>
          <w:sz w:val="24"/>
          <w:szCs w:val="24"/>
        </w:rPr>
        <w:t xml:space="preserve">Findings are further specific to the device, display technology, luminance range and population studied: adults aged 18 to 35 with normal or corrected vision and no colour-vision deficiency. Presbyopic, paediatric and colour-vision-deficient populations, in whom polarity effects may differ, are identified as future work.</w:t>
      </w:r>
    </w:p>
    <w:p>
      <w:pPr>
        <w:pStyle w:val="Heading2"/>
        <w:keepNext/>
        <w:spacing w:after="160" w:before="280"/>
      </w:pPr>
      <w:r>
        <w:rPr>
          <w:rFonts w:ascii="Times New Roman" w:cs="Times New Roman" w:eastAsia="Times New Roman" w:hAnsi="Times New Roman"/>
          <w:b/>
          <w:bCs/>
          <w:i w:val="false"/>
          <w:iCs w:val="false"/>
          <w:sz w:val="28"/>
          <w:szCs w:val="28"/>
        </w:rPr>
        <w:t xml:space="preserve">4.4 Concluding remarks</w:t>
      </w:r>
    </w:p>
    <w:p>
      <w:pPr>
        <w:spacing w:after="140" w:line="34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display polarity with a five-level text-colour factor at a controlled ambient illuminance, and measuring validated symptoms alongside ocular behaviour, workload and performance in one instrumented protocol, it is intended to provide quantified, standards-relevant evidence on display configuration for prolonged reading, and a measurement approach that may reduce reliance on manual annotation.</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REFERENCES</w:t>
      </w:r>
    </w:p>
    <w:p>
      <w:pPr>
        <w:spacing w:after="140" w:line="340"/>
        <w:jc w:val="both"/>
      </w:pPr>
      <w:r>
        <w:rPr>
          <w:rFonts w:ascii="Times New Roman" w:cs="Times New Roman" w:eastAsia="Times New Roman" w:hAnsi="Times New Roman"/>
          <w:b w:val="false"/>
          <w:bCs w:val="false"/>
          <w:i w:val="false"/>
          <w:iCs w:val="false"/>
          <w:sz w:val="24"/>
          <w:szCs w:val="24"/>
        </w:rPr>
        <w:t xml:space="preserve">Lin, M., Zheng, X., He, C., Li, M., Lu, F., &amp; Hu, L.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49</w:t>
      </w:r>
      <w:r>
        <w:rPr>
          <w:rFonts w:ascii="Times New Roman" w:cs="Times New Roman" w:eastAsia="Times New Roman" w:hAnsi="Times New Roman"/>
          <w:b w:val="false"/>
          <w:bCs w:val="false"/>
          <w:i w:val="false"/>
          <w:iCs w:val="false"/>
          <w:sz w:val="24"/>
          <w:szCs w:val="24"/>
        </w:rPr>
        <w:t xml:space="preserve">(1), 102515. https://doi.org/10.1016/j.clae.2025.102515</w:t>
      </w:r>
    </w:p>
    <w:p>
      <w:pPr>
        <w:spacing w:after="140" w:line="340"/>
        <w:jc w:val="both"/>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140" w:line="340"/>
        <w:jc w:val="both"/>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140" w:line="340"/>
        <w:jc w:val="both"/>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Mayr, S., &amp; Brandt, M. (2009). The advantage of positive text–background polarity is due to high display luminance.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52</w:t>
      </w:r>
      <w:r>
        <w:rPr>
          <w:rFonts w:ascii="Times New Roman" w:cs="Times New Roman" w:eastAsia="Times New Roman" w:hAnsi="Times New Roman"/>
          <w:b w:val="false"/>
          <w:bCs w:val="false"/>
          <w:i w:val="false"/>
          <w:iCs w:val="false"/>
          <w:sz w:val="24"/>
          <w:szCs w:val="24"/>
        </w:rPr>
        <w:t xml:space="preserve">(7), 882–886. https://doi.org/10.1080/00140130802641635</w:t>
      </w:r>
    </w:p>
    <w:p>
      <w:pPr>
        <w:spacing w:after="140" w:line="340"/>
        <w:jc w:val="both"/>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140" w:line="340"/>
        <w:jc w:val="both"/>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140" w:line="340"/>
        <w:jc w:val="both"/>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140" w:line="340"/>
        <w:jc w:val="both"/>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140" w:line="340"/>
        <w:jc w:val="both"/>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140" w:line="340"/>
        <w:jc w:val="both"/>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140" w:line="340"/>
        <w:jc w:val="both"/>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(pp. 139–183). North-Holland.</w:t>
      </w:r>
    </w:p>
    <w:p>
      <w:pPr>
        <w:spacing w:after="140" w:line="340"/>
        <w:jc w:val="both"/>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140" w:line="340"/>
        <w:jc w:val="both"/>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140" w:line="340"/>
        <w:jc w:val="both"/>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140" w:line="340"/>
        <w:jc w:val="both"/>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140" w:line="340"/>
        <w:jc w:val="both"/>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140" w:line="340"/>
        <w:jc w:val="both"/>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140" w:line="340"/>
        <w:jc w:val="both"/>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140" w:line="340"/>
        <w:jc w:val="both"/>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140" w:line="340"/>
        <w:jc w:val="both"/>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140" w:line="340"/>
        <w:jc w:val="both"/>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140" w:line="340"/>
        <w:jc w:val="both"/>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140" w:line="340"/>
        <w:jc w:val="both"/>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140" w:line="340"/>
        <w:jc w:val="both"/>
      </w:pPr>
      <w:r>
        <w:rPr>
          <w:rFonts w:ascii="Times New Roman" w:cs="Times New Roman" w:eastAsia="Times New Roman" w:hAnsi="Times New Roman"/>
          <w:b w:val="false"/>
          <w:bCs w:val="false"/>
          <w:i w:val="false"/>
          <w:iCs w:val="false"/>
          <w:sz w:val="24"/>
          <w:szCs w:val="24"/>
        </w:rPr>
        <w:t xml:space="preserve">Sengsoon, P., &amp; Intaruk, R. (2025). Immediate effects of light mode and dark mode features on visual fatigue in tablet users. </w:t>
      </w:r>
      <w:r>
        <w:rPr>
          <w:rFonts w:ascii="Times New Roman" w:cs="Times New Roman" w:eastAsia="Times New Roman" w:hAnsi="Times New Roman"/>
          <w:b w:val="false"/>
          <w:bCs w:val="false"/>
          <w:i/>
          <w:iCs/>
          <w:sz w:val="24"/>
          <w:szCs w:val="24"/>
        </w:rPr>
        <w:t xml:space="preserve">International Journal of Environmental Research and Public Health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(4), 609. https://doi.org/10.3390/ijerph22040609</w:t>
      </w:r>
    </w:p>
    <w:p>
      <w:pPr>
        <w:spacing w:after="140" w:line="340"/>
        <w:jc w:val="both"/>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140" w:line="340"/>
        <w:jc w:val="both"/>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140" w:line="340"/>
        <w:jc w:val="both"/>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140" w:line="340"/>
        <w:jc w:val="both"/>
      </w:pPr>
      <w:r>
        <w:rPr>
          <w:rFonts w:ascii="Times New Roman" w:cs="Times New Roman" w:eastAsia="Times New Roman" w:hAnsi="Times New Roman"/>
          <w:b w:val="false"/>
          <w:bCs w:val="false"/>
          <w:i w:val="false"/>
          <w:iCs w:val="false"/>
          <w:sz w:val="24"/>
          <w:szCs w:val="24"/>
        </w:rPr>
        <w:t xml:space="preserve">Soukupová, T., &amp; Čech, J. (2016). </w:t>
      </w:r>
      <w:r>
        <w:rPr>
          <w:rFonts w:ascii="Times New Roman" w:cs="Times New Roman" w:eastAsia="Times New Roman" w:hAnsi="Times New Roman"/>
          <w:b w:val="false"/>
          <w:bCs w:val="false"/>
          <w:i/>
          <w:iCs/>
          <w:sz w:val="24"/>
          <w:szCs w:val="24"/>
        </w:rPr>
        <w:t xml:space="preserve">Real-time eye blink detection using facial landmarks</w:t>
      </w:r>
      <w:r>
        <w:rPr>
          <w:rFonts w:ascii="Times New Roman" w:cs="Times New Roman" w:eastAsia="Times New Roman" w:hAnsi="Times New Roman"/>
          <w:b w:val="false"/>
          <w:bCs w:val="false"/>
          <w:i w:val="false"/>
          <w:iCs w:val="false"/>
          <w:sz w:val="24"/>
          <w:szCs w:val="24"/>
        </w:rPr>
        <w:t xml:space="preserve"> [Paper presentation]. 21st Computer Vision Winter Workshop, Rimske Toplice, Slovenia.</w:t>
      </w:r>
    </w:p>
    <w:p>
      <w:pPr>
        <w:spacing w:after="140" w:line="340"/>
        <w:jc w:val="both"/>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140" w:line="340"/>
        <w:jc w:val="both"/>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140" w:line="340"/>
        <w:jc w:val="both"/>
      </w:pPr>
      <w:r>
        <w:rPr>
          <w:rFonts w:ascii="Times New Roman" w:cs="Times New Roman" w:eastAsia="Times New Roman" w:hAnsi="Times New Roman"/>
          <w:b w:val="false"/>
          <w:bCs w:val="false"/>
          <w:i w:val="false"/>
          <w:iCs w:val="false"/>
          <w:sz w:val="24"/>
          <w:szCs w:val="24"/>
        </w:rPr>
        <w:t xml:space="preserve">World Wide Web Consortium. (2023, October 5).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https://www.w3.org/TR/WCAG22/</w:t>
      </w:r>
    </w:p>
    <w:p>
      <w:pPr>
        <w:spacing w:after="140" w:line="340"/>
        <w:jc w:val="both"/>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Date: ……………………………                     Signature of Scholar</w:t>
      </w:r>
    </w:p>
    <w:p>
      <w:pPr>
        <w:spacing w:after="140" w:line="340"/>
        <w:jc w:val="both"/>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140" w:line="340"/>
        <w:jc w:val="both"/>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1A2E"/>
      <w:sz w:val="32"/>
      <w:szCs w:val="32"/>
    </w:rPr>
  </w:style>
  <w:style w:type="paragraph" w:styleId="Heading2">
    <w:name w:val="Heading 2"/>
    <w:basedOn w:val="Normal"/>
    <w:next w:val="Normal"/>
    <w:qFormat/>
    <w:pPr>
      <w:spacing w:after="150" w:before="300"/>
    </w:pPr>
    <w:rPr>
      <w:rFonts w:ascii="Times New Roman" w:cs="Times New Roman" w:eastAsia="Times New Roman" w:hAnsi="Times New Roman"/>
      <w:b/>
      <w:bCs/>
      <w:color w:val="1A1A2E"/>
      <w:sz w:val="28"/>
      <w:szCs w:val="28"/>
    </w:rPr>
  </w:style>
  <w:style w:type="paragraph" w:styleId="Heading3">
    <w:name w:val="Heading 3"/>
    <w:basedOn w:val="Normal"/>
    <w:next w:val="Normal"/>
    <w:qFormat/>
    <w:pPr>
      <w:spacing w:after="130" w:before="260"/>
    </w:pPr>
    <w:rPr>
      <w:rFonts w:ascii="Times New Roman" w:cs="Times New Roman" w:eastAsia="Times New Roman" w:hAnsi="Times New Roman"/>
      <w:b/>
      <w:bCs/>
      <w:color w:val="243B53"/>
      <w:sz w:val="26"/>
      <w:szCs w:val="26"/>
    </w:rPr>
  </w:style>
  <w:style w:type="paragraph" w:styleId="Heading4">
    <w:name w:val="Heading 4"/>
    <w:basedOn w:val="Normal"/>
    <w:next w:val="Normal"/>
    <w:qFormat/>
    <w:pPr>
      <w:spacing w:after="110" w:before="220"/>
    </w:pPr>
    <w:rPr>
      <w:rFonts w:ascii="Times New Roman" w:cs="Times New Roman" w:eastAsia="Times New Roman" w:hAnsi="Times New Roman"/>
      <w:b/>
      <w:bCs/>
      <w:i/>
      <w:iCs/>
      <w:color w:val="243B53"/>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4b1347afe6c0a286a4b9dc5d82d87f13fbb3f0.png"/><Relationship Id="rId8" Type="http://schemas.openxmlformats.org/officeDocument/2006/relationships/image" Target="media/4e05bb5d022e75b9fcf2fa13458eb392642cb5be.png"/><Relationship Id="rId9" Type="http://schemas.openxmlformats.org/officeDocument/2006/relationships/image" Target="media/6e2c67485f6bac61850bb02cbc179dff28f4e821.png"/><Relationship Id="rId10" Type="http://schemas.openxmlformats.org/officeDocument/2006/relationships/image" Target="media/f94028606598c4ce9da3cdf1223c04f2f0901c0c.png"/><Relationship Id="rId11" Type="http://schemas.openxmlformats.org/officeDocument/2006/relationships/image" Target="media/dccde36574f0563b3f3ebbe33b21a2720f131ba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Literature — Display Polarity and Text Colour</dc:title>
  <dc:creator>PhD Synopsis</dc:creator>
  <dc:description>Literature review prepared for PhD synopsis presentation</dc:description>
  <cp:lastModifiedBy>Un-named</cp:lastModifiedBy>
  <cp:revision>1</cp:revision>
  <dcterms:created xsi:type="dcterms:W3CDTF">2026-09-09T07:47:55.454Z</dcterms:created>
  <dcterms:modified xsi:type="dcterms:W3CDTF">2026-09-09T07:47:55.454Z</dcterms:modified>
</cp:coreProperties>
</file>

<file path=docProps/custom.xml><?xml version="1.0" encoding="utf-8"?>
<Properties xmlns="http://schemas.openxmlformats.org/officeDocument/2006/custom-properties" xmlns:vt="http://schemas.openxmlformats.org/officeDocument/2006/docPropsVTypes"/>
</file>