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line="360"/>
        <w:jc w:val="center"/>
      </w:pPr>
      <w:r>
        <w:rPr>
          <w:rFonts w:ascii="Times New Roman" w:cs="Times New Roman" w:eastAsia="Times New Roman" w:hAnsi="Times New Roman"/>
          <w:b/>
          <w:bCs/>
          <w:i w:val="false"/>
          <w:iCs w:val="false"/>
          <w:sz w:val="28"/>
          <w:szCs w:val="28"/>
        </w:rPr>
        <w:t xml:space="preserve">ERGONOMICS OF VISUAL PERCEPTION: EFFECTS OF DISPLAY POLARITY, TEXT COLOUR AND AMBIENT ILLUMINATION ON VISUAL FATIGUE, OCULAR BEHAVIOUR AND TASK PERFORMANCE</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200" w:before="200" w:line="360"/>
        <w:jc w:val="center"/>
      </w:pPr>
      <w:r>
        <w:rPr>
          <w:rFonts w:ascii="Times New Roman" w:cs="Times New Roman" w:eastAsia="Times New Roman" w:hAnsi="Times New Roman"/>
          <w:b/>
          <w:bCs/>
          <w:i w:val="false"/>
          <w:iCs w:val="false"/>
          <w:sz w:val="24"/>
          <w:szCs w:val="24"/>
        </w:rPr>
        <w:t xml:space="preserve">DEGREE OF DOCTOR OF PHILOSOPHY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in</w:t>
      </w:r>
    </w:p>
    <w:p>
      <w:pPr>
        <w:spacing w:after="200" w:before="200" w:line="360"/>
        <w:jc w:val="center"/>
      </w:pPr>
      <w:r>
        <w:rPr>
          <w:rFonts w:ascii="Times New Roman" w:cs="Times New Roman" w:eastAsia="Times New Roman" w:hAnsi="Times New Roman"/>
          <w:b/>
          <w:bCs/>
          <w:i w:val="false"/>
          <w:iCs w:val="false"/>
          <w:sz w:val="24"/>
          <w:szCs w:val="24"/>
        </w:rPr>
        <w:t xml:space="preserve">OPTOMETRY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By</w:t>
      </w:r>
    </w:p>
    <w:p>
      <w:pPr>
        <w:spacing w:after="200" w:before="200" w:line="360"/>
        <w:jc w:val="center"/>
      </w:pPr>
      <w:r>
        <w:rPr>
          <w:rFonts w:ascii="Times New Roman" w:cs="Times New Roman" w:eastAsia="Times New Roman" w:hAnsi="Times New Roman"/>
          <w:b/>
          <w:bCs/>
          <w:i w:val="false"/>
          <w:iCs w:val="false"/>
          <w:sz w:val="24"/>
          <w:szCs w:val="24"/>
        </w:rPr>
        <w:t xml:space="preserve">GYANDEEP NATH</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Registration No. ………………………………………</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Assam down town University</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200" w:before="200" w:line="360"/>
        <w:jc w:val="center"/>
      </w:pPr>
      <w:r>
        <w:rPr>
          <w:rFonts w:ascii="Times New Roman" w:cs="Times New Roman" w:eastAsia="Times New Roman" w:hAnsi="Times New Roman"/>
          <w:b w:val="false"/>
          <w:bCs w:val="false"/>
          <w:i w:val="false"/>
          <w:iCs w:val="false"/>
          <w:sz w:val="24"/>
          <w:szCs w:val="24"/>
        </w:rPr>
        <w:t xml:space="preserve">……………</w:t>
      </w:r>
    </w:p>
    <w:p>
      <w:r>
        <w:br w:type="page"/>
      </w:r>
    </w:p>
    <w:p>
      <w:pPr>
        <w:spacing w:after="160" w:before="160" w:line="360"/>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60" w:before="160" w:line="360"/>
      </w:pPr>
      <w:r>
        <w:rPr>
          <w:rFonts w:ascii="Times New Roman" w:cs="Times New Roman" w:eastAsia="Times New Roman" w:hAnsi="Times New Roman"/>
          <w:b w:val="false"/>
          <w:bCs w:val="false"/>
          <w:i w:val="false"/>
          <w:iCs w:val="false"/>
          <w:sz w:val="24"/>
          <w:szCs w:val="24"/>
        </w:rPr>
        <w:t xml:space="preserve">Faculty of Study : Faculty of Paramedical Sciences</w:t>
      </w:r>
    </w:p>
    <w:p>
      <w:pPr>
        <w:spacing w:after="160" w:before="160" w:line="360"/>
      </w:pPr>
      <w:r>
        <w:rPr>
          <w:rFonts w:ascii="Times New Roman" w:cs="Times New Roman" w:eastAsia="Times New Roman" w:hAnsi="Times New Roman"/>
          <w:b w:val="false"/>
          <w:bCs w:val="false"/>
          <w:i w:val="false"/>
          <w:iCs w:val="false"/>
          <w:sz w:val="24"/>
          <w:szCs w:val="24"/>
        </w:rPr>
        <w:t xml:space="preserve">Department/Discipline : Optometry</w:t>
      </w:r>
    </w:p>
    <w:p>
      <w:pPr>
        <w:spacing w:after="160" w:before="160" w:line="360"/>
      </w:pPr>
      <w:r>
        <w:rPr>
          <w:rFonts w:ascii="Times New Roman" w:cs="Times New Roman" w:eastAsia="Times New Roman" w:hAnsi="Times New Roman"/>
          <w:b w:val="false"/>
          <w:bCs w:val="false"/>
          <w:i w:val="false"/>
          <w:iCs w:val="false"/>
          <w:sz w:val="24"/>
          <w:szCs w:val="24"/>
        </w:rPr>
        <w:t xml:space="preserve">Batch/session : …………………………………………………</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pPr>
        <w:spacing w:after="160" w:before="160" w:line="360"/>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1: INTRODUCTION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1.1 Background</w:t>
      </w:r>
    </w:p>
    <w:p>
      <w:pPr>
        <w:spacing w:after="60" w:line="360"/>
        <w:jc w:val="both"/>
      </w:pPr>
      <w:r>
        <w:rPr>
          <w:rFonts w:ascii="Times New Roman" w:cs="Times New Roman" w:eastAsia="Times New Roman" w:hAnsi="Times New Roman"/>
          <w:b w:val="false"/>
          <w:bCs w:val="false"/>
          <w:i w:val="false"/>
          <w:iCs w:val="false"/>
          <w:sz w:val="24"/>
          <w:szCs w:val="24"/>
        </w:rPr>
        <w:t xml:space="preserve">Sustained reading has shifted from print to self-luminous displays, and tablets now mediate much of that reading in education, work and leisure. A printed page reflects ambient light; a display emits its own, and the properties of that emission are set in software. Polarity (whether text is dark on a light field or light on a dark one), chromaticity, luminance and contrast are all configurable, and are configured routinely by designers and by users selecting interface themes, of which the adoption of "dark mode" is the most visible instance. These choices are made at very large scale with little evidence about their consequences for the eye.</w:t>
      </w:r>
    </w:p>
    <w:p>
      <w:pPr>
        <w:spacing w:after="60" w:line="360"/>
        <w:jc w:val="both"/>
      </w:pPr>
      <w:r>
        <w:rPr>
          <w:rFonts w:ascii="Times New Roman" w:cs="Times New Roman" w:eastAsia="Times New Roman" w:hAnsi="Times New Roman"/>
          <w:b w:val="false"/>
          <w:bCs w:val="false"/>
          <w:i w:val="false"/>
          <w:iCs w:val="false"/>
          <w:sz w:val="24"/>
          <w:szCs w:val="24"/>
        </w:rPr>
        <w:t xml:space="preserve">A systematic review and meta-analysis of 103 cross-sectional studies covering 66,577 participants placed the pooled prevalence of computer vision syndrome at 69.0 per cent (95% CI 62.3–75.3), with individual estimates ranging from 12.1 to 97.3 per cent [1]. Prevalence was higher among women (71.4 versus 61.8 per cent) and university students (76.1 per cent), and reviews report a further rise with remote work and study, reaching 50 to 60 per cent among children [2,3].</w:t>
      </w:r>
    </w:p>
    <w:p>
      <w:pPr>
        <w:spacing w:after="60" w:line="360"/>
        <w:jc w:val="both"/>
      </w:pPr>
      <w:r>
        <w:rPr>
          <w:rFonts w:ascii="Times New Roman" w:cs="Times New Roman" w:eastAsia="Times New Roman" w:hAnsi="Times New Roman"/>
          <w:b w:val="false"/>
          <w:bCs w:val="false"/>
          <w:i w:val="false"/>
          <w:iCs w:val="false"/>
          <w:sz w:val="24"/>
          <w:szCs w:val="24"/>
        </w:rPr>
        <w:t xml:space="preserve">The condition is termed either computer vision syndrome or digital eye strain, the labels being used almost interchangeably for the same cluster of complaints: dryness, burning, irritation, watering, blurred vision, difficulty refocusing, headache and photophobia, often with neck and shoulder discomfort [2,3,4]. Case definitions remain unstandardised, and the prevalence synthesis closes by calling for one [1].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1.2 Biophysiological basis</w:t>
      </w:r>
    </w:p>
    <w:p>
      <w:pPr>
        <w:spacing w:after="60" w:line="360"/>
        <w:jc w:val="both"/>
      </w:pPr>
      <w:r>
        <w:rPr>
          <w:rFonts w:ascii="Times New Roman" w:cs="Times New Roman" w:eastAsia="Times New Roman" w:hAnsi="Times New Roman"/>
          <w:b w:val="false"/>
          <w:bCs w:val="false"/>
          <w:i w:val="false"/>
          <w:iCs w:val="false"/>
          <w:sz w:val="24"/>
          <w:szCs w:val="24"/>
        </w:rPr>
        <w:t xml:space="preserve">Symptoms fall into two mechanistically distinct groups [3]. The first arises from accommodative and vergence stress, presenting as difficulty focusing, blurred vision, near-work-induced transient myopia and headache. The second arises at the ocular surface, presenting as dryness, burning and irritation.</w:t>
      </w:r>
    </w:p>
    <w:p>
      <w:pPr>
        <w:spacing w:after="60" w:line="360"/>
        <w:jc w:val="both"/>
      </w:pPr>
      <w:r>
        <w:rPr>
          <w:rFonts w:ascii="Times New Roman" w:cs="Times New Roman" w:eastAsia="Times New Roman" w:hAnsi="Times New Roman"/>
          <w:b w:val="false"/>
          <w:bCs w:val="false"/>
          <w:i w:val="false"/>
          <w:iCs w:val="false"/>
          <w:sz w:val="24"/>
          <w:szCs w:val="24"/>
        </w:rPr>
        <w:t xml:space="preserve">The ocular-surface route is the better described. Display work suppresses spontaneous blinking and raises the proportion of blinks that fail to close fully; incomplete closure enlarges the exposed evaporative area and impairs the spread of meibomian lipid, so tear-film stability falls and the surface enters the recognised inflammatory cycle of dry eye disease [5,6]. Mechanistic review attributes display-associated dry eye principally to impaired blinking, finding insufficient support for parasympathetic or blue-light contributions [6]. The accommodative route is more heterogeneously evidenced but responds measurably to display parameters [7,8].</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1.3 Polarity, text colour and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Three configurable properties of the reading stimulus bear on retinal illuminance, pupil state and visual effort, and are reviewed in detail in Chapter 2.</w:t>
      </w:r>
    </w:p>
    <w:p>
      <w:pPr>
        <w:spacing w:after="60" w:line="360"/>
        <w:jc w:val="both"/>
      </w:pPr>
      <w:r>
        <w:rPr>
          <w:rFonts w:ascii="Times New Roman" w:cs="Times New Roman" w:eastAsia="Times New Roman" w:hAnsi="Times New Roman"/>
          <w:b w:val="false"/>
          <w:bCs w:val="false"/>
          <w:i w:val="false"/>
          <w:iCs w:val="false"/>
          <w:sz w:val="24"/>
          <w:szCs w:val="24"/>
        </w:rPr>
        <w:t xml:space="preserve">The most reliably replicated is the positive polarity advantage: reading is better for dark text on a light field than for light text on a dark one, attributed to the greater light emitted by positive-polarity displays, which constricts the pupil, reduces optical aberration and sharpens the retinal image [9,10,11]. Text colour has been studied far less, and no study has crossed it with polarity while measuring fatigue [7,12]. Any manipulation of text colour also manipulates luminance contrast, since chromatic pigments differ intrinsically in relative luminance and chromatic contrast cannot substitute for luminance contrast [9], so an apparent effect of colour may be an effect of contrast unless the two are measured separately. Ambient light adds veiling luminance and drives pupil size independently of the display, interacting with the same mechanism [12,13].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1.4 Statement of the problem</w:t>
      </w:r>
    </w:p>
    <w:p>
      <w:pPr>
        <w:spacing w:after="60" w:line="360"/>
        <w:jc w:val="both"/>
      </w:pPr>
      <w:r>
        <w:rPr>
          <w:rFonts w:ascii="Times New Roman" w:cs="Times New Roman" w:eastAsia="Times New Roman" w:hAnsi="Times New Roman"/>
          <w:b w:val="false"/>
          <w:bCs w:val="false"/>
          <w:i w:val="false"/>
          <w:iCs w:val="false"/>
          <w:sz w:val="24"/>
          <w:szCs w:val="24"/>
        </w:rPr>
        <w:t xml:space="preserve">Roughly seven in ten screen users report symptoms of digital eye strain [1], yet the remedies most heavily promoted for it lack trial support. A systematic review and meta-analysis of 45 randomised controlled trials involving 4,497 participants found no high-certainty evidence for any therapy examined, including blue-blocking lenses, with only low-certainty benefit for oral omega-3 in dry-eye symptoms [15]. A separate review in younger users reached the same conclusion on blue-blocking filters, supporting ergonomic optimisation and shorter exposure instead [16].</w:t>
      </w:r>
    </w:p>
    <w:p>
      <w:pPr>
        <w:spacing w:after="60" w:line="360"/>
        <w:jc w:val="both"/>
      </w:pPr>
      <w:r>
        <w:rPr>
          <w:rFonts w:ascii="Times New Roman" w:cs="Times New Roman" w:eastAsia="Times New Roman" w:hAnsi="Times New Roman"/>
          <w:b w:val="false"/>
          <w:bCs w:val="false"/>
          <w:i w:val="false"/>
          <w:iCs w:val="false"/>
          <w:sz w:val="24"/>
          <w:szCs w:val="24"/>
        </w:rPr>
        <w:t xml:space="preserve">The properties of the displayed stimulus are upstream of the visual load, cost nothing to change and can be deployed universally, yet remain the least investigated. Work on polarity is confined to brief, threshold-limited tasks using achromatic text, and does not extend to prolonged reading, blinking behaviour or validated symptom measurement. Work on text colour is limited to short exposures without symptom outcomes [7], or to a single polarity [12]. No study has therefore estimated how polarity and text colour interact, separated hue from luminance contrast, crossed either with ambient illumination, or measured a validated symptom instrument alongside the ocular marker most specific to this condition. Compounding this, blink completeness has been measured by frame-by-frame manual annotation, restricting the literature to samples of eleven to fifty participants [17,18,19].</w:t>
      </w:r>
    </w:p>
    <w:p>
      <w:pPr>
        <w:spacing w:after="60" w:line="360"/>
        <w:jc w:val="both"/>
      </w:pPr>
      <w:r>
        <w:rPr>
          <w:rFonts w:ascii="Times New Roman" w:cs="Times New Roman" w:eastAsia="Times New Roman" w:hAnsi="Times New Roman"/>
          <w:b w:val="false"/>
          <w:bCs w:val="false"/>
          <w:i w:val="false"/>
          <w:iCs w:val="false"/>
          <w:sz w:val="24"/>
          <w:szCs w:val="24"/>
        </w:rPr>
        <w:t xml:space="preserve">A clinician, designer or standards body therefore has no evidence base from which to advise how a tablet should be configured for prolonged reading, or how that configuration should change with the light in which it is used.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1.5 Rationale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addresses a determinant of visual health that is common, freely modifiable and poorly evidenced, using a design that can answer a question the existing literature cannot.</w:t>
      </w:r>
    </w:p>
    <w:p>
      <w:pPr>
        <w:spacing w:after="60" w:line="360"/>
        <w:jc w:val="both"/>
      </w:pPr>
      <w:r>
        <w:rPr>
          <w:rFonts w:ascii="Times New Roman" w:cs="Times New Roman" w:eastAsia="Times New Roman" w:hAnsi="Times New Roman"/>
          <w:b w:val="false"/>
          <w:bCs w:val="false"/>
          <w:i w:val="false"/>
          <w:iCs w:val="false"/>
          <w:sz w:val="24"/>
          <w:szCs w:val="24"/>
        </w:rPr>
        <w:t xml:space="preserve">Because chromatic luminance differs by hue, the rank order of luminance contrast reverses between the two polarities in the proposed condition set (Table 3.3). Blue and red are high in contrast on a white field but fall below the accessibility minimum on a black one, while yellow and green behave oppositely. The polarity-by-colour interaction therefore functions as a direct test of whether reported colour effects are effects of hue or of luminance contrast. The ordering Fan and colleagues reported under negative polarity, red worst and yellow best, is precisely what luminance contrast alone would predict for those hues on a black background [12], and a single-polarity design cannot exclude that explanation.</w:t>
      </w:r>
    </w:p>
    <w:p>
      <w:pPr>
        <w:spacing w:after="60" w:line="360"/>
        <w:jc w:val="both"/>
      </w:pPr>
      <w:r>
        <w:rPr>
          <w:rFonts w:ascii="Times New Roman" w:cs="Times New Roman" w:eastAsia="Times New Roman" w:hAnsi="Times New Roman"/>
          <w:b w:val="false"/>
          <w:bCs w:val="false"/>
          <w:i w:val="false"/>
          <w:iCs w:val="false"/>
          <w:sz w:val="24"/>
          <w:szCs w:val="24"/>
        </w:rPr>
        <w:t xml:space="preserve">Manipulating ambient light across sessions tests the polarity effect where it matters behaviourally, since devices are used extensively at night and in dim domestic settings, where negative polarity is predicted to cost most [13]. Validating an automated measure of blink completeness would remove the annotation bottleneck that has kept this literature small. The findings bear on interface design, on accessibility standards whose contrast criterion does not account for polarity [20,21], on public health guidance, and on the advice optometrists give patients, an area in which practitioners are documented to lack quality evidence [3].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1.6 Aim</w:t>
      </w:r>
    </w:p>
    <w:p>
      <w:pPr>
        <w:spacing w:after="60" w:line="360"/>
        <w:jc w:val="both"/>
      </w:pPr>
      <w:r>
        <w:rPr>
          <w:rFonts w:ascii="Times New Roman" w:cs="Times New Roman" w:eastAsia="Times New Roman" w:hAnsi="Times New Roman"/>
          <w:b w:val="false"/>
          <w:bCs w:val="false"/>
          <w:i w:val="false"/>
          <w:iCs w:val="false"/>
          <w:sz w:val="24"/>
          <w:szCs w:val="24"/>
        </w:rPr>
        <w:t xml:space="preserve">To determine how display polarity, text colour and ambient illumination, individually and in combination, affect visual fatigue, ocular behaviour and task performance during prolonged tablet reading, and to validate a scalable instrument for objective ocular measurement of digital eye strain outside the specialist laboratory.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1.7 Objectives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text colour and ambient illumination on subjective visual fatigue, ocular behaviour, cognitive workload and task performance during prolonged tablet reading.</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distinguish the contribution of luminance contrast from that of hue, by computing standards-based contrast metrics for every condition and modelling contrast explicitly alongside colour.</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configuration of polarity, colour and illumination that minimises visual fatigue and maximises task performance, and to examine how participant characteristics moderate these effects.</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1.8 Hypotheses</w:t>
      </w:r>
    </w:p>
    <w:p>
      <w:pPr>
        <w:spacing w:after="60" w:line="360"/>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text colour and ambient illumination have no significant effect, individually or in combination, on visual fatigue, ocular behaviour, cognitive workload or task performance.</w:t>
      </w:r>
    </w:p>
    <w:p>
      <w:pPr>
        <w:spacing w:after="60" w:line="360"/>
        <w:jc w:val="both"/>
      </w:pPr>
      <w:r>
        <w:rPr>
          <w:rFonts w:ascii="Times New Roman" w:cs="Times New Roman" w:eastAsia="Times New Roman" w:hAnsi="Times New Roman"/>
          <w:b/>
          <w:bCs/>
          <w:i w:val="false"/>
          <w:iCs w:val="false"/>
          <w:sz w:val="24"/>
          <w:szCs w:val="24"/>
        </w:rPr>
        <w:t xml:space="preserve">H₁ (Main effects).</w:t>
      </w:r>
      <w:r>
        <w:rPr>
          <w:rFonts w:ascii="Times New Roman" w:cs="Times New Roman" w:eastAsia="Times New Roman" w:hAnsi="Times New Roman"/>
          <w:b w:val="false"/>
          <w:bCs w:val="false"/>
          <w:i w:val="false"/>
          <w:iCs w:val="false"/>
          <w:sz w:val="24"/>
          <w:szCs w:val="24"/>
        </w:rPr>
        <w:t xml:space="preserve"> Positive polarity, higher luminance contrast and higher ambient illumination are each associated with lower subjective visual fatigue, a lower incomplete-blink ratio and better task performance.</w:t>
      </w:r>
    </w:p>
    <w:p>
      <w:pPr>
        <w:spacing w:after="60" w:line="360"/>
        <w:jc w:val="both"/>
      </w:pPr>
      <w:r>
        <w:rPr>
          <w:rFonts w:ascii="Times New Roman" w:cs="Times New Roman" w:eastAsia="Times New Roman" w:hAnsi="Times New Roman"/>
          <w:b/>
          <w:bCs/>
          <w:i w:val="false"/>
          <w:iCs w:val="false"/>
          <w:sz w:val="24"/>
          <w:szCs w:val="24"/>
        </w:rPr>
        <w:t xml:space="preserve">H₂ (Interaction and the contrast–hue test).</w:t>
      </w:r>
      <w:r>
        <w:rPr>
          <w:rFonts w:ascii="Times New Roman" w:cs="Times New Roman" w:eastAsia="Times New Roman" w:hAnsi="Times New Roman"/>
          <w:b w:val="false"/>
          <w:bCs w:val="false"/>
          <w:i w:val="false"/>
          <w:iCs w:val="false"/>
          <w:sz w:val="24"/>
          <w:szCs w:val="24"/>
        </w:rPr>
        <w:t xml:space="preserve"> Polarity interacts with text colour and with ambient illumination. If colour acts through luminance contrast, the ordering of colours will reverse between polarities, with yellow and green most favourable on a dark field and blue and red most favourable on a light one. If hue exerts an effect independent of contrast, the ordering will hold across both polarities, with red expected to be least favourable [12]. The cost of negative polarity is further expected to be greater under dim than under moderate illumination [13].</w:t>
      </w:r>
    </w:p>
    <w:p>
      <w:pPr>
        <w:spacing w:after="60" w:line="360"/>
        <w:jc w:val="both"/>
      </w:pPr>
      <w:r>
        <w:rPr>
          <w:rFonts w:ascii="Times New Roman" w:cs="Times New Roman" w:eastAsia="Times New Roman" w:hAnsi="Times New Roman"/>
          <w:b/>
          <w:bCs/>
          <w:i w:val="false"/>
          <w:iCs w:val="false"/>
          <w:sz w:val="24"/>
          <w:szCs w:val="24"/>
        </w:rPr>
        <w:t xml:space="preserve">H₃ (Individual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1.9 Conceptual framework</w:t>
      </w:r>
    </w:p>
    <w:p>
      <w:pPr>
        <w:spacing w:after="60" w:line="360"/>
        <w:jc w:val="both"/>
      </w:pPr>
      <w:r>
        <w:rPr>
          <w:rFonts w:ascii="Times New Roman" w:cs="Times New Roman" w:eastAsia="Times New Roman" w:hAnsi="Times New Roman"/>
          <w:b w:val="false"/>
          <w:bCs w:val="false"/>
          <w:i w:val="false"/>
          <w:iCs w:val="false"/>
          <w:sz w:val="24"/>
          <w:szCs w:val="24"/>
        </w:rPr>
        <w:t xml:space="preserve">Display configuration and ambient illuminance act through two proximal mechanisms, summarised in Table 1.1. Along the optical route, display and room luminance determine pupil diameter, which governs aberration and depth of focus and therefore retinal image quality, legibility and accommodative demand. Along the ocular-surface route, visual and cognitive demand suppress blink rate and raise incomplete blinking, destabilising the tear film. Both routes feed the manifest outcomes of reading rate, comprehension, visual search, sustained attention, perceived comfort, workload and subjective fatigue. Time on task exerts its own effect and is counterbalanced and modelled [22,23]; sleepiness, indexed by PERCLOS, and disengagement are treated as measured confounders; participant characteristics modulate susceptibility throughout.</w:t>
      </w:r>
    </w:p>
    <w:p>
      <w:pPr>
        <w:spacing w:after="60" w:line="360"/>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642"/>
        <w:gridCol w:w="1319"/>
        <w:gridCol w:w="1292"/>
        <w:gridCol w:w="2100"/>
        <w:gridCol w:w="1830"/>
        <w:gridCol w:w="238"/>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Pathway</w:t>
            </w:r>
          </w:p>
        </w:tc>
        <w:tc>
          <w:tcPr>
            <w:tcW w:type="dxa" w:w="1642"/>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Antecedent (independent variable)</w:t>
            </w:r>
          </w:p>
        </w:tc>
        <w:tc>
          <w:tcPr>
            <w:tcW w:type="dxa" w:w="131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Proximal mechanism</w:t>
            </w:r>
          </w:p>
        </w:tc>
        <w:tc>
          <w:tcPr>
            <w:tcW w:type="dxa" w:w="1292"/>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Mediating state</w:t>
            </w:r>
          </w:p>
        </w:tc>
        <w:tc>
          <w:tcPr>
            <w:tcW w:type="dxa" w:w="210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Symptom cluster</w:t>
            </w:r>
          </w:p>
        </w:tc>
        <w:tc>
          <w:tcPr>
            <w:tcW w:type="dxa" w:w="18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Measured outcome</w:t>
            </w:r>
          </w:p>
        </w:tc>
        <w:tc>
          <w:tcPr>
            <w:tcW w:type="dxa" w:w="2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Evidence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Optical / refractive</w:t>
            </w:r>
          </w:p>
        </w:tc>
        <w:tc>
          <w:tcPr>
            <w:tcW w:type="dxa" w:w="164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luminance and polarity; ambient illuminance</w:t>
            </w:r>
          </w:p>
        </w:tc>
        <w:tc>
          <w:tcPr>
            <w:tcW w:type="dxa" w:w="131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 diameter → aberration and depth of focus</w:t>
            </w:r>
          </w:p>
        </w:tc>
        <w:tc>
          <w:tcPr>
            <w:tcW w:type="dxa" w:w="129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Retinal image quality; accommodative demand</w:t>
            </w:r>
          </w:p>
        </w:tc>
        <w:tc>
          <w:tcPr>
            <w:tcW w:type="dxa" w:w="210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Accommodative/vergence (blur, focusing difficulty, headache, transient myopia)</w:t>
            </w:r>
          </w:p>
        </w:tc>
        <w:tc>
          <w:tcPr>
            <w:tcW w:type="dxa" w:w="18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rate; comprehension; visual search; perceived clarity</w:t>
            </w:r>
          </w:p>
        </w:tc>
        <w:tc>
          <w:tcPr>
            <w:tcW w:type="dxa" w:w="2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[7,8,10,11,13]</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w:t>
            </w:r>
          </w:p>
        </w:tc>
        <w:tc>
          <w:tcPr>
            <w:tcW w:type="dxa" w:w="164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Luminance contrast; chromaticity; visual and cognitive demand</w:t>
            </w:r>
          </w:p>
        </w:tc>
        <w:tc>
          <w:tcPr>
            <w:tcW w:type="dxa" w:w="131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Reduced blink rate; increased incomplete blinking</w:t>
            </w:r>
          </w:p>
        </w:tc>
        <w:tc>
          <w:tcPr>
            <w:tcW w:type="dxa" w:w="129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Exposed evaporative area; tear-film stability</w:t>
            </w:r>
          </w:p>
        </w:tc>
        <w:tc>
          <w:tcPr>
            <w:tcW w:type="dxa" w:w="210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surface (dryness, burning, irritation)</w:t>
            </w:r>
          </w:p>
        </w:tc>
        <w:tc>
          <w:tcPr>
            <w:tcW w:type="dxa" w:w="18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blink rate; inter-blink interval; CVS-Q, VAS</w:t>
            </w:r>
          </w:p>
        </w:tc>
        <w:tc>
          <w:tcPr>
            <w:tcW w:type="dxa" w:w="2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[5,6,17,18,19]</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Cross-cutting</w:t>
            </w:r>
          </w:p>
        </w:tc>
        <w:tc>
          <w:tcPr>
            <w:tcW w:type="dxa" w:w="164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Time on task; sleepiness; disengagement; participant factors</w:t>
            </w:r>
          </w:p>
        </w:tc>
        <w:tc>
          <w:tcPr>
            <w:tcW w:type="dxa" w:w="131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Resource depletion; arousal state; habituation</w:t>
            </w:r>
          </w:p>
        </w:tc>
        <w:tc>
          <w:tcPr>
            <w:tcW w:type="dxa" w:w="129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Sustained-attention capacity; response criterion</w:t>
            </w:r>
          </w:p>
        </w:tc>
        <w:tc>
          <w:tcPr>
            <w:tcW w:type="dxa" w:w="210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18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RT variability and lapses; PERCLOS; engagement flags</w:t>
            </w:r>
          </w:p>
        </w:tc>
        <w:tc>
          <w:tcPr>
            <w:tcW w:type="dxa" w:w="2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[22,23,27,28]</w:t>
            </w:r>
          </w:p>
        </w:tc>
      </w:tr>
    </w:tbl>
    <w:p>
      <w:pPr>
        <w:spacing w:after="90"/>
      </w:pPr>
      <w:r>
        <w:rPr>
          <w:sz w:val="12"/>
          <w:szCs w:val="12"/>
        </w:rPr>
        <w:t xml:space="preserve"/>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2: REVIEW OF LITERATURE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2.1 Burden, risk factors and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[1]. One finding carries methodological force: prevalence was higher in studies that did not use the Computer Vision Syndrome Questionnaire (75.4 per cent), and meta-regression associated use of that instrument with lower estimates [1],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[1,3,4,16], and note that preventive measures acting at different points of the dry-eye cycle may be complementary [5].</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2.2 Display polarity</w:t>
      </w:r>
    </w:p>
    <w:p>
      <w:pPr>
        <w:spacing w:after="60" w:line="360"/>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60" w:line="360"/>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871"/>
        <w:gridCol w:w="650"/>
        <w:gridCol w:w="650"/>
        <w:gridCol w:w="2903"/>
        <w:gridCol w:w="2903"/>
        <w:gridCol w:w="444"/>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87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90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90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44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illumination × chromaticity</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Polarity advantage independent of lighting and chromaticity; colour contrast cannot replace luminance contrast</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Short task; no ocular or symptom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 [10]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Pupillometry with proofreading; polarity</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Smaller pupils and better performance under positive polarity</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Piepenbrock et al. [11]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polarity × character size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Advantage increased linearly as character size decreased</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 brief exposure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Adaptive-staircase psychophysics; typeface × polarity × size × age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Black-on-white more legible than white-on-black; typeface interacted with age</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Glance reading only; threshold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Lexical decision; polarity × illumination × size</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Thresholds worst for negative polarity under near-dark light</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fatigue or ocular-surface outcomes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Sethi &amp; Ziat [25]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with subjective and affective measures; polarity × environment × age × task</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cognitive load under negative polarity, conditional on age and lighting</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Search and writing tasks;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87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Lin et al. [14]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Visual-ergonomic optimisation; luminance × polarity at 300 lux</w:t>
            </w:r>
          </w:p>
        </w:tc>
        <w:tc>
          <w:tcPr>
            <w:tcW w:type="dxa" w:w="290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preferable; optimum display luminance 153 cd/m²</w:t>
            </w:r>
          </w:p>
        </w:tc>
        <w:tc>
          <w:tcPr>
            <w:tcW w:type="dxa" w:w="44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Desktop head-up display; office lighting only; achromatic</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Ziat's finding that the cognitive cost of negative polarity depended jointly on age and lighting [25] indicates that polarity effects are conditional rather than universal.</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2.3 Text colour and the contrast confound</w:t>
      </w:r>
    </w:p>
    <w:p>
      <w:pPr>
        <w:spacing w:after="60" w:line="360"/>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study has crossed colour with polarity while measuring fatigue.</w:t>
      </w:r>
    </w:p>
    <w:p>
      <w:pPr>
        <w:spacing w:after="60" w:line="360"/>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834"/>
        <w:gridCol w:w="650"/>
        <w:gridCol w:w="650"/>
        <w:gridCol w:w="2780"/>
        <w:gridCol w:w="2780"/>
        <w:gridCol w:w="727"/>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83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 and manipulation</w:t>
            </w:r>
          </w:p>
        </w:tc>
        <w:tc>
          <w:tcPr>
            <w:tcW w:type="dxa" w:w="2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72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Proofreading; colour contrast vs luminance contrast (red-on-green)</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contrast cannot compensate for absent luminance contrast</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chromatic pair; short task</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 [7]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Binocular open-field autorefractometry; 14 text–background colour combinations, 2-min passages</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modulated accommodative and pupillary dynamics; low-contrast pairs rated less legible; reading speed unaffected</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2-min exposure; no symptom-level outcome; lab instrumentation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 [36]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and Likert scales; 2 colour modes × 6 luminance-contrast ratios at night</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mode raised blink rate and pupil accommodation, yet light mode was rated less fatiguing and preferred</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Objective–subjective dissociation unexplained; 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 [37]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tracker and EEG; paradigm colour × screen brightness in a dark environment</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reduced fatigue; blue preferred to red; no EEG colour effect</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paradigm stimuli; no ocular-surface measures</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83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 [12]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Eye tracking during reading; ambient illumination × text colour, negative polarity only</w:t>
            </w:r>
          </w:p>
        </w:tc>
        <w:tc>
          <w:tcPr>
            <w:tcW w:type="dxa" w:w="2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 most fatiguing, yellow least; performance better with yellow and white</w:t>
            </w:r>
          </w:p>
        </w:tc>
        <w:tc>
          <w:tcPr>
            <w:tcW w:type="dxa" w:w="72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 hue confounded with contrast</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[7] and those finding effects on fatigue and performance [12], which neither was designed to estimate. More consequentially, none separates hue from luminance contrast: because chromatic pigments differ in relative luminance, a fixed colour set rendered on light and dark fields produces unequal, polarity-asymmetric contrasts, so contrast is an inseparable covarying property of any colour manipulation and must be modelled [9]. Xie and colleagues add a complication directly relevant here, their objective and subjective indices pointing in opposite directions, dark mode improving blink measures while light mode was preferred and rated less fatiguing [36].</w:t>
      </w:r>
    </w:p>
    <w:p>
      <w:pPr>
        <w:spacing w:after="60" w:line="360"/>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[20],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[21]. That a polarity-blind criterion governs a domain in which polarity is among the strongest determinants of legibility [9,10,11,13] is a problem to which empirical work can contribute.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[13] and the fatigue cost of coloured text under it [12], consistent with a pupil-mediated account in which room light and display polarity trade against one another (Table 2.3).</w:t>
      </w:r>
    </w:p>
    <w:p>
      <w:pPr>
        <w:spacing w:after="60" w:line="360"/>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432"/>
        <w:gridCol w:w="650"/>
        <w:gridCol w:w="650"/>
        <w:gridCol w:w="2167"/>
        <w:gridCol w:w="2938"/>
        <w:gridCol w:w="584"/>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432"/>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16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Illumination manipulated</w:t>
            </w:r>
          </w:p>
        </w:tc>
        <w:tc>
          <w:tcPr>
            <w:tcW w:type="dxa" w:w="293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584"/>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Buchner &amp; Baumgartner [9]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2007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Darkness vs typical office lighting</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Positive polarity advantage independent of ambient lighting</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coarse levels; proofreading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Dobres et al. [13]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Near-dark vs daylight-like</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worst under near-dark; raising illumination or switching polarity restored legibility</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Threshold legibility only; no fatigue outcome</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Xie et al. [36]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ambient illumination at night, 6 contrast ratios</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 mode and contrast jointly affected fatigue under low light</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Night conditions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Tian et al. [37]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environment, graded screen brightness</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Low screen brightness in darkness reduced fatigue; sensitivity most vulnerable at medium-high brightness</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Non-reading stimuli</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Fan et al. [12]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NR</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Graded ambient illumination, negative polarity</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Higher illumination reduced fatigue, by an amount depending on text colour</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Negative polarity only</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432"/>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16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Bright vs dark room × bright vs dark screen, 30-min reading</w:t>
            </w:r>
          </w:p>
        </w:tc>
        <w:tc>
          <w:tcPr>
            <w:tcW w:type="dxa" w:w="293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584"/>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four combinations only; polarity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The evidence is not uniform: the proofreading advantage was independent of ambient lighting [9] whereas threshold legibility showed a clear interaction [13], suggesting a threshold-like rather than smoothly scaling relationship and requiring that illumination be measured rather than merely described. The most recent work is the most directly relevant, reading in a dark room from a bright screen having produced the greatest tear-film destabilisation and the largest blink changes, with incomplete blinking rising over time in every condition [38].</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2.5 Ocular behaviour as an objective marker</w:t>
      </w:r>
    </w:p>
    <w:p>
      <w:pPr>
        <w:spacing w:after="60" w:line="360"/>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[3,5,6], and the proportion of blinks that fail to close fully has the strongest claim to specificity (Table 2.4).</w:t>
      </w:r>
    </w:p>
    <w:p>
      <w:pPr>
        <w:spacing w:after="60" w:line="360"/>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650"/>
        <w:gridCol w:w="1361"/>
        <w:gridCol w:w="650"/>
        <w:gridCol w:w="650"/>
        <w:gridCol w:w="2791"/>
        <w:gridCol w:w="2791"/>
        <w:gridCol w:w="178"/>
      </w:tblGrid>
      <w:tr>
        <w:trPr>
          <w:tblHeader/>
        </w:trPr>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w:t>
            </w:r>
          </w:p>
        </w:tc>
        <w:tc>
          <w:tcPr>
            <w:tcW w:type="dxa" w:w="136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Year</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279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 and task</w:t>
            </w:r>
          </w:p>
        </w:tc>
        <w:tc>
          <w:tcPr>
            <w:tcW w:type="dxa" w:w="279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Principal finding</w:t>
            </w:r>
          </w:p>
        </w:tc>
        <w:tc>
          <w:tcPr>
            <w:tcW w:type="dxa" w:w="17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Limitation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 [26]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amplitude, tear film; fast vs slow display task</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fell to one-third (fast) and one-half (slow) of baseline; more incomplete blinks when dynamic</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Game task, not reading; manual video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 [17]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symptom score; 15-min reading</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 blinks 0.9–56.5% (mean 16.1); symptoms correlated with incomplete-blink % (p = 0.002); raising blink rate did not help</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condition; small sample;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 [19]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composition and tear break-up time; 60-min task</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Break-up time fell 8.62→4.33 s at 30 min, recovering as incomplete blinking declined; quality, not frequency, governs stability</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Very small sample; single display condition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 [18]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Blink rate and completeness across 6 hard-copy and electronic reading conditions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All reading reduced blink rate; incomplete blinks rose only on electronic platforms</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parameters not manipulated; manual coding</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 [28]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2016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driving performance after 24-h sleep deprivation</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correlated with vigilance variability (r = 0.68) and lane position (r = 0.61)</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not visual fatigue; extreme manipulation</w:t>
            </w:r>
          </w:p>
        </w:tc>
      </w:tr>
      <w:tr>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136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2025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Tear-film indices and blink parameters; 30-min reading, 4 lighting–brightness combinations</w:t>
            </w:r>
          </w:p>
        </w:tc>
        <w:tc>
          <w:tcPr>
            <w:tcW w:type="dxa" w:w="279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Dark room with bright screen most destabilised the tear film; incomplete-blink rate rose over time in all groups</w:t>
            </w:r>
          </w:p>
        </w:tc>
        <w:tc>
          <w:tcPr>
            <w:tcW w:type="dxa" w:w="17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Smartphone; polarity and text colour not manipulated</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findings together forbid reading blink rate as a simple index of fatigue: it is suppressed by reading irrespective of medium [18] and by task dynamism at matched cognitive load [26]; total rate can remain stable while the complete-to-incomplete composition shifts [19]; and raising blink rate experimentally produced no change in symptom score [17]. The incomplete-blink ratio, referenced to a within-participant baseline, is therefore the better-justified primary marker. Every study in Table 2.4 relied on manual frame-by-frame coding or dedicated hardware, and none manipulated display polarity or text colour.</w:t>
      </w:r>
    </w:p>
    <w:p>
      <w:pPr>
        <w:spacing w:after="60" w:line="360"/>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[27] and correlates with vigilance-performance variability after sleep deprivation [28]. Its documented insensitivity in moderate drowsiness [27] dictates its role here as a covariate for sleepiness rather than a measure of visual fatigue.</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2.6 Task performance and sustained attention</w:t>
      </w:r>
    </w:p>
    <w:p>
      <w:pPr>
        <w:spacing w:after="60" w:line="360"/>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[29].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[22], with lapses and reaction-time variability its most fatigue-sensitive indices [23]. Attentional and visual-fatigue outcomes therefore share time on task as a driver and must be measured together if they are to be distinguished.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2.7 Subjective instruments and scalable measurement</w:t>
      </w:r>
    </w:p>
    <w:p>
      <w:pPr>
        <w:spacing w:after="60" w:line="360"/>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[30]. Cross-cultural validation reports internal consistency of 0.793, sensitivity 78.5 per cent, specificity 70.7 per cent, convergent validity with the Ocular Surface Disease Index of 0.728 and a cut-off of seven [31]. Cognitive workload is conventionally indexed by the NASA Task Load Index across six dimensions [32]. Review notes that correlations between objective and subjective measures are not always apparent [3], a discrepancy treated here as an object of study.</w:t>
      </w:r>
    </w:p>
    <w:p>
      <w:pPr>
        <w:spacing w:after="60" w:line="360"/>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[33]. Being continuous and normalised, it can distinguish partial from complete closure, automating what the clinical literature has done by hand [17,18,19]. Validity differs by target: camera-based gaze estimation is lower in accuracy and sampling rate than infrared tracking and is defensible only for coarse zone classification, whereas blink measures are proportion-based and need temporal rather than spatial precision. Since blinks last 100 to 400 ms, duration-based metrics become unreliable below about 25 frames per second, while proportion measures are more robust. No published study has validated a camera-based incomplete-blink measure against manual annotation.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2.8 Research gaps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has never been estimated, since the only text-colour fatigue study held polarity constant [12], and hue has not been disentangled from luminance contrast in any existing study [7,9,12,36].</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study reports contrast metrics alongside measured display photometry, and the prevailing standard is polarity-blind [20,21]. Three-way effects of polarity, colour and illumination remain uncharacterised, the available two-way findings being in partial conflict [9,12,13].</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[3]; where both have been measured, they have pointed in opposite directions [36].</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has never been tested as an outcome of a display-parameter manipulation despite its specificity [17,18,19,38], and its measurement does not scale, no automated implementation having been validated against manual annotation.</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3: MATERIALS AND METHODS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 Study design</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uses a within-subjects, repeated-measures factorial design with three factors: display polarity (positive, negative), text colour (achromatic, blue, red, yellow, green) and ambient illumination (dim, moderate).</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colour together yield ten display conditions, each administered under both illumination levels, giving twenty condition-runs per participant. Illumination is manipulated between sessions rather than within, because a fully crossed within-session design would be unmanageable in one sitting and because room light cannot be switched without re-adaptation. Each session presents all ten display conditions under one illumination level, the two sessions being separated by 48 to 72 hours, with the order of illumination levels counterbalanced between participants.</w:t>
      </w:r>
    </w:p>
    <w:p>
      <w:pPr>
        <w:spacing w:after="60" w:line="360"/>
        <w:jc w:val="both"/>
      </w:pPr>
      <w:r>
        <w:rPr>
          <w:rFonts w:ascii="Times New Roman" w:cs="Times New Roman" w:eastAsia="Times New Roman" w:hAnsi="Times New Roman"/>
          <w:b/>
          <w:bCs/>
          <w:i w:val="false"/>
          <w:iCs w:val="false"/>
          <w:sz w:val="24"/>
          <w:szCs w:val="24"/>
        </w:rPr>
        <w:t xml:space="preserve">Figure 3.1 — Flow of the proposed study.</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 — Preparation: ethics approval; instrument development and pilot; photometric characterisation of the tablet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 (Figure 3.2)</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III — Session 1: 10 display conditions under illumination level A, in Williams order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IV — Session 2 after 48–72 h: the same 10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 — Data processing: automated ocular metrics, quality-control gating, manual-annotation validation sub-study</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Phase VI — Mixed-effects analysis, design recommendations, thesis</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3.2 Setting, participants and sampling</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will be conducted in a controlled laboratory room at Assam down town University in which ambient illuminance can be held constant and daylight is excluded. Data collection is expected to take approximately 24 months following ethics approval and piloting.</w:t>
      </w:r>
    </w:p>
    <w:p>
      <w:pPr>
        <w:spacing w:after="60" w:line="360"/>
        <w:jc w:val="both"/>
      </w:pPr>
      <w:r>
        <w:rPr>
          <w:rFonts w:ascii="Times New Roman" w:cs="Times New Roman" w:eastAsia="Times New Roman" w:hAnsi="Times New Roman"/>
          <w:b/>
          <w:bCs/>
          <w:i w:val="false"/>
          <w:iCs w:val="false"/>
          <w:sz w:val="24"/>
          <w:szCs w:val="24"/>
        </w:rPr>
        <w:t xml:space="preserve">Sampling strategy and sample size.</w:t>
      </w:r>
      <w:r>
        <w:rPr>
          <w:rFonts w:ascii="Times New Roman" w:cs="Times New Roman" w:eastAsia="Times New Roman" w:hAnsi="Times New Roman"/>
          <w:b w:val="false"/>
          <w:bCs w:val="false"/>
          <w:i w:val="false"/>
          <w:iCs w:val="false"/>
          <w:sz w:val="24"/>
          <w:szCs w:val="24"/>
        </w:rPr>
        <w:t xml:space="preserve"> Sampling is purposive and homogeneous, drawn from the university and its associated institutions, so that cognitive, visual and digital-exposure characteristics are consistent and the within-subject contrasts are not diluted by uncontrolled heterogeneity. Infinite-population formulae of the form n = Z²pq/e² do not apply, since this is a controlled repeated-measures experiment on a finite, purposively selected group in which each participant serves as their own control and no population prevalence is being estimated.</w:t>
      </w:r>
    </w:p>
    <w:p>
      <w:pPr>
        <w:spacing w:after="60" w:line="360"/>
        <w:jc w:val="both"/>
      </w:pPr>
      <w:r>
        <w:rPr>
          <w:rFonts w:ascii="Times New Roman" w:cs="Times New Roman" w:eastAsia="Times New Roman" w:hAnsi="Times New Roman"/>
          <w:b w:val="false"/>
          <w:bCs w:val="false"/>
          <w:i w:val="false"/>
          <w:iCs w:val="false"/>
          <w:sz w:val="24"/>
          <w:szCs w:val="24"/>
        </w:rPr>
        <w:t xml:space="preserve">The target is 100 participants aged 18 to 35, with 110 enrolled to allow for attrition across the two sessions. Three considerations fix this number. It is a multiple of the ten display conditions, which the Williams counterbalancing scheme requires for complete balance (§3.8). Within-subject power for the polarity, colour and illumination contrasts is high, since each participant contributes twenty condition-runs, and will be confirmed by an a priori simulation-based power analysis under the planned mixed-effects model rather than by a formula that assumes independent observations. The binding constraint is instead Objective 3, because moderation by participant characteristics is a between-participant comparison and requires adequate numbers in each subgroup; a sample of 100 supports subgroups of roughly 40 to 50 for a binary moderator such as habitual dark-mode preference. Published studies in this area have used substantially smaller samples, as Table 3.1 shows, so the proposed size is generous for the primary contrasts and appropriate for the moderation analysis.</w:t>
      </w:r>
    </w:p>
    <w:p>
      <w:pPr>
        <w:spacing w:after="60" w:line="360"/>
        <w:jc w:val="both"/>
      </w:pPr>
      <w:r>
        <w:rPr>
          <w:rFonts w:ascii="Times New Roman" w:cs="Times New Roman" w:eastAsia="Times New Roman" w:hAnsi="Times New Roman"/>
          <w:b/>
          <w:bCs/>
          <w:i w:val="false"/>
          <w:iCs w:val="false"/>
          <w:sz w:val="24"/>
          <w:szCs w:val="24"/>
        </w:rPr>
        <w:t xml:space="preserve">Table 3.1 — Sample sizes in comparable published studies, and the basis for the proposed sample.</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48"/>
        <w:gridCol w:w="650"/>
        <w:gridCol w:w="3780"/>
        <w:gridCol w:w="1693"/>
      </w:tblGrid>
      <w:tr>
        <w:trPr>
          <w:tblHeader/>
        </w:trPr>
        <w:tc>
          <w:tcPr>
            <w:tcW w:type="dxa" w:w="294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Study</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N</w:t>
            </w:r>
          </w:p>
        </w:tc>
        <w:tc>
          <w:tcPr>
            <w:tcW w:type="dxa" w:w="378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Design</w:t>
            </w:r>
          </w:p>
        </w:tc>
        <w:tc>
          <w:tcPr>
            <w:tcW w:type="dxa" w:w="169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Observations per participant</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Hirota et al. [19]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11</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Single condition, 60-min task</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Jackson et al. [28]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12</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conditions (rested, sleep-deprived)</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Portello et al. [17]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Two conditions (with and without blink cue)</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Jiménez et al. [7]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14 colour combinations, 2-min each</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14</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Cardona et al. [26]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25</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Three conditions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Argilés et al. [18]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Six reading conditions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 Lens and Anterior Eye study [38]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Four lighting–brightness combinations, 30-min each</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r>
      <w:tr>
        <w:tc>
          <w:tcPr>
            <w:tcW w:type="dxa" w:w="2948"/>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Proposed study</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100</w:t>
            </w:r>
          </w:p>
        </w:tc>
        <w:tc>
          <w:tcPr>
            <w:tcW w:type="dxa" w:w="3780"/>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10 display conditions × 2 illumination levels</w:t>
            </w:r>
          </w:p>
        </w:tc>
        <w:tc>
          <w:tcPr>
            <w:tcW w:type="dxa" w:w="1693"/>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20</w:t>
            </w:r>
          </w:p>
        </w:tc>
      </w:tr>
    </w:tbl>
    <w:p>
      <w:pPr>
        <w:spacing w:after="90"/>
      </w:pPr>
      <w:r>
        <w:rPr>
          <w:sz w:val="12"/>
          <w:szCs w:val="12"/>
        </w:rPr>
        <w:t xml:space="preserve"/>
      </w:r>
    </w:p>
    <w:p>
      <w:pPr>
        <w:spacing w:after="60" w:line="360"/>
        <w:jc w:val="both"/>
      </w:pPr>
      <w:r>
        <w:rPr>
          <w:rFonts w:ascii="Times New Roman" w:cs="Times New Roman" w:eastAsia="Times New Roman" w:hAnsi="Times New Roman"/>
          <w:b/>
          <w:bCs/>
          <w:i w:val="false"/>
          <w:iCs w:val="false"/>
          <w:sz w:val="24"/>
          <w:szCs w:val="24"/>
        </w:rPr>
        <w:t xml:space="preserve">Eligibility.</w:t>
      </w:r>
      <w:r>
        <w:rPr>
          <w:rFonts w:ascii="Times New Roman" w:cs="Times New Roman" w:eastAsia="Times New Roman" w:hAnsi="Times New Roman"/>
          <w:b w:val="false"/>
          <w:bCs w:val="false"/>
          <w:i w:val="false"/>
          <w:iCs w:val="false"/>
          <w:sz w:val="24"/>
          <w:szCs w:val="24"/>
        </w:rPr>
        <w:t xml:space="preserve"> Criteria are applied at screening and recorded for reporting.</w:t>
      </w:r>
    </w:p>
    <w:p>
      <w:pPr>
        <w:spacing w:after="60" w:line="360"/>
        <w:jc w:val="both"/>
      </w:pPr>
      <w:r>
        <w:rPr>
          <w:rFonts w:ascii="Times New Roman" w:cs="Times New Roman" w:eastAsia="Times New Roman" w:hAnsi="Times New Roman"/>
          <w:b/>
          <w:bCs/>
          <w:i w:val="false"/>
          <w:iCs w:val="false"/>
          <w:sz w:val="24"/>
          <w:szCs w:val="24"/>
        </w:rPr>
        <w:t xml:space="preserve">Table 3.2 — Eligibility criteria.</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4536"/>
        <w:gridCol w:w="4535"/>
      </w:tblGrid>
      <w:tr>
        <w:trPr>
          <w:tblHeader/>
        </w:trPr>
        <w:tc>
          <w:tcPr>
            <w:tcW w:type="dxa" w:w="4536"/>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Inclusion</w:t>
            </w:r>
          </w:p>
        </w:tc>
        <w:tc>
          <w:tcPr>
            <w:tcW w:type="dxa" w:w="4535"/>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Exclusion</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Age 18 to 35 years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Refractive error beyond ±3.00 D</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Distance visual acuity 6/6 or better, with or without correction</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Manifest binocular vision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Habitual screen use of at least four hours daily</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Colour-vision deficiency on screening</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 known ocular, systemic or neurological illness</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History of photosensitivity or migraine</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Able to give written informed consent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Medication affecting vision, accommodation or tear film</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Available for two sessions 48 to 72 hours apart</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Diagnosed learning or psychiatric disorder</w:t>
            </w:r>
          </w:p>
        </w:tc>
      </w:tr>
      <w:tr>
        <w:tc>
          <w:tcPr>
            <w:tcW w:type="dxa" w:w="4536"/>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w:t>
            </w:r>
          </w:p>
        </w:tc>
        <w:tc>
          <w:tcPr>
            <w:tcW w:type="dxa" w:w="4535"/>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Contact-lens wear on test days; ocular surgery within six months</w:t>
            </w:r>
          </w:p>
        </w:tc>
      </w:tr>
    </w:tbl>
    <w:p>
      <w:pPr>
        <w:spacing w:after="90"/>
      </w:pPr>
      <w:r>
        <w:rPr>
          <w:sz w:val="12"/>
          <w:szCs w:val="12"/>
        </w:rPr>
        <w:t xml:space="preserve"/>
      </w:r>
    </w:p>
    <w:p>
      <w:pPr>
        <w:spacing w:after="60" w:line="360"/>
        <w:jc w:val="both"/>
      </w:pPr>
      <w:r>
        <w:rPr>
          <w:rFonts w:ascii="Times New Roman" w:cs="Times New Roman" w:eastAsia="Times New Roman" w:hAnsi="Times New Roman"/>
          <w:b/>
          <w:bCs/>
          <w:i w:val="false"/>
          <w:iCs w:val="false"/>
          <w:sz w:val="24"/>
          <w:szCs w:val="24"/>
        </w:rPr>
        <w:t xml:space="preserve">Screening and profiling.</w:t>
      </w:r>
      <w:r>
        <w:rPr>
          <w:rFonts w:ascii="Times New Roman" w:cs="Times New Roman" w:eastAsia="Times New Roman" w:hAnsi="Times New Roman"/>
          <w:b w:val="false"/>
          <w:bCs w:val="false"/>
          <w:i w:val="false"/>
          <w:iCs w:val="false"/>
          <w:sz w:val="24"/>
          <w:szCs w:val="24"/>
        </w:rPr>
        <w:t xml:space="preserve"> Screening comprises visual acuity, non-cycloplegic refraction, cover test, near point of convergence, and Ishihara colour-vision screening on the study display, for which sensitivity was 94.4 per cent and specificity 82.4 per cent on a calibrated monitor and 96.0 and 94.7 per cent on a smartphone, with no significant difference between modes [34]. Screening is an aid rather than a diagnosis, and outcomes are recorded as covariates. Participants also complete a profiling questionnaire covering habitual display-mode preference, screen exposure, lighting environment, familiarity with coloured interfaces, digital literacy, hours since waking and recent caffeine intake, which supply the moderators for Objective 3 and the sleepiness covariates.</w:t>
      </w:r>
    </w:p>
    <w:p>
      <w:pPr>
        <w:spacing w:after="60" w:line="360"/>
        <w:jc w:val="both"/>
      </w:pPr>
      <w:r>
        <w:rPr>
          <w:rFonts w:ascii="Times New Roman" w:cs="Times New Roman" w:eastAsia="Times New Roman" w:hAnsi="Times New Roman"/>
          <w:b/>
          <w:bCs/>
          <w:i w:val="false"/>
          <w:iCs w:val="false"/>
          <w:sz w:val="24"/>
          <w:szCs w:val="24"/>
        </w:rPr>
        <w:t xml:space="preserve">Figure 3.2 — Participant flow.</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Approached and assessed for eligibility (target ≈ 140)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Screening: visual acuity, refraction, binocular status, colour vision</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Excluded: criteria not met, or declined to participate</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Enrolled and consented (n = 110), assigned a sequential enrolment number</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Allocated to a Williams row and to an illumination order (dim-first or moderate-first)</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1: 10 display conditions under illumination level A</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Session 2 (48–72 h later): 10 display conditions under illumination level B</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Withdrawal, non-attendance or data-quality exclusion recorded and reported</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Analysed (target n = 100; 20 condition-runs each, 2,000 condition-runs in total)</w:t>
      </w:r>
    </w:p>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3.3 Display conditions and photometric characterisation</w:t>
      </w:r>
    </w:p>
    <w:p>
      <w:pPr>
        <w:spacing w:after="60" w:line="360"/>
        <w:jc w:val="both"/>
      </w:pPr>
      <w:r>
        <w:rPr>
          <w:rFonts w:ascii="Times New Roman" w:cs="Times New Roman" w:eastAsia="Times New Roman" w:hAnsi="Times New Roman"/>
          <w:b w:val="false"/>
          <w:bCs w:val="false"/>
          <w:i w:val="false"/>
          <w:iCs w:val="false"/>
          <w:sz w:val="24"/>
          <w:szCs w:val="24"/>
        </w:rPr>
        <w:t xml:space="preserve">All conditions are presented on a single fixed tablet at a viewing distance of 50 to 60 cm, with brightness fixed, automatic brightness and any blue-light filter disabled, and the screen cleaned before each session. Display white-point luminance is measured photometrically and recorded per session, with a working target of 120 to 150 cd/m², informed by the optimum of 153 cd/m² determined under 300 lux [14] and scaled for the lower domestic illuminance used here. Typography, line height and margins are fixed across conditions, so that polarity and colour are the only stimulus properties that vary. Contrast is computed from linearised sRGB relative luminance following the accessibility standard [20].</w:t>
      </w:r>
    </w:p>
    <w:p>
      <w:pPr>
        <w:spacing w:after="60" w:line="360"/>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847"/>
        <w:gridCol w:w="650"/>
        <w:gridCol w:w="1330"/>
        <w:gridCol w:w="968"/>
        <w:gridCol w:w="1209"/>
        <w:gridCol w:w="1209"/>
        <w:gridCol w:w="968"/>
        <w:gridCol w:w="1089"/>
        <w:gridCol w:w="801"/>
      </w:tblGrid>
      <w:tr>
        <w:trPr>
          <w:tblHeader/>
        </w:trPr>
        <w:tc>
          <w:tcPr>
            <w:tcW w:type="dxa" w:w="847"/>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Sl. No.</w:t>
            </w:r>
          </w:p>
        </w:tc>
        <w:tc>
          <w:tcPr>
            <w:tcW w:type="dxa" w:w="65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Code</w:t>
            </w:r>
          </w:p>
        </w:tc>
        <w:tc>
          <w:tcPr>
            <w:tcW w:type="dxa" w:w="1330"/>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colour</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Text hex</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Background</w:t>
            </w:r>
          </w:p>
        </w:tc>
        <w:tc>
          <w:tcPr>
            <w:tcW w:type="dxa" w:w="120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WCAG ratio</w:t>
            </w:r>
          </w:p>
        </w:tc>
        <w:tc>
          <w:tcPr>
            <w:tcW w:type="dxa" w:w="96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Level</w:t>
            </w:r>
          </w:p>
        </w:tc>
        <w:tc>
          <w:tcPr>
            <w:tcW w:type="dxa" w:w="1089"/>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Michelson</w:t>
            </w:r>
          </w:p>
        </w:tc>
        <w:tc>
          <w:tcPr>
            <w:tcW w:type="dxa" w:w="801"/>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Below AA</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6.70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0.807</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5.74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0.765</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4</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2.39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Fail</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0.439</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5</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0.564</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N1</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Achromatic</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#FFFFFF</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21.00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7</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N2</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Blue</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#1E4ED8</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3.14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N3</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Red</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#C81E1E</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3.66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 Large</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Yes</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9</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N4</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Yellow</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#C9A400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8.79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r>
        <w:tc>
          <w:tcPr>
            <w:tcW w:type="dxa" w:w="847"/>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w:t>
            </w:r>
          </w:p>
        </w:tc>
        <w:tc>
          <w:tcPr>
            <w:tcW w:type="dxa" w:w="65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N5</w:t>
            </w:r>
          </w:p>
        </w:tc>
        <w:tc>
          <w:tcPr>
            <w:tcW w:type="dxa" w:w="1330"/>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Green</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#00A651</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#000000</w:t>
            </w:r>
          </w:p>
        </w:tc>
        <w:tc>
          <w:tcPr>
            <w:tcW w:type="dxa" w:w="120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6.57 : 1</w:t>
            </w:r>
          </w:p>
        </w:tc>
        <w:tc>
          <w:tcPr>
            <w:tcW w:type="dxa" w:w="96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AA</w:t>
            </w:r>
          </w:p>
        </w:tc>
        <w:tc>
          <w:tcPr>
            <w:tcW w:type="dxa" w:w="1089"/>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1.000</w:t>
            </w:r>
          </w:p>
        </w:tc>
        <w:tc>
          <w:tcPr>
            <w:tcW w:type="dxa" w:w="801"/>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No</w:t>
            </w:r>
          </w:p>
        </w:tc>
      </w:tr>
    </w:tbl>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Three properties of this matrix matter analytically. First, the contrast ordering reverses across polarity, so the polarity-by-colour interaction operates as a direct test of hue against luminance contrast. Second, conditions falling below the accessibility minimum are balanced two per polarity, so polarity is not systematically confounded with compliance. Third, Michelson contrast is degenerate under negative polarity: with a pure black background the minimum luminance is zero and the metric saturates at 1.000 for every colour, so it cannot discriminate those conditions. This last point is itself a finding, since it requires the accessibility contrast ratio and measured photometry, rather than Michelson contrast, to serve as the analytic contrast variable, and it reinforces the case that a luminance-insensitive metric is inadequate for dark-mode interfaces [20,21].</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3.4 Ambient illumination</w:t>
      </w:r>
    </w:p>
    <w:p>
      <w:pPr>
        <w:spacing w:after="60" w:line="360"/>
        <w:jc w:val="both"/>
      </w:pPr>
      <w:r>
        <w:rPr>
          <w:rFonts w:ascii="Times New Roman" w:cs="Times New Roman" w:eastAsia="Times New Roman" w:hAnsi="Times New Roman"/>
          <w:b w:val="false"/>
          <w:bCs w:val="false"/>
          <w:i w:val="false"/>
          <w:iCs w:val="false"/>
          <w:sz w:val="24"/>
          <w:szCs w:val="24"/>
        </w:rPr>
        <w:t xml:space="preserve">Illuminance is set and verified at the participant's eye position and at the display plane with a calibrated lux meter, and logged at the start, middle and end of each session. The dim level targets approximately 10 lux (acceptable range 5–15), representing night-time and low-light domestic use and comparable to the low-illumination conditions of prior polarity work [12,13]. The moderate level targets approximately 150 lux (range 130–170), representing general indoor domestic lighting and set deliberately below the 300–500 lux specified for offices and classrooms in the Indian interior-illumination code [35] and below the 300 lux reference used in recent display optimisation [14]. Correlated colour temperature and light-source type are held constant across both levels, so illuminance is the only photometric property of the room that varies.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3.5 Instrumentation</w:t>
      </w:r>
    </w:p>
    <w:p>
      <w:pPr>
        <w:spacing w:after="60" w:line="360"/>
        <w:jc w:val="both"/>
      </w:pPr>
      <w:r>
        <w:rPr>
          <w:rFonts w:ascii="Times New Roman" w:cs="Times New Roman" w:eastAsia="Times New Roman" w:hAnsi="Times New Roman"/>
          <w:b w:val="false"/>
          <w:bCs w:val="false"/>
          <w:i w:val="false"/>
          <w:iCs w:val="false"/>
          <w:sz w:val="24"/>
          <w:szCs w:val="24"/>
        </w:rPr>
        <w:t xml:space="preserve">A purpose-built, offline-capable tablet application administers the protocol, standardising stimulus presentation, timing and data capture. It presents the ten conditions with locked colour values and a neutral grey adaptation field between them, and runs the four tasks with frame-accurate onset timestamping and hardware-timestamped responses.</w:t>
      </w:r>
    </w:p>
    <w:p>
      <w:pPr>
        <w:spacing w:after="60" w:line="360"/>
        <w:jc w:val="both"/>
      </w:pPr>
      <w:r>
        <w:rPr>
          <w:rFonts w:ascii="Times New Roman" w:cs="Times New Roman" w:eastAsia="Times New Roman" w:hAnsi="Times New Roman"/>
          <w:b w:val="false"/>
          <w:bCs w:val="false"/>
          <w:i w:val="false"/>
          <w:iCs w:val="false"/>
          <w:sz w:val="24"/>
          <w:szCs w:val="24"/>
        </w:rPr>
        <w:t xml:space="preserve">Ocular measurement uses camera-based facial-landmark tracking, computing the eye aspect ratio for each processed frame. Blink events are classified by depth of closure into complete and incomplete, yielding blink rate, incomplete-blink ratio, inter-blink interval and variability, PERCLOS and long-closure events, alongside head-pose and gaze-zone estimates. Per-participant calibration establishes an open-eye baseline, a nine-point gaze mapping and a frontal head-pose reference, so metrics are referenced to the individual rather than population defaults.</w:t>
      </w:r>
    </w:p>
    <w:p>
      <w:pPr>
        <w:spacing w:after="60" w:line="360"/>
        <w:jc w:val="both"/>
      </w:pPr>
      <w:r>
        <w:rPr>
          <w:rFonts w:ascii="Times New Roman" w:cs="Times New Roman" w:eastAsia="Times New Roman" w:hAnsi="Times New Roman"/>
          <w:b w:val="false"/>
          <w:bCs w:val="false"/>
          <w:i w:val="false"/>
          <w:iCs w:val="false"/>
          <w:sz w:val="24"/>
          <w:szCs w:val="24"/>
        </w:rPr>
        <w:t xml:space="preserve">Quality-control indices are recorded as data rather than discarded: achieved sampling rate, face-presence ratio, frame luminance, head stability and flags for disengagement. Duration-dependent blink metrics are gated automatically on the achieved sampling rate, and every measure is written to storage immediately, so an interruption loses at most the condition in progress. All camera processing occurs on the device, and no video is retained.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3.6 Procedure</w:t>
      </w:r>
    </w:p>
    <w:p>
      <w:pPr>
        <w:spacing w:after="60" w:line="360"/>
        <w:jc w:val="both"/>
      </w:pPr>
      <w:r>
        <w:rPr>
          <w:rFonts w:ascii="Times New Roman" w:cs="Times New Roman" w:eastAsia="Times New Roman" w:hAnsi="Times New Roman"/>
          <w:b w:val="false"/>
          <w:bCs w:val="false"/>
          <w:i w:val="false"/>
          <w:iCs w:val="false"/>
          <w:sz w:val="24"/>
          <w:szCs w:val="24"/>
        </w:rPr>
        <w:t xml:space="preserve">Each of the ten conditions within a session follows the same sequence.</w:t>
      </w:r>
    </w:p>
    <w:p>
      <w:pPr>
        <w:spacing w:after="60" w:line="360"/>
        <w:jc w:val="both"/>
      </w:pPr>
      <w:r>
        <w:rPr>
          <w:rFonts w:ascii="Times New Roman" w:cs="Times New Roman" w:eastAsia="Times New Roman" w:hAnsi="Times New Roman"/>
          <w:b/>
          <w:bCs/>
          <w:i w:val="false"/>
          <w:iCs w:val="false"/>
          <w:sz w:val="24"/>
          <w:szCs w:val="24"/>
        </w:rPr>
        <w:t xml:space="preserve">Figure 3.3 — Per-condition task sequence.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Adaptation on a neutral grey field, 60 s, extended to 120 s when polarity switches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Reading task: standardised passage in the active condition, self-paced beyond a per-page minimum; exposure window for ocular metrics</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Comprehension: multiple-choice items assessing gist, inference and detail</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Display perception: comfort and clarity ratings, captured immediately after reading</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Visual-fatigue VAS: five items, 0–10</w:t>
      </w:r>
    </w:p>
    <w:p>
      <w:pPr>
        <w:keepNext/>
        <w:spacing w:after="0" w:before="0" w:line="200"/>
        <w:jc w:val="center"/>
      </w:pPr>
      <w:r>
        <w:rPr>
          <w:rFonts w:ascii="Times New Roman" w:cs="Times New Roman" w:eastAsia="Times New Roman" w:hAnsi="Times New Roman"/>
          <w:sz w:val="18"/>
          <w:szCs w:val="18"/>
        </w:rPr>
        <w:t xml:space="preserve">▼</w:t>
      </w:r>
    </w:p>
    <w:p>
      <w:pPr>
        <w:keepNext/>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Visual search: tap every occurrence of a target word, fixed time limit</w:t>
      </w:r>
    </w:p>
    <w:p>
      <w:pPr>
        <w:keepNext/>
        <w:spacing w:after="0" w:before="0" w:line="200"/>
        <w:jc w:val="center"/>
      </w:pPr>
      <w:r>
        <w:rPr>
          <w:rFonts w:ascii="Times New Roman" w:cs="Times New Roman" w:eastAsia="Times New Roman" w:hAnsi="Times New Roman"/>
          <w:sz w:val="18"/>
          <w:szCs w:val="18"/>
        </w:rPr>
        <w:t xml:space="preserve">▼</w:t>
      </w:r>
    </w:p>
    <w:p>
      <w:pPr>
        <w:keepNext w:val="false"/>
        <w:pBdr>
          <w:top w:val="single" w:color="5B6B7C" w:sz="6" w:space="4"/>
          <w:bottom w:val="single" w:color="5B6B7C" w:sz="6" w:space="4"/>
          <w:left w:val="single" w:color="5B6B7C" w:sz="6" w:space="4"/>
          <w:right w:val="single" w:color="5B6B7C" w:sz="6" w:space="4"/>
        </w:pBdr>
        <w:shd w:fill="EDF2F9" w:color="auto" w:val="clear"/>
        <w:spacing w:after="30" w:before="30" w:line="240"/>
        <w:ind w:left="340" w:right="340"/>
        <w:jc w:val="center"/>
      </w:pPr>
      <w:r>
        <w:rPr>
          <w:rFonts w:ascii="Times New Roman" w:cs="Times New Roman" w:eastAsia="Times New Roman" w:hAnsi="Times New Roman"/>
          <w:b w:val="false"/>
          <w:bCs w:val="false"/>
          <w:i w:val="false"/>
          <w:iCs w:val="false"/>
          <w:sz w:val="20"/>
          <w:szCs w:val="20"/>
        </w:rPr>
        <w:t xml:space="preserve">Go/no-go reaction time: dot at random screen locations on the active background</w:t>
      </w:r>
    </w:p>
    <w:p>
      <w:pPr>
        <w:spacing w:after="90"/>
      </w:pPr>
      <w:r>
        <w:rPr>
          <w:sz w:val="12"/>
          <w:szCs w:val="12"/>
        </w:rPr>
        <w:t xml:space="preserve"/>
      </w:r>
    </w:p>
    <w:p>
      <w:pPr>
        <w:spacing w:after="60" w:line="360"/>
        <w:jc w:val="both"/>
      </w:pPr>
      <w:r>
        <w:rPr>
          <w:rFonts w:ascii="Times New Roman" w:cs="Times New Roman" w:eastAsia="Times New Roman" w:hAnsi="Times New Roman"/>
          <w:b w:val="false"/>
          <w:bCs w:val="false"/>
          <w:i w:val="false"/>
          <w:iCs w:val="false"/>
          <w:sz w:val="24"/>
          <w:szCs w:val="24"/>
        </w:rPr>
        <w:t xml:space="preserve">Passages are matched for genre, length and readability, and passage assignment is counterbalanced independently of condition so passage difficulty is orthogonal to display condition. A self-paced rest break follows every two conditions, and no performance feedback is given, so effort is not differentially modulated across conditions. Each session begins with setup, seating and calibration, followed by baseline CVS-Q and fatigue VAS, and closes with the CVS-Q repeated and the NASA Task Load Index administered once as a session-level index of cumulative workload. The protocol will be piloted for feasibility, fatigue and dropout; should burden prove excessive, each illumination level can be divided into two shorter sittings of five conditions, preserving the counterbalancing scheme and the global serial-position record.</w:t>
      </w:r>
    </w:p>
    <w:p>
      <w:pPr>
        <w:spacing w:after="60" w:line="360"/>
        <w:jc w:val="both"/>
      </w:pPr>
      <w:r>
        <w:rPr>
          <w:rFonts w:ascii="Times New Roman" w:cs="Times New Roman" w:eastAsia="Times New Roman" w:hAnsi="Times New Roman"/>
          <w:b w:val="false"/>
          <w:bCs w:val="false"/>
          <w:i w:val="false"/>
          <w:iCs w:val="false"/>
          <w:sz w:val="24"/>
          <w:szCs w:val="24"/>
        </w:rPr>
        <w:t xml:space="preserve">The reaction-time target is achromatic and defined relative to the active background, black on light fields and white on dark ones, with the chromatic set as distractors. Target contrast is therefore maximal and identical in both polarities, so salience does not vary with condition and no hue coincides with the text-colour manipulation. The discrimination becomes achromatic against chromatic rather than hue against hue, which simplifies it but preserves the fatigue-sensitive indices of reaction-time variability and lapse rate [23].</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3.7 Variables and outcome measures</w:t>
      </w:r>
    </w:p>
    <w:p>
      <w:pPr>
        <w:spacing w:after="60" w:line="360"/>
        <w:jc w:val="both"/>
      </w:pPr>
      <w:r>
        <w:rPr>
          <w:rFonts w:ascii="Times New Roman" w:cs="Times New Roman" w:eastAsia="Times New Roman" w:hAnsi="Times New Roman"/>
          <w:b w:val="false"/>
          <w:bCs w:val="false"/>
          <w:i w:val="false"/>
          <w:iCs w:val="false"/>
          <w:sz w:val="24"/>
          <w:szCs w:val="24"/>
        </w:rPr>
        <w:t xml:space="preserve">Independent variables are display polarity, text colour and ambient illumination. Covariates comprise serial position within session, illumination order, session index, measured ambient illuminance and display luminance, computed contrast metrics, PERCLOS, achieved sampling rate, refractive and binocular status, and the profiling variables.</w:t>
      </w:r>
    </w:p>
    <w:p>
      <w:pPr>
        <w:spacing w:after="60" w:line="360"/>
        <w:jc w:val="both"/>
      </w:pPr>
      <w:r>
        <w:rPr>
          <w:rFonts w:ascii="Times New Roman" w:cs="Times New Roman" w:eastAsia="Times New Roman" w:hAnsi="Times New Roman"/>
          <w:b/>
          <w:bCs/>
          <w:i w:val="false"/>
          <w:iCs w:val="false"/>
          <w:sz w:val="24"/>
          <w:szCs w:val="24"/>
        </w:rPr>
        <w:t xml:space="preserve">Table 3.4 — Dependent variables.</w:t>
      </w:r>
    </w:p>
    <w:tbl>
      <w:tblPr>
        <w:tblW w:type="dxa" w:w="9071"/>
        <w:tblBorders>
          <w:top w:val="single" w:color="7A8896" w:sz="4"/>
          <w:left w:val="single" w:color="7A8896" w:sz="4"/>
          <w:bottom w:val="single" w:color="7A8896" w:sz="4"/>
          <w:right w:val="single" w:color="7A8896" w:sz="4"/>
          <w:insideH w:val="single" w:color="B4BCC4" w:sz="2"/>
          <w:insideV w:val="single" w:color="B4BCC4" w:sz="2"/>
        </w:tblBorders>
      </w:tblPr>
      <w:tblGrid>
        <w:gridCol w:w="2973"/>
        <w:gridCol w:w="6098"/>
      </w:tblGrid>
      <w:tr>
        <w:trPr>
          <w:tblHeader/>
        </w:trPr>
        <w:tc>
          <w:tcPr>
            <w:tcW w:type="dxa" w:w="2973"/>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Domain</w:t>
            </w:r>
          </w:p>
        </w:tc>
        <w:tc>
          <w:tcPr>
            <w:tcW w:type="dxa" w:w="6098"/>
            <w:shd w:fill="E8EEF7" w:color="auto" w:val="clear"/>
            <w:tcMar>
              <w:top w:type="dxa" w:w="40"/>
              <w:left w:type="dxa" w:w="80"/>
              <w:bottom w:type="dxa" w:w="40"/>
              <w:right w:type="dxa" w:w="80"/>
            </w:tcMar>
          </w:tcPr>
          <w:p>
            <w:pPr>
              <w:spacing w:after="20" w:before="20" w:line="240"/>
            </w:pPr>
            <w:r>
              <w:rPr>
                <w:rFonts w:ascii="Times New Roman" w:cs="Times New Roman" w:eastAsia="Times New Roman" w:hAnsi="Times New Roman"/>
                <w:b/>
                <w:bCs/>
                <w:i w:val="false"/>
                <w:iCs w:val="false"/>
                <w:sz w:val="18"/>
                <w:szCs w:val="18"/>
              </w:rPr>
              <w:t xml:space="preserve">Measures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Ocular behaviour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Incomplete-blink ratio (primary); blink rate; inter-blink interval and variability; within-condition half bins</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Drowsiness and data quality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PERCLOS and long-closure events; head pose and stability; face-presence ratio; achieved sampling rate</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Subjective fatigue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CVS-Q score and change from baseline (primary) [30]; five-item visual-fatigue VAS (0–10)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Perceived display quality</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Display comfort and text clarity (0–100) per condition</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Cognitive workload</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NASA-TLX, six dimensions, once per session [32]</w:t>
            </w:r>
          </w:p>
        </w:tc>
      </w:tr>
      <w:tr>
        <w:tc>
          <w:tcPr>
            <w:tcW w:type="dxa" w:w="2973"/>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Task performance (objective)</w:t>
            </w:r>
          </w:p>
        </w:tc>
        <w:tc>
          <w:tcPr>
            <w:tcW w:type="dxa" w:w="6098"/>
            <w:tcMar>
              <w:top w:type="dxa" w:w="40"/>
              <w:left w:type="dxa" w:w="80"/>
              <w:bottom w:type="dxa" w:w="40"/>
              <w:right w:type="dxa" w:w="80"/>
            </w:tcMar>
          </w:tcPr>
          <w:p>
            <w:pPr>
              <w:spacing w:after="20" w:before="20" w:line="240"/>
            </w:pPr>
            <w:r>
              <w:rPr>
                <w:rFonts w:ascii="Times New Roman" w:cs="Times New Roman" w:eastAsia="Times New Roman" w:hAnsi="Times New Roman"/>
                <w:b w:val="false"/>
                <w:bCs w:val="false"/>
                <w:i w:val="false"/>
                <w:iCs w:val="false"/>
                <w:sz w:val="18"/>
                <w:szCs w:val="18"/>
              </w:rPr>
              <w:t xml:space="preserve">Reading time and derived reading rate; comprehension accuracy and response time; visual-search accuracy, misses, false detections and efficiency; reaction-time mean, SD and coefficient of variation, lapse rate, anticipations, sensitivity d′ and criterion</w:t>
            </w:r>
          </w:p>
        </w:tc>
      </w:tr>
    </w:tbl>
    <w:p>
      <w:pPr>
        <w:spacing w:after="90"/>
      </w:pPr>
      <w:r>
        <w:rPr>
          <w:sz w:val="12"/>
          <w:szCs w:val="12"/>
        </w:rPr>
        <w:t xml:space="preserve"/>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3.8 Counterbalancing</w:t>
      </w:r>
    </w:p>
    <w:p>
      <w:pPr>
        <w:spacing w:after="60" w:line="360"/>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driven by the vigilance decrement and accumulating fatigue, and first-order carryover, notably the light-adaptation transient imposed by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complete balance being achieved in blocks of ten, which is why the sample size is a multiple of ten. Illumination order is counterbalanced orthogonally.</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3.9 Statistical analysis</w:t>
      </w:r>
    </w:p>
    <w:p>
      <w:pPr>
        <w:spacing w:after="60" w:line="360"/>
        <w:jc w:val="both"/>
      </w:pPr>
      <w:r>
        <w:rPr>
          <w:rFonts w:ascii="Times New Roman" w:cs="Times New Roman" w:eastAsia="Times New Roman" w:hAnsi="Times New Roman"/>
          <w:b w:val="false"/>
          <w:bCs w:val="false"/>
          <w:i w:val="false"/>
          <w:iCs w:val="false"/>
          <w:sz w:val="24"/>
          <w:szCs w:val="24"/>
        </w:rPr>
        <w:t xml:space="preserve">Analysis uses linear mixed-effects models with a random intercept per participant, accommodating the repeated-measures structure and inter-individual heterogeneity. Fixed effects comprise polarity, text colour, ambient illumination, their two- and three-way interactions, serial position and illumination order.</w:t>
      </w:r>
    </w:p>
    <w:p>
      <w:pPr>
        <w:spacing w:after="60" w:line="360"/>
        <w:jc w:val="both"/>
      </w:pPr>
      <w:r>
        <w:rPr>
          <w:rFonts w:ascii="Times New Roman" w:cs="Times New Roman" w:eastAsia="Times New Roman" w:hAnsi="Times New Roman"/>
          <w:b w:val="false"/>
          <w:bCs w:val="false"/>
          <w:i w:val="false"/>
          <w:iCs w:val="false"/>
          <w:sz w:val="24"/>
          <w:szCs w:val="24"/>
        </w:rPr>
        <w:t xml:space="preserve">For Objective 2, two nested model families are compared: one specifying colour as a categorical factor, the other specifying luminance contrast as a continuous predictor with colour retained to capture residual hue effects, so that comparative fit and the size of residual hue terms quantify the contribution of each. Moderation (Objective 3) is tested by entering profiling variables as between-participant terms with condition-by-moderator interactions, and agreement between automated and manual blink classification (Objective 4) by Bland–Altman analysis, intraclass correlation and Cohen's kappa in a dual-coded subsample.</w:t>
      </w:r>
    </w:p>
    <w:p>
      <w:pPr>
        <w:spacing w:after="60" w:line="360"/>
        <w:jc w:val="both"/>
      </w:pPr>
      <w:r>
        <w:rPr>
          <w:rFonts w:ascii="Times New Roman" w:cs="Times New Roman" w:eastAsia="Times New Roman" w:hAnsi="Times New Roman"/>
          <w:b w:val="false"/>
          <w:bCs w:val="false"/>
          <w:i w:val="false"/>
          <w:iCs w:val="false"/>
          <w:sz w:val="24"/>
          <w:szCs w:val="24"/>
        </w:rPr>
        <w:t xml:space="preserve">Ordinal cumulative-link models are used for VAS and Likert-type outcomes; signal-detection indices are treated hierarchically, being unstable at small per-condition trial counts; and binomial generalised mixed models for accuracy outcomes. Sensitivity analyses re-fit models excluding conditions flagged for disengagement or poor data quality, and with PERCLOS as a covariate to separate visual fatigue from sleepiness. Residual diagnostics, multiplicity control within outcome families, and effect sizes with 95 per cent confidence intervals are reported throughout.</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3.10 Ethical considerations</w:t>
      </w:r>
    </w:p>
    <w:p>
      <w:pPr>
        <w:spacing w:after="60" w:line="360"/>
        <w:jc w:val="both"/>
      </w:pPr>
      <w:r>
        <w:rPr>
          <w:rFonts w:ascii="Times New Roman" w:cs="Times New Roman" w:eastAsia="Times New Roman" w:hAnsi="Times New Roman"/>
          <w:b w:val="false"/>
          <w:bCs w:val="false"/>
          <w:i w:val="false"/>
          <w:iCs w:val="false"/>
          <w:sz w:val="24"/>
          <w:szCs w:val="24"/>
        </w:rPr>
        <w:t xml:space="preserve">Approval will be obtained from the Institutional Ethics Committee of Assam down town University before recruitment. Written informed consent will be taken, with camera-based measurement consented separately and refusable without affecting participation. Participants may withdraw at any time. Camera processing is performed on the device with no video retained, and data are de-identified and stored securely. Participants reporting significant symptoms or screening abnormalities will be advised to seek a full optometric or ophthalmological examination. No intervention with therapeutic intent is administered, and exposure durations are comparable to habitual device use.</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spacing w:after="90" w:before="240" w:line="360"/>
        <w:jc w:val="center"/>
      </w:pPr>
      <w:r>
        <w:rPr>
          <w:rFonts w:ascii="Times New Roman" w:cs="Times New Roman" w:eastAsia="Times New Roman" w:hAnsi="Times New Roman"/>
          <w:b/>
          <w:bCs/>
          <w:i w:val="false"/>
          <w:iCs w:val="false"/>
          <w:sz w:val="30"/>
          <w:szCs w:val="30"/>
        </w:rPr>
        <w:t xml:space="preserve">CHAPTER 4: CONCLUSION</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4.1 Expected outcomes</w:t>
      </w:r>
    </w:p>
    <w:p>
      <w:pPr>
        <w:spacing w:after="60" w:line="360"/>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text colour and ambient illumination on subjective visual fatigue, ocular behaviour, cognitive workload and task performance, providing the first estimate of the polarity-by-colour interaction on fatigue outcomes and the first test of whether the positive polarity advantage extends from brief legibility tasks to hour-scale reading and ocular-surface outcomes.</w:t>
      </w:r>
    </w:p>
    <w:p>
      <w:pPr>
        <w:spacing w:after="60" w:line="360"/>
        <w:jc w:val="both"/>
      </w:pPr>
      <w:r>
        <w:rPr>
          <w:rFonts w:ascii="Times New Roman" w:cs="Times New Roman" w:eastAsia="Times New Roman" w:hAnsi="Times New Roman"/>
          <w:b w:val="false"/>
          <w:bCs w:val="false"/>
          <w:i w:val="false"/>
          <w:iCs w:val="false"/>
          <w:sz w:val="24"/>
          <w:szCs w:val="24"/>
        </w:rPr>
        <w:t xml:space="preserve">Because the contrast ordering of colours reverses across polarity, the results will adjudicate between hue and luminance contrast: a crossover interaction would indicate contrast-mediated effects, a preserved ordering genuine hue-specific effects, with contrast expected to account for most colour-related variance and red a candidate exception. Characterising the polarity-by-illumination interaction will establish whether negative polarity is specifically costly under dim domestic lighting, where dark mode is most used and most advocated. The study will further identify the configurations that minimise and maximise fatigue, indicate whether a polarity-blind contrast criterion adequately predicts measured readability, and produce an account of subjective–objective correspondence and a validated instrument whose agreement with manual annotation is reported.</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4.2 Significance of the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findings map onto interface and product design, giving empirically grounded specification of text presentation and dark-mode implementation for reading applications, e-readers, e-learning platforms and operating-system themes, and they bear on accessibility standards by indicating whether and how polarity must enter a contrast criterion. For occupational and public health, display configuration is a preventive measure that costs nothing and can be deployed at population scale for a condition affecting roughly seven in ten screen users. In education the work informs the configuration of tablet-based learning materials; for optometric practice it provides actionable device-configuration advice in an area where practitioners are documented to lack quality evidence; and methodologically, a scalable instrument relieves the annotation bottleneck that has confined this literature to small samples.</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4.3 Limitations and delimitations</w:t>
      </w:r>
    </w:p>
    <w:p>
      <w:pPr>
        <w:spacing w:after="60" w:line="360"/>
        <w:jc w:val="both"/>
      </w:pPr>
      <w:r>
        <w:rPr>
          <w:rFonts w:ascii="Times New Roman" w:cs="Times New Roman" w:eastAsia="Times New Roman" w:hAnsi="Times New Roman"/>
          <w:b w:val="false"/>
          <w:bCs w:val="false"/>
          <w:i w:val="false"/>
          <w:iCs w:val="false"/>
          <w:sz w:val="24"/>
          <w:szCs w:val="24"/>
        </w:rPr>
        <w:t xml:space="preserve">Polarity and luminance contrast are not fully orthogonal, because chromatic pigments differ intrinsically in luminance and contrast cannot be equalised across polarity while the colour set is held fixed. This is mitigated by measuring and modelling contrast, and is deliberately exploited as a crossover test, but it constrains fully independent causal attribution.</w:t>
      </w:r>
    </w:p>
    <w:p>
      <w:pPr>
        <w:spacing w:after="60" w:line="360"/>
        <w:jc w:val="both"/>
      </w:pPr>
      <w:r>
        <w:rPr>
          <w:rFonts w:ascii="Times New Roman" w:cs="Times New Roman" w:eastAsia="Times New Roman" w:hAnsi="Times New Roman"/>
          <w:b w:val="false"/>
          <w:bCs w:val="false"/>
          <w:i w:val="false"/>
          <w:iCs w:val="false"/>
          <w:sz w:val="24"/>
          <w:szCs w:val="24"/>
        </w:rPr>
        <w:t xml:space="preserve">Camera-based measurement is screening-grade, lower in spatial accuracy and sampling rate than infrared eye tracking, and does not measure accommodation, so gaze measures are limited to coarse zones and duration-based blink metrics are gated on achieved frame rate. Accommodative outcomes, which require open-field autorefractometry, fall outside the scope of this study.</w:t>
      </w:r>
    </w:p>
    <w:p>
      <w:pPr>
        <w:spacing w:after="60" w:line="360"/>
        <w:jc w:val="both"/>
      </w:pPr>
      <w:r>
        <w:rPr>
          <w:rFonts w:ascii="Times New Roman" w:cs="Times New Roman" w:eastAsia="Times New Roman" w:hAnsi="Times New Roman"/>
          <w:b w:val="false"/>
          <w:bCs w:val="false"/>
          <w:i w:val="false"/>
          <w:iCs w:val="false"/>
          <w:sz w:val="24"/>
          <w:szCs w:val="24"/>
        </w:rPr>
        <w:t xml:space="preserve">The manipulation cannot be blinded, since polarity and colour are visible, so expectation effects on subjective ratings cannot be excluded, although objective markers, the absence of feedback and counterbalancing mitigate this. Sessions accumulate generic fatigue and boredom alongside visual fatigue, which are counterbalanced, measured and modelled rather than eliminated, and administering the NASA Task Load Index once per session limits workload inference to the illumination contrast. Because illumination is manipulated between sessions, its effect is more exposed to between-session variance in time of day, sleep and circadian phase, although order is counterbalanced and covariates recorded; and PERCLOS, while serving as a sleepiness covariate, is itself insensitive to moderate drowsiness.</w:t>
      </w:r>
    </w:p>
    <w:p>
      <w:pPr>
        <w:spacing w:after="60" w:line="360"/>
        <w:jc w:val="both"/>
      </w:pPr>
      <w:r>
        <w:rPr>
          <w:rFonts w:ascii="Times New Roman" w:cs="Times New Roman" w:eastAsia="Times New Roman" w:hAnsi="Times New Roman"/>
          <w:b w:val="false"/>
          <w:bCs w:val="false"/>
          <w:i w:val="false"/>
          <w:iCs w:val="false"/>
          <w:sz w:val="24"/>
          <w:szCs w:val="24"/>
        </w:rPr>
        <w:t xml:space="preserve">Findings will be specific to the device, display technology, luminance range and population studied. The sample is delimited to adults aged 18 to 35 with normal or corrected vision and no colour-vision deficiency, so presbyopic, paediatric and colour-vision-deficient populations, for whom polarity effects may differ, lie outside the present scope and are identified as future work.</w:t>
      </w:r>
    </w:p>
    <w:p>
      <w:pPr>
        <w:pStyle w:val="Heading2"/>
        <w:keepNext/>
        <w:spacing w:after="90" w:before="180" w:line="360"/>
        <w:jc w:val="left"/>
      </w:pPr>
      <w:r>
        <w:rPr>
          <w:rFonts w:ascii="Times New Roman" w:cs="Times New Roman" w:eastAsia="Times New Roman" w:hAnsi="Times New Roman"/>
          <w:b/>
          <w:bCs/>
          <w:i w:val="false"/>
          <w:iCs w:val="false"/>
          <w:sz w:val="27"/>
          <w:szCs w:val="27"/>
        </w:rPr>
        <w:t xml:space="preserve">4.4 Concluding remarks</w:t>
      </w:r>
    </w:p>
    <w:p>
      <w:pPr>
        <w:spacing w:after="60" w:line="360"/>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polarity with text colour under two ecologically relevant levels of ambient light, and measuring validated symptoms alongside ocular behaviour, workload and task performance in a single instrumented protocol, it can convert widely held but weakly supported beliefs about dark mode into quantified, standards-relevant design guidance, while contributing an instrument that removes a long-standing bottleneck in digital eye strain research.</w:t>
      </w:r>
    </w:p>
    <w:p>
      <w:pPr>
        <w:pBdr>
          <w:bottom w:val="single" w:color="AAAAAA" w:sz="6" w:space="1"/>
        </w:pBdr>
        <w:spacing w:after="90" w:before="60"/>
      </w:pPr>
      <w:r>
        <w:rPr>
          <w:rFonts w:ascii="Times New Roman" w:cs="Times New Roman" w:eastAsia="Times New Roman" w:hAnsi="Times New Roman"/>
          <w:sz w:val="24"/>
          <w:szCs w:val="24"/>
        </w:rPr>
        <w:t xml:space="preserve"/>
      </w:r>
    </w:p>
    <w:p>
      <w:pPr>
        <w:pStyle w:val="Heading1"/>
        <w:keepNext/>
        <w:pageBreakBefore/>
        <w:spacing w:after="90" w:before="240" w:line="360"/>
        <w:jc w:val="center"/>
      </w:pPr>
      <w:r>
        <w:rPr>
          <w:rFonts w:ascii="Times New Roman" w:cs="Times New Roman" w:eastAsia="Times New Roman" w:hAnsi="Times New Roman"/>
          <w:b/>
          <w:bCs/>
          <w:i w:val="false"/>
          <w:iCs w:val="false"/>
          <w:sz w:val="30"/>
          <w:szCs w:val="30"/>
        </w:rPr>
        <w:t xml:space="preserve">REFERENCES</w:t>
      </w:r>
    </w:p>
    <w:p>
      <w:pPr>
        <w:spacing w:after="60" w:line="360"/>
        <w:ind w:left="640" w:hanging="64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Ccami-Bernal F, Soriano-Moreno DR, Romero-Robles MA, Barriga-Chambi F, Tuco KG, Castro-Diaz SD, et al. Prevalence of computer vision syndrome: A systematic review and meta-analysis. Journal of Optometry. 2024;17(1):100482. https://doi.org/10.1016/j.optom.2023.100482</w:t>
      </w:r>
    </w:p>
    <w:p>
      <w:pPr>
        <w:spacing w:after="60" w:line="360"/>
        <w:ind w:left="640" w:hanging="64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Kaur K, Gurnani B, Nayak S, Deori N, Kaur S, Jethani J, et al. Digital Eye Strain — A Comprehensive Review. Ophthalmology and Therapy. 2022;11(5):1655–1680. https://doi.org/10.1007/s40123-022-00540-9</w:t>
      </w:r>
    </w:p>
    <w:p>
      <w:pPr>
        <w:spacing w:after="60" w:line="360"/>
        <w:ind w:left="640" w:hanging="64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Sheppard AL, Wolffsohn JS. Digital eye strain: prevalence, measurement and amelioration. BMJ Open Ophthalmology. 2018;3(1):e000146. https://doi.org/10.1136/bmjophth-2018-000146</w:t>
      </w:r>
    </w:p>
    <w:p>
      <w:pPr>
        <w:spacing w:after="60" w:line="360"/>
        <w:ind w:left="640" w:hanging="64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Pucker AD, Kerr AM, Sanderson J, et al. Digital Eye Strain: Updated Perspectives. Clinical Optometry. 2024;16:233–246. https://doi.org/10.2147/OPTO.S412382</w:t>
      </w:r>
    </w:p>
    <w:p>
      <w:pPr>
        <w:spacing w:after="60" w:line="360"/>
        <w:ind w:left="640" w:hanging="64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Kamøy B, Magno M, Nøland ST, et al. Video display terminal use and dry eye: preventive measures and future perspectives. Acta Ophthalmologica. 2022;100(7):723–739. https://doi.org/10.1111/aos.15105</w:t>
      </w:r>
    </w:p>
    <w:p>
      <w:pPr>
        <w:spacing w:after="60" w:line="360"/>
        <w:ind w:left="640" w:hanging="64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Fjaervoll K, Fjaervoll H, Magno M, et al. Review on the possible pathophysiological mechanisms underlying visual display terminal-associated dry eye disease. Acta Ophthalmologica. 2022;100(8):861–877. https://doi.org/10.1111/aos.15150</w:t>
      </w:r>
    </w:p>
    <w:p>
      <w:pPr>
        <w:spacing w:after="60" w:line="360"/>
        <w:ind w:left="640" w:hanging="640"/>
        <w:jc w:val="both"/>
      </w:pPr>
      <w:r>
        <w:rPr>
          <w:rFonts w:ascii="Times New Roman" w:cs="Times New Roman" w:eastAsia="Times New Roman" w:hAnsi="Times New Roman"/>
          <w:sz w:val="24"/>
          <w:szCs w:val="24"/>
        </w:rPr>
        <w:t xml:space="preserve">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Jiménez R, Redondo B, Molina R, et al. Short-term effects of text-background color combinations on the dynamics of the accommodative response. Vision Research. 2020;166:33–42. https://doi.org/10.1016/j.visres.2019.11.006</w:t>
      </w:r>
    </w:p>
    <w:p>
      <w:pPr>
        <w:spacing w:after="60" w:line="360"/>
        <w:ind w:left="640" w:hanging="640"/>
        <w:jc w:val="both"/>
      </w:pPr>
      <w:r>
        <w:rPr>
          <w:rFonts w:ascii="Times New Roman" w:cs="Times New Roman" w:eastAsia="Times New Roman" w:hAnsi="Times New Roman"/>
          <w:sz w:val="24"/>
          <w:szCs w:val="24"/>
        </w:rPr>
        <w:t xml:space="preserve">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Redondo B, Jiménez R, Vera J, et al. The impact of break schedules on digital eye strain symptoms and ocular accommodation during prolonged near work. Experimental Eye Research. 2025;258:110463. https://doi.org/10.1016/j.exer.2025.110463</w:t>
      </w:r>
    </w:p>
    <w:p>
      <w:pPr>
        <w:spacing w:after="60" w:line="360"/>
        <w:ind w:left="640" w:hanging="640"/>
        <w:jc w:val="both"/>
      </w:pPr>
      <w:r>
        <w:rPr>
          <w:rFonts w:ascii="Times New Roman" w:cs="Times New Roman" w:eastAsia="Times New Roman" w:hAnsi="Times New Roman"/>
          <w:sz w:val="24"/>
          <w:szCs w:val="24"/>
        </w:rPr>
        <w:t xml:space="preserve">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Buchner A, Baumgartner N. Text — background polarity affects performance irrespective of ambient illumination and colour contrast. Ergonomics. 2007;50(7):1036–1063. https://doi.org/10.1080/00140130701306413</w:t>
      </w:r>
    </w:p>
    <w:p>
      <w:pPr>
        <w:spacing w:after="60" w:line="360"/>
        <w:ind w:left="640" w:hanging="640"/>
        <w:jc w:val="both"/>
      </w:pPr>
      <w:r>
        <w:rPr>
          <w:rFonts w:ascii="Times New Roman" w:cs="Times New Roman" w:eastAsia="Times New Roman" w:hAnsi="Times New Roman"/>
          <w:sz w:val="24"/>
          <w:szCs w:val="24"/>
        </w:rPr>
        <w:t xml:space="preserve">10.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Smaller pupil size and better proofreading performance with positive than with negative polarity displays. Ergonomics. 2014;57(11):1670–1677. https://doi.org/10.1080/00140139.2014.948496</w:t>
      </w:r>
    </w:p>
    <w:p>
      <w:pPr>
        <w:spacing w:after="60" w:line="360"/>
        <w:ind w:left="640" w:hanging="640"/>
        <w:jc w:val="both"/>
      </w:pPr>
      <w:r>
        <w:rPr>
          <w:rFonts w:ascii="Times New Roman" w:cs="Times New Roman" w:eastAsia="Times New Roman" w:hAnsi="Times New Roman"/>
          <w:sz w:val="24"/>
          <w:szCs w:val="24"/>
        </w:rPr>
        <w:t xml:space="preserve">11.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Piepenbrock C, Mayr S, Buchner A. Positive display polarity is particularly advantageous for small character sizes: implications for display design. Human Factors. 2014;56(5):942–951. https://doi.org/10.1177/0018720813515509</w:t>
      </w:r>
    </w:p>
    <w:p>
      <w:pPr>
        <w:spacing w:after="60" w:line="360"/>
        <w:ind w:left="640" w:hanging="640"/>
        <w:jc w:val="both"/>
      </w:pPr>
      <w:r>
        <w:rPr>
          <w:rFonts w:ascii="Times New Roman" w:cs="Times New Roman" w:eastAsia="Times New Roman" w:hAnsi="Times New Roman"/>
          <w:sz w:val="24"/>
          <w:szCs w:val="24"/>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Fan Q, Xie J, Dong Z, et al. The Effect of Ambient Illumination and Text Color on Visual Fatigue under Negative Polarity. Sensors. 2024;24(11):3516. https://doi.org/10.3390/s24113516</w:t>
      </w:r>
    </w:p>
    <w:p>
      <w:pPr>
        <w:spacing w:after="60" w:line="360"/>
        <w:ind w:left="640" w:hanging="640"/>
        <w:jc w:val="both"/>
      </w:pPr>
      <w:r>
        <w:rPr>
          <w:rFonts w:ascii="Times New Roman" w:cs="Times New Roman" w:eastAsia="Times New Roman" w:hAnsi="Times New Roman"/>
          <w:sz w:val="24"/>
          <w:szCs w:val="24"/>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Effects of ambient illumination, contrast polarity, and letter size on text legibility under glance-like reading. Applied Ergonomics. 2017;60:68–73. https://doi.org/10.1016/j.apergo.2016.11.001</w:t>
      </w:r>
    </w:p>
    <w:p>
      <w:pPr>
        <w:spacing w:after="60" w:line="360"/>
        <w:ind w:left="640" w:hanging="640"/>
        <w:jc w:val="both"/>
      </w:pPr>
      <w:r>
        <w:rPr>
          <w:rFonts w:ascii="Times New Roman" w:cs="Times New Roman" w:eastAsia="Times New Roman" w:hAnsi="Times New Roman"/>
          <w:sz w:val="24"/>
          <w:szCs w:val="24"/>
        </w:rPr>
        <w:t xml:space="preserve">14.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Lin C, Ji Z, Lin Y. Optimum display luminance and contrast polarity of desktop head-up display under office lighting level based on visual ergonomic study. Ergonomics. 2024;67(11):1491–1503. https://doi.org/10.1080/00140139.2024.2339439</w:t>
      </w:r>
    </w:p>
    <w:p>
      <w:pPr>
        <w:spacing w:after="60" w:line="360"/>
        <w:ind w:left="640" w:hanging="640"/>
        <w:jc w:val="both"/>
      </w:pPr>
      <w:r>
        <w:rPr>
          <w:rFonts w:ascii="Times New Roman" w:cs="Times New Roman" w:eastAsia="Times New Roman" w:hAnsi="Times New Roman"/>
          <w:sz w:val="24"/>
          <w:szCs w:val="24"/>
        </w:rPr>
        <w:t xml:space="preserve">15.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Singh S, McGuinness MB, Anderson AJ, et al. Interventions for the Management of Computer Vision Syndrome: A Systematic Review and Meta-analysis. Ophthalmology. 2022;129(10):1192–1215. https://doi.org/10.1016/j.ophtha.2022.05.009</w:t>
      </w:r>
    </w:p>
    <w:p>
      <w:pPr>
        <w:spacing w:after="60" w:line="360"/>
        <w:ind w:left="640" w:hanging="640"/>
        <w:jc w:val="both"/>
      </w:pPr>
      <w:r>
        <w:rPr>
          <w:rFonts w:ascii="Times New Roman" w:cs="Times New Roman" w:eastAsia="Times New Roman" w:hAnsi="Times New Roman"/>
          <w:sz w:val="24"/>
          <w:szCs w:val="24"/>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Mataftsi A, Seliniotaki AK, Moutzouri S, Prousali E, Darusman KR, Adio AO, et al. Digital eye strain in young screen users: A systematic review. Preventive Medicine. 2023;170:107493. https://doi.org/10.1016/j.ypmed.2023.107493</w:t>
      </w:r>
    </w:p>
    <w:p>
      <w:pPr>
        <w:spacing w:after="60" w:line="360"/>
        <w:ind w:left="640" w:hanging="640"/>
        <w:jc w:val="both"/>
      </w:pPr>
      <w:r>
        <w:rPr>
          <w:rFonts w:ascii="Times New Roman" w:cs="Times New Roman" w:eastAsia="Times New Roman" w:hAnsi="Times New Roman"/>
          <w:sz w:val="24"/>
          <w:szCs w:val="24"/>
        </w:rPr>
        <w:t xml:space="preserve">17.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Portello JK, Rosenfield M, Chu CA. Blink rate, incomplete blinks and computer vision syndrome. Optometry and Vision Science. 2013;90(5):482–487. https://doi.org/10.1097/OPX.0b013e31828f09a7</w:t>
      </w:r>
    </w:p>
    <w:p>
      <w:pPr>
        <w:spacing w:after="60" w:line="360"/>
        <w:ind w:left="640" w:hanging="640"/>
        <w:jc w:val="both"/>
      </w:pPr>
      <w:r>
        <w:rPr>
          <w:rFonts w:ascii="Times New Roman" w:cs="Times New Roman" w:eastAsia="Times New Roman" w:hAnsi="Times New Roman"/>
          <w:sz w:val="24"/>
          <w:szCs w:val="24"/>
        </w:rPr>
        <w:t xml:space="preserve">18.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Argilés M, Cardona G, Pérez-Cabré E, et al. Blink Rate and Incomplete Blinks in Six Different Controlled Hard-Copy and Electronic Reading Conditions. Investigative Ophthalmology &amp; Visual Science. 2015;56(11):6679–6685. https://doi.org/10.1167/iovs.15-16967</w:t>
      </w:r>
    </w:p>
    <w:p>
      <w:pPr>
        <w:spacing w:after="60" w:line="360"/>
        <w:ind w:left="640" w:hanging="640"/>
        <w:jc w:val="both"/>
      </w:pPr>
      <w:r>
        <w:rPr>
          <w:rFonts w:ascii="Times New Roman" w:cs="Times New Roman" w:eastAsia="Times New Roman" w:hAnsi="Times New Roman"/>
          <w:sz w:val="24"/>
          <w:szCs w:val="24"/>
        </w:rPr>
        <w:t xml:space="preserve">19.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Hirota M, Uozato H, Kawamorita T, et al. Effect of incomplete blinking on tear film stability. Optometry and Vision Science. 2013;90(7):650–657. https://doi.org/10.1097/OPX.0b013e31829962ec</w:t>
      </w:r>
    </w:p>
    <w:p>
      <w:pPr>
        <w:spacing w:after="60" w:line="360"/>
        <w:ind w:left="640" w:hanging="640"/>
        <w:jc w:val="both"/>
      </w:pPr>
      <w:r>
        <w:rPr>
          <w:rFonts w:ascii="Times New Roman" w:cs="Times New Roman" w:eastAsia="Times New Roman" w:hAnsi="Times New Roman"/>
          <w:sz w:val="24"/>
          <w:szCs w:val="24"/>
        </w:rPr>
        <w:t xml:space="preserve">20.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World Wide Web Consortium (W3C). Web Content Accessibility Guidelines (WCAG) 2.2, Success Criteria 1.4.3 and 1.4.6; definitions of contrast ratio and relative luminance. W3C Recommendation. https://www.w3.org/TR/WCAG22/</w:t>
      </w:r>
    </w:p>
    <w:p>
      <w:pPr>
        <w:spacing w:after="60" w:line="360"/>
        <w:ind w:left="640" w:hanging="640"/>
        <w:jc w:val="both"/>
      </w:pPr>
      <w:r>
        <w:rPr>
          <w:rFonts w:ascii="Times New Roman" w:cs="Times New Roman" w:eastAsia="Times New Roman" w:hAnsi="Times New Roman"/>
          <w:sz w:val="24"/>
          <w:szCs w:val="24"/>
        </w:rPr>
        <w:t xml:space="preserve">21.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Advanced Perceptual Contrast Algorithm (APCA): candidate perceptual contrast method incorporating polarity and typographic parameters, under development for a future generation of the accessibility guidelines. https://git.apcacontrast.com/</w:t>
      </w:r>
    </w:p>
    <w:p>
      <w:pPr>
        <w:spacing w:after="60" w:line="360"/>
        <w:ind w:left="640" w:hanging="640"/>
        <w:jc w:val="both"/>
      </w:pPr>
      <w:r>
        <w:rPr>
          <w:rFonts w:ascii="Times New Roman" w:cs="Times New Roman" w:eastAsia="Times New Roman" w:hAnsi="Times New Roman"/>
          <w:sz w:val="24"/>
          <w:szCs w:val="24"/>
        </w:rPr>
        <w:t xml:space="preserve">22.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Warm JS, Parasuraman R, Matthews G. Vigilance requires hard mental work and is stressful. Human Factors. 2008;50(3):433–441. https://doi.org/10.1518/001872008X312152</w:t>
      </w:r>
    </w:p>
    <w:p>
      <w:pPr>
        <w:spacing w:after="60" w:line="360"/>
        <w:ind w:left="640" w:hanging="640"/>
        <w:jc w:val="both"/>
      </w:pPr>
      <w:r>
        <w:rPr>
          <w:rFonts w:ascii="Times New Roman" w:cs="Times New Roman" w:eastAsia="Times New Roman" w:hAnsi="Times New Roman"/>
          <w:sz w:val="24"/>
          <w:szCs w:val="24"/>
        </w:rPr>
        <w:t xml:space="preserve">23.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Mollicone D, Basner M, et al. Sleepiness and Safety: Where Biology Needs Technology. Sleep and Biological Rhythms. 2014;12(2):74–84. https://doi.org/10.1111/sbr.12067</w:t>
      </w:r>
    </w:p>
    <w:p>
      <w:pPr>
        <w:spacing w:after="60" w:line="360"/>
        <w:ind w:left="640" w:hanging="640"/>
        <w:jc w:val="both"/>
      </w:pPr>
      <w:r>
        <w:rPr>
          <w:rFonts w:ascii="Times New Roman" w:cs="Times New Roman" w:eastAsia="Times New Roman" w:hAnsi="Times New Roman"/>
          <w:sz w:val="24"/>
          <w:szCs w:val="24"/>
        </w:rPr>
        <w:t xml:space="preserve">24.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Dobres J, Chahine N, Reimer B, et al. Utilising psychophysical techniques to investigate the effects of age, typeface design, size and display polarity on glance legibility. Ergonomics. 2016;59(10):1377–1391. https://doi.org/10.1080/00140139.2015.1137637</w:t>
      </w:r>
    </w:p>
    <w:p>
      <w:pPr>
        <w:spacing w:after="60" w:line="360"/>
        <w:ind w:left="640" w:hanging="640"/>
        <w:jc w:val="both"/>
      </w:pPr>
      <w:r>
        <w:rPr>
          <w:rFonts w:ascii="Times New Roman" w:cs="Times New Roman" w:eastAsia="Times New Roman" w:hAnsi="Times New Roman"/>
          <w:sz w:val="24"/>
          <w:szCs w:val="24"/>
        </w:rPr>
        <w:t xml:space="preserve">25.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Sethi T, Ziat M. Dark mode vogue: Do light-on-dark displays have measurable benefits to users? Ergonomics. 2023;66(12):1814–1828. https://doi.org/10.1080/00140139.2022.2160879</w:t>
      </w:r>
    </w:p>
    <w:p>
      <w:pPr>
        <w:spacing w:after="60" w:line="360"/>
        <w:ind w:left="640" w:hanging="640"/>
        <w:jc w:val="both"/>
      </w:pPr>
      <w:r>
        <w:rPr>
          <w:rFonts w:ascii="Times New Roman" w:cs="Times New Roman" w:eastAsia="Times New Roman" w:hAnsi="Times New Roman"/>
          <w:sz w:val="24"/>
          <w:szCs w:val="24"/>
        </w:rPr>
        <w:t xml:space="preserve">26.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Cardona G, García C, Serés C, et al. Blink rate, blink amplitude, and tear film integrity during dynamic visual display terminal tasks. Current Eye Research. 2011;36(3):190–197. https://doi.org/10.3109/02713683.2010.544442</w:t>
      </w:r>
    </w:p>
    <w:p>
      <w:pPr>
        <w:spacing w:after="60" w:line="360"/>
        <w:ind w:left="640" w:hanging="640"/>
        <w:jc w:val="both"/>
      </w:pPr>
      <w:r>
        <w:rPr>
          <w:rFonts w:ascii="Times New Roman" w:cs="Times New Roman" w:eastAsia="Times New Roman" w:hAnsi="Times New Roman"/>
          <w:sz w:val="24"/>
          <w:szCs w:val="24"/>
        </w:rPr>
        <w:t xml:space="preserve">27.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Abe T. PERCLOS-based technologies for detecting drowsiness: current evidence and future directions. SLEEP Advances. 2023;4(1):zpad006. https://doi.org/10.1093/sleepadvances/zpad006</w:t>
      </w:r>
    </w:p>
    <w:p>
      <w:pPr>
        <w:spacing w:after="60" w:line="360"/>
        <w:ind w:left="640" w:hanging="640"/>
        <w:jc w:val="both"/>
      </w:pPr>
      <w:r>
        <w:rPr>
          <w:rFonts w:ascii="Times New Roman" w:cs="Times New Roman" w:eastAsia="Times New Roman" w:hAnsi="Times New Roman"/>
          <w:sz w:val="24"/>
          <w:szCs w:val="24"/>
        </w:rPr>
        <w:t xml:space="preserve">28.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Jackson ML, Raj S, Croft RJ, et al. Slow eyelid closure as a measure of driver drowsiness and its relationship to performance. Traffic Injury Prevention. 2016;17(3):251–257. https://doi.org/10.1080/15389588.2015.1055327</w:t>
      </w:r>
    </w:p>
    <w:p>
      <w:pPr>
        <w:spacing w:after="60" w:line="360"/>
        <w:ind w:left="640" w:hanging="640"/>
        <w:jc w:val="both"/>
      </w:pPr>
      <w:r>
        <w:rPr>
          <w:rFonts w:ascii="Times New Roman" w:cs="Times New Roman" w:eastAsia="Times New Roman" w:hAnsi="Times New Roman"/>
          <w:sz w:val="24"/>
          <w:szCs w:val="24"/>
        </w:rPr>
        <w:t xml:space="preserve">29.</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Delgado P, Vargas C, Ackerman R, et al. Don't throw away your printed books: A meta-analysis on the effects of reading media on reading comprehension. Educational Research Review. 2018;25:23–38. https://doi.org/10.1016/j.edurev.2018.09.003</w:t>
      </w:r>
    </w:p>
    <w:p>
      <w:pPr>
        <w:spacing w:after="60" w:line="360"/>
        <w:ind w:left="640" w:hanging="640"/>
        <w:jc w:val="both"/>
      </w:pPr>
      <w:r>
        <w:rPr>
          <w:rFonts w:ascii="Times New Roman" w:cs="Times New Roman" w:eastAsia="Times New Roman" w:hAnsi="Times New Roman"/>
          <w:sz w:val="24"/>
          <w:szCs w:val="24"/>
        </w:rPr>
        <w:t xml:space="preserve">30.</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Seguí MdelM, Cabrero-García J, Crespo A, et al. A reliable and valid questionnaire was developed to measure computer vision syndrome at the workplace. Journal of Clinical Epidemiology. 2015;68(6):662–673. https://doi.org/10.1016/j.jclinepi.2015.01.015</w:t>
      </w:r>
    </w:p>
    <w:p>
      <w:pPr>
        <w:spacing w:after="60" w:line="360"/>
        <w:ind w:left="640" w:hanging="640"/>
        <w:jc w:val="both"/>
      </w:pPr>
      <w:r>
        <w:rPr>
          <w:rFonts w:ascii="Times New Roman" w:cs="Times New Roman" w:eastAsia="Times New Roman" w:hAnsi="Times New Roman"/>
          <w:sz w:val="24"/>
          <w:szCs w:val="24"/>
        </w:rPr>
        <w:t xml:space="preserve">31.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Cantó-Sancho N, Linhares J, Ronda-Pérez E, et al. Cross-cultural validation into Portuguese of a questionnaire to assess computer vision syndrome in workers exposed to digital devices. Arquivos Brasileiros de Oftalmologia. 2024;87(6):e20220256. https://doi.org/10.5935/0004-2749.2022-0256</w:t>
      </w:r>
    </w:p>
    <w:p>
      <w:pPr>
        <w:spacing w:after="60" w:line="360"/>
        <w:ind w:left="640" w:hanging="640"/>
        <w:jc w:val="both"/>
      </w:pPr>
      <w:r>
        <w:rPr>
          <w:rFonts w:ascii="Times New Roman" w:cs="Times New Roman" w:eastAsia="Times New Roman" w:hAnsi="Times New Roman"/>
          <w:sz w:val="24"/>
          <w:szCs w:val="24"/>
        </w:rPr>
        <w:t xml:space="preserve">32.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Hart SG, Staveland LE. Development of NASA-TLX (Task Load Index): Results of empirical and theoretical research. In: Hancock PA, Meshkati N, editors. Human Mental Workload. Advances in Psychology, Vol. 52. Amsterdam: North-Holland; 1988. p. 139–183.</w:t>
      </w:r>
    </w:p>
    <w:p>
      <w:pPr>
        <w:spacing w:after="60" w:line="360"/>
        <w:ind w:left="640" w:hanging="640"/>
        <w:jc w:val="both"/>
      </w:pPr>
      <w:r>
        <w:rPr>
          <w:rFonts w:ascii="Times New Roman" w:cs="Times New Roman" w:eastAsia="Times New Roman" w:hAnsi="Times New Roman"/>
          <w:sz w:val="24"/>
          <w:szCs w:val="24"/>
        </w:rPr>
        <w:t xml:space="preserve">33.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Soukupová T, Čech J. Real-Time Eye Blink Detection using Facial Landmarks. In: Proceedings of the 21st Computer Vision Winter Workshop (CVWW). Rimske Toplice, Slovenia; 2016.</w:t>
      </w:r>
    </w:p>
    <w:p>
      <w:pPr>
        <w:spacing w:after="60" w:line="360"/>
        <w:ind w:left="640" w:hanging="640"/>
        <w:jc w:val="both"/>
      </w:pPr>
      <w:r>
        <w:rPr>
          <w:rFonts w:ascii="Times New Roman" w:cs="Times New Roman" w:eastAsia="Times New Roman" w:hAnsi="Times New Roman"/>
          <w:sz w:val="24"/>
          <w:szCs w:val="24"/>
        </w:rPr>
        <w:t xml:space="preserve">34.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Klinke T, Hannak W, Böning K, et al. A Comparative Study of the Sensitivity and Specificity of the Ishihara Test With Various Displays. International Dental Journal. 2024;74(4):892–896. https://doi.org/10.1016/j.identj.2023.12.009</w:t>
      </w:r>
    </w:p>
    <w:p>
      <w:pPr>
        <w:spacing w:after="60" w:line="360"/>
        <w:ind w:left="640" w:hanging="640"/>
        <w:jc w:val="both"/>
      </w:pPr>
      <w:r>
        <w:rPr>
          <w:rFonts w:ascii="Times New Roman" w:cs="Times New Roman" w:eastAsia="Times New Roman" w:hAnsi="Times New Roman"/>
          <w:sz w:val="24"/>
          <w:szCs w:val="24"/>
        </w:rPr>
        <w:t xml:space="preserve">35.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Bureau of Indian Standards. IS 3646: Code of Practice for Interior Illumination (Part 2: Schedule of Illumination and Glare Index). New Delhi: BIS.</w:t>
      </w:r>
    </w:p>
    <w:p>
      <w:pPr>
        <w:spacing w:after="60" w:line="360"/>
        <w:ind w:left="640" w:hanging="640"/>
        <w:jc w:val="both"/>
      </w:pPr>
      <w:r>
        <w:rPr>
          <w:rFonts w:ascii="Times New Roman" w:cs="Times New Roman" w:eastAsia="Times New Roman" w:hAnsi="Times New Roman"/>
          <w:sz w:val="24"/>
          <w:szCs w:val="24"/>
        </w:rPr>
        <w:t xml:space="preserve">36.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Xie X, Song F, Liu Y, et al. Study on the Effects of Display Color Mode and Luminance Contrast on Visual Fatigue. IEEE Access. 2021;9:35915–35923. https://doi.org/10.1109/ACCESS.2021.3061770</w:t>
      </w:r>
    </w:p>
    <w:p>
      <w:pPr>
        <w:spacing w:after="60" w:line="360"/>
        <w:ind w:left="640" w:hanging="640"/>
        <w:jc w:val="both"/>
      </w:pPr>
      <w:r>
        <w:rPr>
          <w:rFonts w:ascii="Times New Roman" w:cs="Times New Roman" w:eastAsia="Times New Roman" w:hAnsi="Times New Roman"/>
          <w:sz w:val="24"/>
          <w:szCs w:val="24"/>
        </w:rPr>
        <w:t xml:space="preserve">37.</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Tian P, Xu G, Han C, et al. Effects of Paradigm Color and Screen Brightness on Visual Fatigue in Light Environment of Night Based on Eye Tracker and EEG Acquisition Equipment. Sensors. 2022;22(11):4082. https://doi.org/10.3390/s22114082</w:t>
      </w:r>
    </w:p>
    <w:p>
      <w:pPr>
        <w:spacing w:after="60" w:line="360"/>
        <w:ind w:left="640" w:hanging="640"/>
        <w:jc w:val="both"/>
      </w:pPr>
      <w:r>
        <w:rPr>
          <w:rFonts w:ascii="Times New Roman" w:cs="Times New Roman" w:eastAsia="Times New Roman" w:hAnsi="Times New Roman"/>
          <w:sz w:val="24"/>
          <w:szCs w:val="24"/>
        </w:rPr>
        <w:t xml:space="preserve">38.</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[Author list to be completed from the publisher record.] Effects of ambient illuminance and mobile phone screen brightness on tear film stability, visual fatigue, and blink patterns during reading. Contact Lens and Anterior Eye. 2025. https://doi.org/10.1016/j.clae.2025.102515</w:t>
      </w:r>
    </w:p>
    <w:p>
      <w:pPr>
        <w:pBdr>
          <w:bottom w:val="single" w:color="AAAAAA" w:sz="6" w:space="1"/>
        </w:pBdr>
        <w:spacing w:after="90" w:before="60"/>
      </w:pPr>
      <w:r>
        <w:rPr>
          <w:rFonts w:ascii="Times New Roman" w:cs="Times New Roman" w:eastAsia="Times New Roman" w:hAnsi="Times New Roman"/>
          <w:sz w:val="24"/>
          <w:szCs w:val="24"/>
        </w:rPr>
        <w:t xml:space="preserve"/>
      </w:r>
    </w:p>
    <w:p>
      <w:pPr>
        <w:spacing w:after="240" w:line="360"/>
        <w:jc w:val="left"/>
      </w:pPr>
      <w:r>
        <w:rPr>
          <w:rFonts w:ascii="Times New Roman" w:cs="Times New Roman" w:eastAsia="Times New Roman" w:hAnsi="Times New Roman"/>
          <w:b w:val="false"/>
          <w:bCs w:val="false"/>
          <w:i w:val="false"/>
          <w:iCs w:val="false"/>
          <w:sz w:val="24"/>
          <w:szCs w:val="24"/>
        </w:rPr>
        <w:t xml:space="preserve">Date: ……………………………                     Signature of Scholar</w:t>
      </w:r>
    </w:p>
    <w:p>
      <w:pPr>
        <w:spacing w:after="240" w:line="360"/>
        <w:jc w:val="left"/>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240" w:line="360"/>
        <w:jc w:val="left"/>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134"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20" w:before="240" w:line="36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90" w:before="180" w:line="360"/>
    </w:pPr>
    <w:rPr>
      <w:rFonts w:ascii="Times New Roman" w:cs="Times New Roman" w:eastAsia="Times New Roman" w:hAnsi="Times New Roman"/>
      <w:b/>
      <w:bCs/>
      <w:color w:val="000000"/>
      <w:sz w:val="27"/>
      <w:szCs w:val="27"/>
    </w:rPr>
  </w:style>
  <w:style w:type="paragraph" w:styleId="Heading3">
    <w:name w:val="Heading 3"/>
    <w:basedOn w:val="Normal"/>
    <w:next w:val="Normal"/>
    <w:qFormat/>
    <w:pPr>
      <w:spacing w:after="80" w:before="160" w:line="360"/>
    </w:pPr>
    <w:rPr>
      <w:rFonts w:ascii="Times New Roman" w:cs="Times New Roman" w:eastAsia="Times New Roman" w:hAnsi="Times New Roman"/>
      <w:b/>
      <w:bCs/>
      <w:color w:val="000000"/>
      <w:sz w:val="25"/>
      <w:szCs w:val="25"/>
    </w:rPr>
  </w:style>
  <w:style w:type="paragraph" w:styleId="Heading4">
    <w:name w:val="Heading 4"/>
    <w:basedOn w:val="Normal"/>
    <w:next w:val="Normal"/>
    <w:qFormat/>
    <w:pPr>
      <w:spacing w:after="120" w:before="220" w:line="360"/>
    </w:pPr>
    <w:rPr>
      <w:rFonts w:ascii="Times New Roman" w:cs="Times New Roman" w:eastAsia="Times New Roman" w:hAnsi="Times New Roman"/>
      <w:b/>
      <w:bCs/>
      <w:i/>
      <w:iCs/>
      <w:color w:val="000000"/>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Ergonomics of Visual Perception — PhD Synopsis</dc:title>
  <dc:creator>Gyandeep Nath</dc:creator>
  <dc:description>PhD synopsis submitted to Assam down town University</dc:description>
  <cp:lastModifiedBy>Un-named</cp:lastModifiedBy>
  <cp:revision>1</cp:revision>
  <dcterms:created xsi:type="dcterms:W3CDTF">2026-08-07T06:12:04.126Z</dcterms:created>
  <dcterms:modified xsi:type="dcterms:W3CDTF">2026-08-07T06:12:04.126Z</dcterms:modified>
</cp:coreProperties>
</file>

<file path=docProps/custom.xml><?xml version="1.0" encoding="utf-8"?>
<Properties xmlns="http://schemas.openxmlformats.org/officeDocument/2006/custom-properties" xmlns:vt="http://schemas.openxmlformats.org/officeDocument/2006/docPropsVTypes"/>
</file>