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140" w:line="34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140" w:line="340"/>
        <w:jc w:val="both"/>
      </w:pPr>
      <w:r>
        <w:rPr>
          <w:rFonts w:ascii="Times New Roman" w:cs="Times New Roman" w:eastAsia="Times New Roman" w:hAnsi="Times New Roman"/>
          <w:b w:val="false"/>
          <w:bCs w:val="false"/>
          <w:i w:val="false"/>
          <w:iCs w:val="false"/>
          <w:sz w:val="24"/>
          <w:szCs w:val="24"/>
        </w:rPr>
        <w:t xml:space="preserve">Display polarity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Text colour (or chromaticity) is the hue of the letters themselves, which need not be black or white. Luminance is the amount of light the screen emits. Luminance contrast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140" w:line="34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computer vision syndrome and digital eye strain. The terms are used almost interchangeably, and this document uses digital eye strain for the condition and computer vision syndrome where the literature or an instrument uses that name.</w:t>
      </w:r>
    </w:p>
    <w:p>
      <w:pPr>
        <w:spacing w:after="140" w:line="34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Prevalence was higher among women (71.4 versus 61.8 per cent) and university students (76.1 per cent), and reviews report a further rise with remote work and study, reaching 50 to 60 per cent among children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wide spread between studies is itself informative: case definitions remain unstandardised, and the prevalence synthesis closes by calling for one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140" w:line="340"/>
        <w:jc w:val="both"/>
      </w:pPr>
      <w:r>
        <w:rPr>
          <w:rFonts w:ascii="Times New Roman" w:cs="Times New Roman" w:eastAsia="Times New Roman" w:hAnsi="Times New Roman"/>
          <w:b w:val="false"/>
          <w:bCs w:val="false"/>
          <w:i w:val="false"/>
          <w:iCs w:val="false"/>
          <w:sz w:val="24"/>
          <w:szCs w:val="24"/>
        </w:rPr>
        <w:t xml:space="preserve">The first concerns focusing. To read at arm's length the eye must bend light more strongly, which it does by changing the shape of its lens; this is called accommodation. At the same time both eyes must turn slightly inward so that the two images fuse into one, which is called vergence. Holding both for a long period is effortful, and when that effort accumulates it produces difficulty focusing, blurred vision, a temporary shift towards short-sightedness after close work (near-work-induced transient myopia) and headache.</w:t>
      </w:r>
    </w:p>
    <w:p>
      <w:pPr>
        <w:spacing w:after="140" w:line="340"/>
        <w:jc w:val="both"/>
      </w:pPr>
      <w:r>
        <w:rPr>
          <w:rFonts w:ascii="Times New Roman" w:cs="Times New Roman" w:eastAsia="Times New Roman" w:hAnsi="Times New Roman"/>
          <w:b w:val="false"/>
          <w:bCs w:val="false"/>
          <w:i w:val="false"/>
          <w:iCs w:val="false"/>
          <w:sz w:val="24"/>
          <w:szCs w:val="24"/>
        </w:rPr>
        <w:t xml:space="preserve">The second concerns the ocular surface, the exposed front of the eye. It is kept smooth and comfortable by a thin tear film, which is renewed each time the eyelids close fully. When that renewal is disrupted, the surface dries and the result is dryness, burning and irritation. It is this second mechanism that the present study measures most directly.</w:t>
      </w:r>
    </w:p>
    <w:p>
      <w:pPr>
        <w:spacing w:after="140" w:line="34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incomplete blinks. An incomplete blink leaves part of the surface unwetted and unprotected,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accommodative route is more heterogeneously evidenced but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140" w:line="34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positive polarity advantage: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acting on the same mechanism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For that reason it is held constant here rather than manipulated, at a single controlled level; the grounds for that decision, and what it forfeits, are set out in §2.4 and §3.4.</w:t>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separate review in younger users reached the same conclusion on blue-blocking filters, supporting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140" w:line="34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therefore estimated how polarity and text colour interact, separated hue from luminance contrast, or measured a validated symptom instrument alongside the ocular marker most specific to this condition. Compounding this, blink completeness has been measured by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140" w:line="34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140" w:line="34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3.3).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light constant isolates the polarity effect where it matters behaviourally, since devices are used extensively at night and in dim domestic settings, where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Validating an automated measure of blink completeness would remove the annotation bottleneck that has kept this literature small. The findings bear on interface design, on accessibility standards whose contrast criterion does not account for polarity (World Wide Web Consortium, 2023), on public health guidance, and on the advice optometrists give patients, an area in which practitioners are documented to lack quality evidence (Sheppard &amp; Wolffsohn, 2018).</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a controlled ambient illumination of 300 lux.</w:t>
      </w:r>
    </w:p>
    <w:p>
      <w:pPr>
        <w:spacing w:after="140" w:line="34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here, illumination being held constant; it is retained in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3.3), a contrast-mediated effect predicts a corresponding reversal of the colour ordering across polarity, whereas a residual hue-specific effect predicts a consistent ordering,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participant characteristics modulate susceptibility throughout.</w:t>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2017; Jiménez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2020; Piepenbrock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2014a, 2014b; Redondo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2015; Fjaervoll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Hirota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 Kamøy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Portello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2023; Abe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 Jackson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2016; Warm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1"/>
        <w:gridCol w:w="700"/>
        <w:gridCol w:w="700"/>
        <w:gridCol w:w="2307"/>
        <w:gridCol w:w="2355"/>
        <w:gridCol w:w="1563"/>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0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35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56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 21</w:t>
            </w:r>
          </w:p>
        </w:tc>
        <w:tc>
          <w:tcPr>
            <w:tcW w:type="dxa" w:w="23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3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156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65"/>
        <w:gridCol w:w="700"/>
        <w:gridCol w:w="700"/>
        <w:gridCol w:w="1771"/>
        <w:gridCol w:w="2592"/>
        <w:gridCol w:w="179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7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59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9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380"/>
        <w:gridCol w:w="2379"/>
        <w:gridCol w:w="1467"/>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8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37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46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no automated implementation was found, in the literature located, to have been validated against manual annotation,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(§3.4). Each participant contributes ten condition-runs and serves as their own control. Ten reading passages cover the ten runs, so each is read exactly once and no practice effect requires adjustment.</w:t>
      </w:r>
    </w:p>
    <w:p>
      <w:pPr>
        <w:spacing w:after="140" w:line="340"/>
        <w:jc w:val="both"/>
      </w:pPr>
      <w:r>
        <w:rPr>
          <w:rFonts w:ascii="Times New Roman" w:cs="Times New Roman" w:eastAsia="Times New Roman" w:hAnsi="Times New Roman"/>
          <w:b/>
          <w:bCs/>
          <w:i w:val="false"/>
          <w:iCs w:val="false"/>
          <w:sz w:val="24"/>
          <w:szCs w:val="24"/>
        </w:rPr>
        <w:t xml:space="preserve">Figure 3.1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(§3.8), and was set by simulation rather than by a formula assuming independent observations. Precision on the primary outcome follows the number of condition-runs, not participants: 130 participants give 1,300 runs.</w:t>
      </w:r>
    </w:p>
    <w:p>
      <w:pPr>
        <w:spacing w:after="140" w:line="340"/>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08"/>
        <w:gridCol w:w="700"/>
        <w:gridCol w:w="700"/>
        <w:gridCol w:w="1317"/>
        <w:gridCol w:w="1044"/>
        <w:gridCol w:w="2315"/>
        <w:gridCol w:w="2042"/>
      </w:tblGrid>
      <w:tr>
        <w:trPr>
          <w:tblHeader/>
        </w:trPr>
        <w:tc>
          <w:tcPr>
            <w:tcW w:type="dxa" w:w="90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31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Conditions per participant</w:t>
            </w:r>
          </w:p>
        </w:tc>
        <w:tc>
          <w:tcPr>
            <w:tcW w:type="dxa" w:w="10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Total condition-runs</w:t>
            </w:r>
          </w:p>
        </w:tc>
        <w:tc>
          <w:tcPr>
            <w:tcW w:type="dxa" w:w="231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Ocular measure</w:t>
            </w:r>
          </w:p>
        </w:tc>
        <w:tc>
          <w:tcPr>
            <w:tcW w:type="dxa" w:w="20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Display parameter manipulated</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24</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280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Accommodation, pupil</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42</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75</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amplitude</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dynamism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patterns, tear film</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medium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10</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Incomplete-blink ratio, blink rate, IBI, 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40"/>
        <w:jc w:val="both"/>
      </w:pPr>
      <w:r>
        <w:rPr>
          <w:rFonts w:ascii="Times New Roman" w:cs="Times New Roman" w:eastAsia="Times New Roman" w:hAnsi="Times New Roman"/>
          <w:b/>
          <w:bCs/>
          <w:i w:val="false"/>
          <w:iCs w:val="false"/>
          <w:sz w:val="24"/>
          <w:szCs w:val="24"/>
        </w:rPr>
        <w:t xml:space="preserve">Figure 3.2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46"/>
        <w:gridCol w:w="700"/>
        <w:gridCol w:w="1471"/>
        <w:gridCol w:w="1077"/>
        <w:gridCol w:w="1339"/>
        <w:gridCol w:w="1339"/>
        <w:gridCol w:w="1077"/>
        <w:gridCol w:w="1077"/>
      </w:tblGrid>
      <w:tr>
        <w:trPr>
          <w:tblHeader/>
        </w:trPr>
        <w:tc>
          <w:tcPr>
            <w:tcW w:type="dxa" w:w="94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bCs/>
          <w:i w:val="false"/>
          <w:iCs w:val="false"/>
          <w:sz w:val="24"/>
          <w:szCs w:val="24"/>
        </w:rPr>
        <w:t xml:space="preserve">Figure 3.3 — Why the colour ordering must reverse between polarities, and what that tests.</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On a white field, contrast = 1.05 / (L + 0.05) — FALLS as the text lightens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On a black field, contrast = (L + 0.05) / 0.05 — RISES as the text lightens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Both depend on the same relative luminance L, so the two rank orders are exact reverses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If colour acts THROUGH contrast: the colour ordering crosses over between polarities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If a residual hue effect exists: the ordering is preserved and the lines stay parallel</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jc w:val="both"/>
      </w:pPr>
      <w:r>
        <w:rPr>
          <w:rFonts w:ascii="Times New Roman" w:cs="Times New Roman" w:eastAsia="Times New Roman" w:hAnsi="Times New Roman"/>
          <w:b/>
          <w:bCs/>
          <w:i w:val="false"/>
          <w:iCs w:val="false"/>
          <w:sz w:val="24"/>
          <w:szCs w:val="24"/>
        </w:rPr>
        <w:t xml:space="preserve">Figure 3.4 — How a blink is classified, and what makes one incomplete.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Eye aspect ratio is tracked continuously and normalised to the participant's own open-eye baseline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 blink begins when the ratio falls below 0.75 of that baseline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Reaches below 0.60 → COMPLETE blink</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Bottoms out between 0.60 and 0.75 → INCOMPLETE blink</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Incomplete-blink ratio = incomplete blinks ÷ all blinks —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Because classification depends on catching the frame at minimum aperture, the achieved frame rate is recorded per condition and gates the measure</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jc w:val="both"/>
      </w:pPr>
      <w:r>
        <w:rPr>
          <w:rFonts w:ascii="Times New Roman" w:cs="Times New Roman" w:eastAsia="Times New Roman" w:hAnsi="Times New Roman"/>
          <w:b/>
          <w:bCs/>
          <w:i w:val="false"/>
          <w:iCs w:val="false"/>
          <w:sz w:val="24"/>
          <w:szCs w:val="24"/>
        </w:rPr>
        <w:t xml:space="preserve">Figure 3.4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at a controlled ambient illuminance,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140" w:line="34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140" w:line="34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The NASA Task Load Index is administered once per sitting and therefore describes the sitting as a whole: it cannot be attributed to polarity or colour, both of which vary within it, and it is reported as a descriptive session-level index rather than as a contrast. PERCLOS, while serving as a sleepiness covariate, is itself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is the most consequential delimitation of this design, and it forfeits three things that should be stated rather than implied. The interaction between polarity and room light cannot be estimated, and that interaction is the form the popular claim about dark mode actually takes. The night-time reading scenario, which the earlier two-level version of this protocol included at approximately 10 lux, is outside the present scope altogether. And Sethi and Ziat (2023) located the cognitive cost of negative polarity in younger adults specifically under dim conditions — that is, in the very condition removed — so this study cannot speak to their finding for its own age group. The decision rests on the measurement argument set out in §2.4: at low ambient illuminance the light reaching the participant's face is dominated by the display and therefore varies with polarity, so camera-derived blink measures would have carried an artefact aligned with the primary independent variable. A narrower question answered with a trustworthy instrument was judged preferable to a broader one answered with a compromised one, but the narrowing is real.</w:t>
      </w:r>
    </w:p>
    <w:p>
      <w:pPr>
        <w:spacing w:after="140" w:line="340"/>
        <w:jc w:val="both"/>
      </w:pPr>
      <w:r>
        <w:rPr>
          <w:rFonts w:ascii="Times New Roman" w:cs="Times New Roman" w:eastAsia="Times New Roman" w:hAnsi="Times New Roman"/>
          <w:b w:val="false"/>
          <w:bCs w:val="false"/>
          <w:i w:val="false"/>
          <w:iCs w:val="false"/>
          <w:sz w:val="24"/>
          <w:szCs w:val="24"/>
        </w:rPr>
        <w:t xml:space="preserve">Two further points bear on interpretation. The polarity contrast is confounded with mean display luminance by construction, since white luminance rather than mean luminance is held constant across polarities;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positive-polarity advantage disappears when overall display luminance is equalised, so the effect estimated here is properly described as an effect of polarity-with-its-attendant-luminance rather than of polarity alone. And the single illumination level means the findings apply at a display-to-ambient ratio fixed at 300 lux, not across the range of ratios encountered in ordinary use.</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2026-09-07T11:55:53.575Z</dcterms:created>
  <dcterms:modified xsi:type="dcterms:W3CDTF">2026-09-07T11:55:53.587Z</dcterms:modified>
</cp:coreProperties>
</file>

<file path=docProps/custom.xml><?xml version="1.0" encoding="utf-8"?>
<Properties xmlns="http://schemas.openxmlformats.org/officeDocument/2006/custom-properties" xmlns:vt="http://schemas.openxmlformats.org/officeDocument/2006/docPropsVTypes"/>
</file>