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line="360"/>
        <w:jc w:val="center"/>
      </w:pPr>
      <w:r>
        <w:rPr>
          <w:rFonts w:ascii="Times New Roman" w:cs="Times New Roman" w:eastAsia="Times New Roman" w:hAnsi="Times New Roman"/>
          <w:b/>
          <w:bCs/>
          <w:i w:val="false"/>
          <w:iCs w:val="false"/>
          <w:sz w:val="28"/>
          <w:szCs w:val="28"/>
        </w:rPr>
        <w:t xml:space="preserve">ERGONOMICS OF VISUAL PERCEPTION: EFFECTS OF DISPLAY POLARITY, TEXT COLOUR AND AMBIENT ILLUMINATION ON VISUAL FATIGUE, OCULAR BEHAVIOUR AND TASK PERFORMANCE</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200" w:before="200" w:line="360"/>
        <w:jc w:val="center"/>
      </w:pPr>
      <w:r>
        <w:rPr>
          <w:rFonts w:ascii="Times New Roman" w:cs="Times New Roman" w:eastAsia="Times New Roman" w:hAnsi="Times New Roman"/>
          <w:b/>
          <w:bCs/>
          <w:i w:val="false"/>
          <w:iCs w:val="false"/>
          <w:sz w:val="24"/>
          <w:szCs w:val="24"/>
        </w:rPr>
        <w:t xml:space="preserve">DEGREE OF DOCTOR OF PHILOSOPHY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in</w:t>
      </w:r>
    </w:p>
    <w:p>
      <w:pPr>
        <w:spacing w:after="200" w:before="200" w:line="360"/>
        <w:jc w:val="center"/>
      </w:pPr>
      <w:r>
        <w:rPr>
          <w:rFonts w:ascii="Times New Roman" w:cs="Times New Roman" w:eastAsia="Times New Roman" w:hAnsi="Times New Roman"/>
          <w:b/>
          <w:bCs/>
          <w:i w:val="false"/>
          <w:iCs w:val="false"/>
          <w:sz w:val="24"/>
          <w:szCs w:val="24"/>
        </w:rPr>
        <w:t xml:space="preserve">OPTOMETRY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By</w:t>
      </w:r>
    </w:p>
    <w:p>
      <w:pPr>
        <w:spacing w:after="200" w:before="200" w:line="360"/>
        <w:jc w:val="center"/>
      </w:pPr>
      <w:r>
        <w:rPr>
          <w:rFonts w:ascii="Times New Roman" w:cs="Times New Roman" w:eastAsia="Times New Roman" w:hAnsi="Times New Roman"/>
          <w:b/>
          <w:bCs/>
          <w:i w:val="false"/>
          <w:iCs w:val="false"/>
          <w:sz w:val="24"/>
          <w:szCs w:val="24"/>
        </w:rPr>
        <w:t xml:space="preserve">GYANDEEP NATH</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Registration No. ………………………………………</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Assam down town University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w:t>
      </w:r>
    </w:p>
    <w:p>
      <w:r>
        <w:br w:type="page"/>
      </w:r>
    </w:p>
    <w:p>
      <w:pPr>
        <w:spacing w:after="160" w:before="160" w:line="360"/>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60" w:before="160" w:line="360"/>
      </w:pPr>
      <w:r>
        <w:rPr>
          <w:rFonts w:ascii="Times New Roman" w:cs="Times New Roman" w:eastAsia="Times New Roman" w:hAnsi="Times New Roman"/>
          <w:b w:val="false"/>
          <w:bCs w:val="false"/>
          <w:i w:val="false"/>
          <w:iCs w:val="false"/>
          <w:sz w:val="24"/>
          <w:szCs w:val="24"/>
        </w:rPr>
        <w:t xml:space="preserve">Faculty of Study : Faculty of Allied and Healthcare Sciences</w:t>
      </w:r>
    </w:p>
    <w:p>
      <w:pPr>
        <w:spacing w:after="160" w:before="160" w:line="360"/>
      </w:pPr>
      <w:r>
        <w:rPr>
          <w:rFonts w:ascii="Times New Roman" w:cs="Times New Roman" w:eastAsia="Times New Roman" w:hAnsi="Times New Roman"/>
          <w:b w:val="false"/>
          <w:bCs w:val="false"/>
          <w:i w:val="false"/>
          <w:iCs w:val="false"/>
          <w:sz w:val="24"/>
          <w:szCs w:val="24"/>
        </w:rPr>
        <w:t xml:space="preserve">Department/Discipline : Optometry</w:t>
      </w:r>
    </w:p>
    <w:p>
      <w:pPr>
        <w:spacing w:after="160" w:before="160" w:line="360"/>
      </w:pPr>
      <w:r>
        <w:rPr>
          <w:rFonts w:ascii="Times New Roman" w:cs="Times New Roman" w:eastAsia="Times New Roman" w:hAnsi="Times New Roman"/>
          <w:b w:val="false"/>
          <w:bCs w:val="false"/>
          <w:i w:val="false"/>
          <w:iCs w:val="false"/>
          <w:sz w:val="24"/>
          <w:szCs w:val="24"/>
        </w:rPr>
        <w:t xml:space="preserve">Batch/session : …………………………………………………</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1: INTRODUCTION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1.1 Background</w:t>
      </w:r>
    </w:p>
    <w:p>
      <w:pPr>
        <w:spacing w:after="0" w:line="360"/>
        <w:jc w:val="both"/>
      </w:pPr>
      <w:r>
        <w:rPr>
          <w:rFonts w:ascii="Times New Roman" w:cs="Times New Roman" w:eastAsia="Times New Roman" w:hAnsi="Times New Roman"/>
          <w:b w:val="false"/>
          <w:bCs w:val="false"/>
          <w:i w:val="false"/>
          <w:iCs w:val="false"/>
          <w:sz w:val="24"/>
          <w:szCs w:val="24"/>
        </w:rPr>
        <w:t xml:space="preserve">Most reading now happens on a screen rather than on paper, and tablets in particular have become a routine medium for study, work and leisure reading, often for hours at a time. Unlike a printed page, which reflects whatever light falls on it and is fixed once printed, a screen produces its own light and almost every property of what it shows can be altered in software. Three such properties are manipulated here and a fourth governs them. </w:t>
      </w:r>
      <w:r>
        <w:rPr>
          <w:rFonts w:ascii="Times New Roman" w:cs="Times New Roman" w:eastAsia="Times New Roman" w:hAnsi="Times New Roman"/>
          <w:b/>
          <w:bCs/>
          <w:i w:val="false"/>
          <w:iCs w:val="false"/>
          <w:sz w:val="24"/>
          <w:szCs w:val="24"/>
        </w:rPr>
        <w:t xml:space="preserve">Display polarity</w:t>
      </w:r>
      <w:r>
        <w:rPr>
          <w:rFonts w:ascii="Times New Roman" w:cs="Times New Roman" w:eastAsia="Times New Roman" w:hAnsi="Times New Roman"/>
          <w:b w:val="false"/>
          <w:bCs w:val="false"/>
          <w:i w:val="false"/>
          <w:iCs w:val="false"/>
          <w:sz w:val="24"/>
          <w:szCs w:val="24"/>
        </w:rPr>
        <w:t xml:space="preserve"> describes which element is lighter — </w:t>
      </w:r>
      <w:r>
        <w:rPr>
          <w:rFonts w:ascii="Times New Roman" w:cs="Times New Roman" w:eastAsia="Times New Roman" w:hAnsi="Times New Roman"/>
          <w:b w:val="false"/>
          <w:bCs w:val="false"/>
          <w:i/>
          <w:iCs/>
          <w:sz w:val="24"/>
          <w:szCs w:val="24"/>
        </w:rPr>
        <w:t xml:space="preserve">positive polarity</w:t>
      </w:r>
      <w:r>
        <w:rPr>
          <w:rFonts w:ascii="Times New Roman" w:cs="Times New Roman" w:eastAsia="Times New Roman" w:hAnsi="Times New Roman"/>
          <w:b w:val="false"/>
          <w:bCs w:val="false"/>
          <w:i w:val="false"/>
          <w:iCs w:val="false"/>
          <w:sz w:val="24"/>
          <w:szCs w:val="24"/>
        </w:rPr>
        <w:t xml:space="preserve"> being dark text on a light background, the arrangement of a printed book, and </w:t>
      </w:r>
      <w:r>
        <w:rPr>
          <w:rFonts w:ascii="Times New Roman" w:cs="Times New Roman" w:eastAsia="Times New Roman" w:hAnsi="Times New Roman"/>
          <w:b w:val="false"/>
          <w:bCs w:val="false"/>
          <w:i/>
          <w:iCs/>
          <w:sz w:val="24"/>
          <w:szCs w:val="24"/>
        </w:rPr>
        <w:t xml:space="preserve">negative polarity</w:t>
      </w:r>
      <w:r>
        <w:rPr>
          <w:rFonts w:ascii="Times New Roman" w:cs="Times New Roman" w:eastAsia="Times New Roman" w:hAnsi="Times New Roman"/>
          <w:b w:val="false"/>
          <w:bCs w:val="false"/>
          <w:i w:val="false"/>
          <w:iCs w:val="false"/>
          <w:sz w:val="24"/>
          <w:szCs w:val="24"/>
        </w:rPr>
        <w:t xml:space="preserve"> light text on a dark background, popularly known as "dark mode". </w:t>
      </w:r>
      <w:r>
        <w:rPr>
          <w:rFonts w:ascii="Times New Roman" w:cs="Times New Roman" w:eastAsia="Times New Roman" w:hAnsi="Times New Roman"/>
          <w:b/>
          <w:bCs/>
          <w:i w:val="false"/>
          <w:iCs w:val="false"/>
          <w:sz w:val="24"/>
          <w:szCs w:val="24"/>
        </w:rPr>
        <w:t xml:space="preserve">Text colour</w:t>
      </w:r>
      <w:r>
        <w:rPr>
          <w:rFonts w:ascii="Times New Roman" w:cs="Times New Roman" w:eastAsia="Times New Roman" w:hAnsi="Times New Roman"/>
          <w:b w:val="false"/>
          <w:bCs w:val="false"/>
          <w:i w:val="false"/>
          <w:iCs w:val="false"/>
          <w:sz w:val="24"/>
          <w:szCs w:val="24"/>
        </w:rPr>
        <w:t xml:space="preserve"> (or chromaticity) is the hue of the letters, which need not be black or white, and </w:t>
      </w:r>
      <w:r>
        <w:rPr>
          <w:rFonts w:ascii="Times New Roman" w:cs="Times New Roman" w:eastAsia="Times New Roman" w:hAnsi="Times New Roman"/>
          <w:b/>
          <w:bCs/>
          <w:i w:val="false"/>
          <w:iCs w:val="false"/>
          <w:sz w:val="24"/>
          <w:szCs w:val="24"/>
        </w:rPr>
        <w:t xml:space="preserve">ambient illumination</w:t>
      </w:r>
      <w:r>
        <w:rPr>
          <w:rFonts w:ascii="Times New Roman" w:cs="Times New Roman" w:eastAsia="Times New Roman" w:hAnsi="Times New Roman"/>
          <w:b w:val="false"/>
          <w:bCs w:val="false"/>
          <w:i w:val="false"/>
          <w:iCs w:val="false"/>
          <w:sz w:val="24"/>
          <w:szCs w:val="24"/>
        </w:rPr>
        <w:t xml:space="preserve"> is the light of the room in which the screen is read. Governing all three is </w:t>
      </w:r>
      <w:r>
        <w:rPr>
          <w:rFonts w:ascii="Times New Roman" w:cs="Times New Roman" w:eastAsia="Times New Roman" w:hAnsi="Times New Roman"/>
          <w:b/>
          <w:bCs/>
          <w:i w:val="false"/>
          <w:iCs w:val="false"/>
          <w:sz w:val="24"/>
          <w:szCs w:val="24"/>
        </w:rPr>
        <w:t xml:space="preserve">luminance contrast</w:t>
      </w:r>
      <w:r>
        <w:rPr>
          <w:rFonts w:ascii="Times New Roman" w:cs="Times New Roman" w:eastAsia="Times New Roman" w:hAnsi="Times New Roman"/>
          <w:b w:val="false"/>
          <w:bCs w:val="false"/>
          <w:i w:val="false"/>
          <w:iCs w:val="false"/>
          <w:sz w:val="24"/>
          <w:szCs w:val="24"/>
        </w:rPr>
        <w:t xml:space="preserve">, the difference in brightness between letters and background, which determines whether text is easy or hard to resolve and is not the same as colour difference: two colours can look very different yet still be hard to read against one another. These properties are chosen constantly, by designers building an application and by users switching a theme, yet evidence on the effects of their combinations during prolonged reading remains limited.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Prolonged screen reading is associated with a recognised pattern of discomfort: the eyes feel dry, tired, sore or gritty, vision blurs or takes a moment to refocus, and headaches and neck or shoulder ache follow long sessions. When these complaints occur together and are attributable to display use they are grouped under a single label, for which two names are in circulation — </w:t>
      </w:r>
      <w:r>
        <w:rPr>
          <w:rFonts w:ascii="Times New Roman" w:cs="Times New Roman" w:eastAsia="Times New Roman" w:hAnsi="Times New Roman"/>
          <w:b/>
          <w:bCs/>
          <w:i w:val="false"/>
          <w:iCs w:val="false"/>
          <w:sz w:val="24"/>
          <w:szCs w:val="24"/>
        </w:rPr>
        <w:t xml:space="preserve">computer vision syndrome</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bCs/>
          <w:i w:val="false"/>
          <w:iCs w:val="false"/>
          <w:sz w:val="24"/>
          <w:szCs w:val="24"/>
        </w:rPr>
        <w:t xml:space="preserve">digital eye strain</w:t>
      </w:r>
      <w:r>
        <w:rPr>
          <w:rFonts w:ascii="Times New Roman" w:cs="Times New Roman" w:eastAsia="Times New Roman" w:hAnsi="Times New Roman"/>
          <w:b w:val="false"/>
          <w:bCs w:val="false"/>
          <w:i w:val="false"/>
          <w:iCs w:val="false"/>
          <w:sz w:val="24"/>
          <w:szCs w:val="24"/>
        </w:rPr>
        <w:t xml:space="preserve">. The terms are used almost interchangeably, and this document uses digital eye strain for the condition and computer vision syndrome where the literature or an instrument uses that name.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condition is common. A systematic review and meta-analysis of 103 cross-sectional studies covering 66,577 participants placed pooled prevalence at 69.0 per cent (95% CI 62.3–75.3), rising to 76.1 per cent among university students, with individual estimates ranging from 12.1 to 97.3 per cent (Ccami-Bernal et al., 2024); reviews report a further rise with remote work and study (Kaur et al., 2022; Sheppard &amp; Wolffsohn, 2018). That spread is itself informative, since case definitions remain unstandardised.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1.2 Biophysiological basis</w:t>
      </w:r>
    </w:p>
    <w:p>
      <w:pPr>
        <w:spacing w:after="0" w:line="360"/>
        <w:jc w:val="both"/>
      </w:pPr>
      <w:r>
        <w:rPr>
          <w:rFonts w:ascii="Times New Roman" w:cs="Times New Roman" w:eastAsia="Times New Roman" w:hAnsi="Times New Roman"/>
          <w:b w:val="false"/>
          <w:bCs w:val="false"/>
          <w:i w:val="false"/>
          <w:iCs w:val="false"/>
          <w:sz w:val="24"/>
          <w:szCs w:val="24"/>
        </w:rPr>
        <w:t xml:space="preserve">The symptoms above do not all arise the same way, and separating them is the key to measuring them; two mechanisms are involved (Sheppard &amp; Wolffsohn, 2018). The first concerns </w:t>
      </w:r>
      <w:r>
        <w:rPr>
          <w:rFonts w:ascii="Times New Roman" w:cs="Times New Roman" w:eastAsia="Times New Roman" w:hAnsi="Times New Roman"/>
          <w:b/>
          <w:bCs/>
          <w:i w:val="false"/>
          <w:iCs w:val="false"/>
          <w:sz w:val="24"/>
          <w:szCs w:val="24"/>
        </w:rPr>
        <w:t xml:space="preserve">focusing</w:t>
      </w:r>
      <w:r>
        <w:rPr>
          <w:rFonts w:ascii="Times New Roman" w:cs="Times New Roman" w:eastAsia="Times New Roman" w:hAnsi="Times New Roman"/>
          <w:b w:val="false"/>
          <w:bCs w:val="false"/>
          <w:i w:val="false"/>
          <w:iCs w:val="false"/>
          <w:sz w:val="24"/>
          <w:szCs w:val="24"/>
        </w:rPr>
        <w:t xml:space="preserve">: reading at arm's length requires the lens to change shape, which is </w:t>
      </w:r>
      <w:r>
        <w:rPr>
          <w:rFonts w:ascii="Times New Roman" w:cs="Times New Roman" w:eastAsia="Times New Roman" w:hAnsi="Times New Roman"/>
          <w:b/>
          <w:bCs/>
          <w:i w:val="false"/>
          <w:iCs w:val="false"/>
          <w:sz w:val="24"/>
          <w:szCs w:val="24"/>
        </w:rPr>
        <w:t xml:space="preserve">accommodation</w:t>
      </w:r>
      <w:r>
        <w:rPr>
          <w:rFonts w:ascii="Times New Roman" w:cs="Times New Roman" w:eastAsia="Times New Roman" w:hAnsi="Times New Roman"/>
          <w:b w:val="false"/>
          <w:bCs w:val="false"/>
          <w:i w:val="false"/>
          <w:iCs w:val="false"/>
          <w:sz w:val="24"/>
          <w:szCs w:val="24"/>
        </w:rPr>
        <w:t xml:space="preserve">, while both eyes turn inward so the images fuse, which is </w:t>
      </w:r>
      <w:r>
        <w:rPr>
          <w:rFonts w:ascii="Times New Roman" w:cs="Times New Roman" w:eastAsia="Times New Roman" w:hAnsi="Times New Roman"/>
          <w:b/>
          <w:bCs/>
          <w:i w:val="false"/>
          <w:iCs w:val="false"/>
          <w:sz w:val="24"/>
          <w:szCs w:val="24"/>
        </w:rPr>
        <w:t xml:space="preserve">vergence</w:t>
      </w:r>
      <w:r>
        <w:rPr>
          <w:rFonts w:ascii="Times New Roman" w:cs="Times New Roman" w:eastAsia="Times New Roman" w:hAnsi="Times New Roman"/>
          <w:b w:val="false"/>
          <w:bCs w:val="false"/>
          <w:i w:val="false"/>
          <w:iCs w:val="false"/>
          <w:sz w:val="24"/>
          <w:szCs w:val="24"/>
        </w:rPr>
        <w:t xml:space="preserve">. Sustaining both is effortful, and accumulated effort produces difficulty focusing, blurred vision, </w:t>
      </w:r>
      <w:r>
        <w:rPr>
          <w:rFonts w:ascii="Times New Roman" w:cs="Times New Roman" w:eastAsia="Times New Roman" w:hAnsi="Times New Roman"/>
          <w:b/>
          <w:bCs/>
          <w:i w:val="false"/>
          <w:iCs w:val="false"/>
          <w:sz w:val="24"/>
          <w:szCs w:val="24"/>
        </w:rPr>
        <w:t xml:space="preserve">near-work-induced transient myopia</w:t>
      </w:r>
      <w:r>
        <w:rPr>
          <w:rFonts w:ascii="Times New Roman" w:cs="Times New Roman" w:eastAsia="Times New Roman" w:hAnsi="Times New Roman"/>
          <w:b w:val="false"/>
          <w:bCs w:val="false"/>
          <w:i w:val="false"/>
          <w:iCs w:val="false"/>
          <w:sz w:val="24"/>
          <w:szCs w:val="24"/>
        </w:rPr>
        <w:t xml:space="preserve"> and headache. The second concerns the </w:t>
      </w:r>
      <w:r>
        <w:rPr>
          <w:rFonts w:ascii="Times New Roman" w:cs="Times New Roman" w:eastAsia="Times New Roman" w:hAnsi="Times New Roman"/>
          <w:b/>
          <w:bCs/>
          <w:i w:val="false"/>
          <w:iCs w:val="false"/>
          <w:sz w:val="24"/>
          <w:szCs w:val="24"/>
        </w:rPr>
        <w:t xml:space="preserve">ocular surface</w:t>
      </w:r>
      <w:r>
        <w:rPr>
          <w:rFonts w:ascii="Times New Roman" w:cs="Times New Roman" w:eastAsia="Times New Roman" w:hAnsi="Times New Roman"/>
          <w:b w:val="false"/>
          <w:bCs w:val="false"/>
          <w:i w:val="false"/>
          <w:iCs w:val="false"/>
          <w:sz w:val="24"/>
          <w:szCs w:val="24"/>
        </w:rPr>
        <w:t xml:space="preserve">, kept smooth by a thin </w:t>
      </w:r>
      <w:r>
        <w:rPr>
          <w:rFonts w:ascii="Times New Roman" w:cs="Times New Roman" w:eastAsia="Times New Roman" w:hAnsi="Times New Roman"/>
          <w:b/>
          <w:bCs/>
          <w:i w:val="false"/>
          <w:iCs w:val="false"/>
          <w:sz w:val="24"/>
          <w:szCs w:val="24"/>
        </w:rPr>
        <w:t xml:space="preserve">tear film</w:t>
      </w:r>
      <w:r>
        <w:rPr>
          <w:rFonts w:ascii="Times New Roman" w:cs="Times New Roman" w:eastAsia="Times New Roman" w:hAnsi="Times New Roman"/>
          <w:b w:val="false"/>
          <w:bCs w:val="false"/>
          <w:i w:val="false"/>
          <w:iCs w:val="false"/>
          <w:sz w:val="24"/>
          <w:szCs w:val="24"/>
        </w:rPr>
        <w:t xml:space="preserve"> renewed each time the eyelids close fully; when that renewal is disrupted the surface dries, producing dryness, burning and irritation. It is this second mechanism that the present study measures most directly.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 blink spreads fresh tear fluid across the surface and draws an oily secretion from the lid margins over it, slowing evaporation. Concentrated screen work interferes with both: it reduces how often people blink, and it raises the proportion of blinks in which the lids approach but do not meet, termed </w:t>
      </w:r>
      <w:r>
        <w:rPr>
          <w:rFonts w:ascii="Times New Roman" w:cs="Times New Roman" w:eastAsia="Times New Roman" w:hAnsi="Times New Roman"/>
          <w:b/>
          <w:bCs/>
          <w:i w:val="false"/>
          <w:iCs w:val="false"/>
          <w:sz w:val="24"/>
          <w:szCs w:val="24"/>
        </w:rPr>
        <w:t xml:space="preserve">incomplete blinks</w:t>
      </w:r>
      <w:r>
        <w:rPr>
          <w:rFonts w:ascii="Times New Roman" w:cs="Times New Roman" w:eastAsia="Times New Roman" w:hAnsi="Times New Roman"/>
          <w:b w:val="false"/>
          <w:bCs w:val="false"/>
          <w:i w:val="false"/>
          <w:iCs w:val="false"/>
          <w:sz w:val="24"/>
          <w:szCs w:val="24"/>
        </w:rPr>
        <w:t xml:space="preserve">. An incomplete blink leaves part of the surface unwetted, so the tear film breaks up sooner and the surface enters the inflammatory cycle of dry eye disease (Fjaervoll et al., 2022; Kamøy et al., 2022). This is why the </w:t>
      </w:r>
      <w:r>
        <w:rPr>
          <w:rFonts w:ascii="Times New Roman" w:cs="Times New Roman" w:eastAsia="Times New Roman" w:hAnsi="Times New Roman"/>
          <w:b w:val="false"/>
          <w:bCs w:val="false"/>
          <w:i/>
          <w:iCs/>
          <w:sz w:val="24"/>
          <w:szCs w:val="24"/>
        </w:rPr>
        <w:t xml:space="preserve">completeness</w:t>
      </w:r>
      <w:r>
        <w:rPr>
          <w:rFonts w:ascii="Times New Roman" w:cs="Times New Roman" w:eastAsia="Times New Roman" w:hAnsi="Times New Roman"/>
          <w:b w:val="false"/>
          <w:bCs w:val="false"/>
          <w:i w:val="false"/>
          <w:iCs w:val="false"/>
          <w:sz w:val="24"/>
          <w:szCs w:val="24"/>
        </w:rPr>
        <w:t xml:space="preserve"> of blinking, rather than its frequency, is the ocular measure treated here as primary; mechanistic review attributes display-associated dry eye principally to impaired blinking, finding insufficient support for parasympathetic or blue-light contributions (Fjaervoll et al., 2022). The accommodative route responds measurably to display parameters (Jiménez et al., 2020; Redondo et al., 2025) but is not measured directly here, and is reviewed as mechanistic context rather than tested.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1.3 The three display properties under study</w:t>
      </w:r>
    </w:p>
    <w:p>
      <w:pPr>
        <w:spacing w:after="0" w:line="360"/>
        <w:jc w:val="both"/>
      </w:pPr>
      <w:r>
        <w:rPr>
          <w:rFonts w:ascii="Times New Roman" w:cs="Times New Roman" w:eastAsia="Times New Roman" w:hAnsi="Times New Roman"/>
          <w:b w:val="false"/>
          <w:bCs w:val="false"/>
          <w:i w:val="false"/>
          <w:iCs w:val="false"/>
          <w:sz w:val="24"/>
          <w:szCs w:val="24"/>
        </w:rPr>
        <w:t xml:space="preserve">Having defined the display properties in §1.1 and the symptom mechanisms in §1.2, the question is how the former act on the latter; each of the three is reviewed in Chapter 3.</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most reliably replicated finding concerns polarity and is known as the </w:t>
      </w:r>
      <w:r>
        <w:rPr>
          <w:rFonts w:ascii="Times New Roman" w:cs="Times New Roman" w:eastAsia="Times New Roman" w:hAnsi="Times New Roman"/>
          <w:b/>
          <w:bCs/>
          <w:i w:val="false"/>
          <w:iCs w:val="false"/>
          <w:sz w:val="24"/>
          <w:szCs w:val="24"/>
        </w:rPr>
        <w:t xml:space="preserve">positive polarity advantage</w:t>
      </w:r>
      <w:r>
        <w:rPr>
          <w:rFonts w:ascii="Times New Roman" w:cs="Times New Roman" w:eastAsia="Times New Roman" w:hAnsi="Times New Roman"/>
          <w:b w:val="false"/>
          <w:bCs w:val="false"/>
          <w:i w:val="false"/>
          <w:iCs w:val="false"/>
          <w:sz w:val="24"/>
          <w:szCs w:val="24"/>
        </w:rPr>
        <w:t xml:space="preserve">: reading is better for dark text on a light field than for light text on a dark one. The accepted explanation runs through the pupil — a positive-polarity screen is mostly white and so emits more light, the pupil constricts, a smaller pupil admits light through the optically cleaner centre of the lens and holds a wider range of distances in focus, and the retinal image is sharper (Buchner &amp; Baumgartner, 2007; Piepenbrock et al., 2014a, 2014b) — making the advantage a matter of how much light the screen puts out rather than of colour preference. Text colour has been studied far less and, to the best of the available evidence, no study has comprehensively evaluated it in combination with polarity while measuring fatigue (Fan et al., 2024; Jiménez et al., 2020). Any manipulation of text colour also manipulates luminance contrast, since chromatic pigments differ intrinsically in relative luminance and chromatic contrast cannot substitute for luminance contrast (Buchner &amp; Baumgartner, 2007), so an apparent effect of colour may be an effect of contrast unless the two are measured separately. Ambient light adds veiling luminance and drives pupil size independently of the display, interacting with the same mechanism (Dobres et al., 2017; Fan et al., 2024).</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2: RATIONALE AND RESEARCH QUESTION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2.1 Statement of the problem</w:t>
      </w:r>
    </w:p>
    <w:p>
      <w:pPr>
        <w:spacing w:after="0" w:line="360"/>
        <w:jc w:val="both"/>
      </w:pPr>
      <w:r>
        <w:rPr>
          <w:rFonts w:ascii="Times New Roman" w:cs="Times New Roman" w:eastAsia="Times New Roman" w:hAnsi="Times New Roman"/>
          <w:b w:val="false"/>
          <w:bCs w:val="false"/>
          <w:i w:val="false"/>
          <w:iCs w:val="false"/>
          <w:sz w:val="24"/>
          <w:szCs w:val="24"/>
        </w:rPr>
        <w:t xml:space="preserve">Roughly seven in ten screen users report symptoms of digital eye strain (Ccami-Bernal et al., 2024), yet the remedies most heavily promoted for it lack trial support: a meta-analysis of 45 randomised controlled trials involving 4,497 participants found no high-certainty evidence for any therapy examined, including blue-blocking lenses, with only low-certainty benefit for oral omega-3 (Singh et al., 2022), and a review in younger users reached the same conclusion, supporting ergonomic optimisation and shorter exposure instead (Mataftsi et al., 2023).</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properties of the displayed stimulus are upstream of the visual load, cost nothing to change and can be deployed universally, yet remain the least investigated. Work on polarity is confined to brief, threshold-limited tasks using achromatic text, and work on text colour to short exposures without symptom outcomes (Jiménez et al., 2020) or to a single polarity (Fan et al., 2024). No study has therefore estimated how polarity and text colour interact, separated hue from luminance contrast, crossed either with ambient illumination, or measured a validated symptom instrument alongside the ocular marker most specific to this condition; and because blink completeness has been measured by frame-by-frame manual annotation, the literature is restricted to samples of eleven to fifty participants (Argilés et al., 2015; Hirota et al., 2013; Portello et al., 2013). A clinician, designer or standards body therefore has no evidence base from which to advise how a tablet should be configured for prolonged reading, or how that configuration should change with the light in which it is used.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2.2 Rationale of the study</w:t>
      </w:r>
    </w:p>
    <w:p>
      <w:pPr>
        <w:spacing w:after="0" w:line="360"/>
        <w:jc w:val="both"/>
      </w:pPr>
      <w:r>
        <w:rPr>
          <w:rFonts w:ascii="Times New Roman" w:cs="Times New Roman" w:eastAsia="Times New Roman" w:hAnsi="Times New Roman"/>
          <w:b w:val="false"/>
          <w:bCs w:val="false"/>
          <w:i w:val="false"/>
          <w:iCs w:val="false"/>
          <w:sz w:val="24"/>
          <w:szCs w:val="24"/>
        </w:rPr>
        <w:t xml:space="preserve">The study addresses a determinant of visual health that is common, freely modifiable and poorly evidenced, using a design that can answer a question the existing literature cannot. Because WCAG contrast on a white field falls as the text's relative luminance rises while contrast on a black field rises with it, the rank order of the chromatic conditions is exactly inverted between the two polarities (Table 4.4): blue and red are high in contrast on white but fall below the accessibility minimum on black, while yellow and green behave oppositely. The achromatic pair is the anchor, black-on-white and white-on-black both giving 21.00:1, so that pair varies polarity with contrast held constant. The polarity-by-colour interaction therefore allows contrast-mediated effects to be modelled and distinguished from residual, hue-specific ones — a statistical rather than experimental separation, since the two cannot be orthogonalised within a fixed colour set, and interpreted accordingly. That the ordering Fan and colleagues (2024) reported under negative polarity, red worst and yellow best, is precisely what luminance contrast alone would predict for those hues on black illustrates what a single-polarity design cannot exclude.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Manipulating ambient light across sessions tests the polarity effect where it matters behaviourally, since devices are used extensively at night and in dim domestic settings (Dobres et al., 2017), and validating an automated measure of blink completeness would remove the annotation bottleneck that has kept this literature small. The findings bear on interface design, on accessibility standards whose contrast criterion does not account for polarity (Advanced Perceptual Contrast Algorithm, n.d.; World Wide Web Consortium, 2023), on public health guidance, and on the advice optometrists give patients, an area in which practitioners are documented to lack quality evidence (Sheppard &amp; Wolffsohn, 2018).</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2.3 Aim</w:t>
      </w:r>
    </w:p>
    <w:p>
      <w:pPr>
        <w:spacing w:after="0" w:line="360"/>
        <w:jc w:val="both"/>
      </w:pPr>
      <w:r>
        <w:rPr>
          <w:rFonts w:ascii="Times New Roman" w:cs="Times New Roman" w:eastAsia="Times New Roman" w:hAnsi="Times New Roman"/>
          <w:b w:val="false"/>
          <w:bCs w:val="false"/>
          <w:i w:val="false"/>
          <w:iCs w:val="false"/>
          <w:sz w:val="24"/>
          <w:szCs w:val="24"/>
        </w:rPr>
        <w:t xml:space="preserve">To determine the effects and interactions of display polarity, text colour and ambient illumination on visual fatigue, ocular behaviour and visual task performance during prolonged tablet-based reading, and, as a secondary methodological objective, to evaluate the validity and feasibility of camera-based blink assessment as an objective measure of ocular response.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2.4 Objectives</w:t>
      </w:r>
    </w:p>
    <w:p>
      <w:pPr>
        <w:spacing w:after="0" w:line="360"/>
        <w:jc w:val="both"/>
      </w:pPr>
      <w:r>
        <w:rPr>
          <w:rFonts w:ascii="Times New Roman" w:cs="Times New Roman" w:eastAsia="Times New Roman" w:hAnsi="Times New Roman"/>
          <w:b/>
          <w:bCs/>
          <w:i w:val="false"/>
          <w:iCs w:val="false"/>
          <w:sz w:val="24"/>
          <w:szCs w:val="24"/>
        </w:rPr>
        <w:t xml:space="preserve">Primary objectives</w:t>
      </w:r>
    </w:p>
    <w:p>
      <w:pPr>
        <w:spacing w:after="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text colour and ambient illumination on subjective visual fatigue, ocular behaviour, cognitive workload and task performance during prolonged tablet reading.</w:t>
      </w:r>
    </w:p>
    <w:p>
      <w:pPr>
        <w:spacing w:after="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model the contribution of luminance contrast and distinguish it from residual, hue-specific effects, by computing standards-based contrast metrics for every condition and entering contrast explicitly alongside colour.</w:t>
      </w:r>
    </w:p>
    <w:p>
      <w:pPr>
        <w:spacing w:after="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configuration of polarity, colour and illumination that minimises visual fatigue and maximises task performance, and to examine how participant characteristics moderate these effects.</w:t>
      </w:r>
    </w:p>
    <w:p>
      <w:pPr>
        <w:spacing w:after="0" w:line="360"/>
        <w:ind w:firstLine="360"/>
        <w:jc w:val="both"/>
      </w:pPr>
      <w:r>
        <w:rPr>
          <w:rFonts w:ascii="Times New Roman" w:cs="Times New Roman" w:eastAsia="Times New Roman" w:hAnsi="Times New Roman"/>
          <w:b/>
          <w:bCs/>
          <w:i w:val="false"/>
          <w:iCs w:val="false"/>
          <w:sz w:val="24"/>
          <w:szCs w:val="24"/>
        </w:rPr>
        <w:t xml:space="preserve">Methodological objective</w:t>
      </w:r>
    </w:p>
    <w:p>
      <w:pPr>
        <w:spacing w:after="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2.5 Hypotheses</w:t>
      </w:r>
    </w:p>
    <w:p>
      <w:pPr>
        <w:spacing w:after="0" w:line="360"/>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Display polarity, text colour and ambient illumination, individually or in combination, have no significant effect on visual fatigue, ocular behaviour or visual task performance during prolonged tablet reading. </w:t>
      </w:r>
      <w:r>
        <w:rPr>
          <w:rFonts w:ascii="Times New Roman" w:cs="Times New Roman" w:eastAsia="Times New Roman" w:hAnsi="Times New Roman"/>
          <w:b/>
          <w:bCs/>
          <w:i w:val="false"/>
          <w:iCs w:val="false"/>
          <w:sz w:val="24"/>
          <w:szCs w:val="24"/>
        </w:rPr>
        <w:t xml:space="preserve">Alternative hypothesis (H₁).</w:t>
      </w:r>
      <w:r>
        <w:rPr>
          <w:rFonts w:ascii="Times New Roman" w:cs="Times New Roman" w:eastAsia="Times New Roman" w:hAnsi="Times New Roman"/>
          <w:b w:val="false"/>
          <w:bCs w:val="false"/>
          <w:i w:val="false"/>
          <w:iCs w:val="false"/>
          <w:sz w:val="24"/>
          <w:szCs w:val="24"/>
        </w:rPr>
        <w:t xml:space="preserve"> At least one of these factors, individually or in combination, significantly affects these outcomes. The following are linked to the objectives.</w:t>
      </w:r>
    </w:p>
    <w:p>
      <w:pPr>
        <w:spacing w:after="0" w:line="360"/>
        <w:ind w:firstLine="360"/>
        <w:jc w:val="both"/>
      </w:pPr>
      <w:r>
        <w:rPr>
          <w:rFonts w:ascii="Times New Roman" w:cs="Times New Roman" w:eastAsia="Times New Roman" w:hAnsi="Times New Roman"/>
          <w:b/>
          <w:bCs/>
          <w:i w:val="false"/>
          <w:iCs w:val="false"/>
          <w:sz w:val="24"/>
          <w:szCs w:val="24"/>
        </w:rPr>
        <w:t xml:space="preserve">H₁ₐ (Objective 1, main effects).</w:t>
      </w:r>
      <w:r>
        <w:rPr>
          <w:rFonts w:ascii="Times New Roman" w:cs="Times New Roman" w:eastAsia="Times New Roman" w:hAnsi="Times New Roman"/>
          <w:b w:val="false"/>
          <w:bCs w:val="false"/>
          <w:i w:val="false"/>
          <w:iCs w:val="false"/>
          <w:sz w:val="24"/>
          <w:szCs w:val="24"/>
        </w:rPr>
        <w:t xml:space="preserve"> Positive polarity, higher luminance contrast and higher ambient illumination are each associated with a lower incomplete-blink ratio, lower subjective visual fatigue and better task performance.</w:t>
      </w:r>
    </w:p>
    <w:p>
      <w:pPr>
        <w:spacing w:after="0" w:line="360"/>
        <w:ind w:firstLine="360"/>
        <w:jc w:val="both"/>
      </w:pPr>
      <w:r>
        <w:rPr>
          <w:rFonts w:ascii="Times New Roman" w:cs="Times New Roman" w:eastAsia="Times New Roman" w:hAnsi="Times New Roman"/>
          <w:b/>
          <w:bCs/>
          <w:i w:val="false"/>
          <w:iCs w:val="false"/>
          <w:sz w:val="24"/>
          <w:szCs w:val="24"/>
        </w:rPr>
        <w:t xml:space="preserve">H₁ᵦ (Objective 1, interactions).</w:t>
      </w:r>
      <w:r>
        <w:rPr>
          <w:rFonts w:ascii="Times New Roman" w:cs="Times New Roman" w:eastAsia="Times New Roman" w:hAnsi="Times New Roman"/>
          <w:b w:val="false"/>
          <w:bCs w:val="false"/>
          <w:i w:val="false"/>
          <w:iCs w:val="false"/>
          <w:sz w:val="24"/>
          <w:szCs w:val="24"/>
        </w:rPr>
        <w:t xml:space="preserve"> The effect of text colour depends on polarity, and the cost of negative polarity is greater under dim than under moderate illumination (Dobres et al., 2017).</w:t>
      </w:r>
    </w:p>
    <w:p>
      <w:pPr>
        <w:spacing w:after="0" w:line="360"/>
        <w:ind w:firstLine="360"/>
        <w:jc w:val="both"/>
      </w:pPr>
      <w:r>
        <w:rPr>
          <w:rFonts w:ascii="Times New Roman" w:cs="Times New Roman" w:eastAsia="Times New Roman" w:hAnsi="Times New Roman"/>
          <w:b/>
          <w:bCs/>
          <w:i w:val="false"/>
          <w:iCs w:val="false"/>
          <w:sz w:val="24"/>
          <w:szCs w:val="24"/>
        </w:rPr>
        <w:t xml:space="preserve">H₁ᵪ (Objective 2, contrast mediation).</w:t>
      </w:r>
      <w:r>
        <w:rPr>
          <w:rFonts w:ascii="Times New Roman" w:cs="Times New Roman" w:eastAsia="Times New Roman" w:hAnsi="Times New Roman"/>
          <w:b w:val="false"/>
          <w:bCs w:val="false"/>
          <w:i w:val="false"/>
          <w:iCs w:val="false"/>
          <w:sz w:val="24"/>
          <w:szCs w:val="24"/>
        </w:rPr>
        <w:t xml:space="preserve"> Colour-related variance is largely accounted for by luminance contrast. Because the computed contrast ordering reverses between the two polarities (Table 4.4), a contrast-mediated effect predicts a corresponding reversal of the colour ordering across polarity, whereas a residual hue-specific effect predicts a consistent ordering, with red the a priori candidate exception (Fan et al., 2024).</w:t>
      </w:r>
    </w:p>
    <w:p>
      <w:pPr>
        <w:spacing w:after="0" w:line="360"/>
        <w:ind w:firstLine="360"/>
        <w:jc w:val="both"/>
      </w:pPr>
      <w:r>
        <w:rPr>
          <w:rFonts w:ascii="Times New Roman" w:cs="Times New Roman" w:eastAsia="Times New Roman" w:hAnsi="Times New Roman"/>
          <w:b/>
          <w:bCs/>
          <w:i w:val="false"/>
          <w:iCs w:val="false"/>
          <w:sz w:val="24"/>
          <w:szCs w:val="24"/>
        </w:rPr>
        <w:t xml:space="preserve">H₁ᵨ (Objective 3,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these effects.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2.6 Conceptual framework</w:t>
      </w:r>
    </w:p>
    <w:p>
      <w:pPr>
        <w:spacing w:after="0" w:line="360"/>
        <w:jc w:val="both"/>
      </w:pPr>
      <w:r>
        <w:rPr>
          <w:rFonts w:ascii="Times New Roman" w:cs="Times New Roman" w:eastAsia="Times New Roman" w:hAnsi="Times New Roman"/>
          <w:b w:val="false"/>
          <w:bCs w:val="false"/>
          <w:i w:val="false"/>
          <w:iCs w:val="false"/>
          <w:sz w:val="24"/>
          <w:szCs w:val="24"/>
        </w:rPr>
        <w:t xml:space="preserve">Display configuration and ambient illuminance act through two proximal mechanisms. Along the </w:t>
      </w:r>
      <w:r>
        <w:rPr>
          <w:rFonts w:ascii="Times New Roman" w:cs="Times New Roman" w:eastAsia="Times New Roman" w:hAnsi="Times New Roman"/>
          <w:b/>
          <w:bCs/>
          <w:i w:val="false"/>
          <w:iCs w:val="false"/>
          <w:sz w:val="24"/>
          <w:szCs w:val="24"/>
        </w:rPr>
        <w:t xml:space="preserve">optical route</w:t>
      </w:r>
      <w:r>
        <w:rPr>
          <w:rFonts w:ascii="Times New Roman" w:cs="Times New Roman" w:eastAsia="Times New Roman" w:hAnsi="Times New Roman"/>
          <w:b w:val="false"/>
          <w:bCs w:val="false"/>
          <w:i w:val="false"/>
          <w:iCs w:val="false"/>
          <w:sz w:val="24"/>
          <w:szCs w:val="24"/>
        </w:rPr>
        <w:t xml:space="preserve">, display and room luminance determine pupil diameter, which governs aberration and depth of focus and therefore retinal image quality and accommodative demand; this is expressed in accommodative and vergence symptoms and measured through reading rate, comprehension, visual search and perceived clarity (Dobres et al., 2017; Jiménez et al., 2020; Piepenbrock et al., 2014a, 2014b; Redondo et al., 2025). Along the </w:t>
      </w:r>
      <w:r>
        <w:rPr>
          <w:rFonts w:ascii="Times New Roman" w:cs="Times New Roman" w:eastAsia="Times New Roman" w:hAnsi="Times New Roman"/>
          <w:b/>
          <w:bCs/>
          <w:i w:val="false"/>
          <w:iCs w:val="false"/>
          <w:sz w:val="24"/>
          <w:szCs w:val="24"/>
        </w:rPr>
        <w:t xml:space="preserve">ocular-surface route</w:t>
      </w:r>
      <w:r>
        <w:rPr>
          <w:rFonts w:ascii="Times New Roman" w:cs="Times New Roman" w:eastAsia="Times New Roman" w:hAnsi="Times New Roman"/>
          <w:b w:val="false"/>
          <w:bCs w:val="false"/>
          <w:i w:val="false"/>
          <w:iCs w:val="false"/>
          <w:sz w:val="24"/>
          <w:szCs w:val="24"/>
        </w:rPr>
        <w:t xml:space="preserve">, visual and cognitive demand suppress blink rate and raise incomplete blinking, exposing evaporative area and destabilising the tear film; this is expressed in dryness, burning and irritation and measured by the incomplete-blink ratio, the primary outcome, and by CVS-Q change (Argilés et al., 2015; Fjaervoll et al., 2022; Hirota et al., 2013; Kamøy et al., 2022; Portello et al., 2013). Cutting across both, time on task depletes sustained-attention capacity and is counterbalanced and modelled (Abe et al., 2014; Warm et al., 2008), sleepiness indexed by PERCLOS and disengagement are treated as measured confounders (Abe, 2023; Jackson et al., 2016), and participant characteristics modulate susceptibility throughout.</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3: REVIEW OF LITERATURE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3.1 Burden, risk factors and measurement</w:t>
      </w:r>
    </w:p>
    <w:p>
      <w:pPr>
        <w:spacing w:after="0" w:line="360"/>
        <w:jc w:val="both"/>
      </w:pPr>
      <w:r>
        <w:rPr>
          <w:rFonts w:ascii="Times New Roman" w:cs="Times New Roman" w:eastAsia="Times New Roman" w:hAnsi="Times New Roman"/>
          <w:b w:val="false"/>
          <w:bCs w:val="false"/>
          <w:i w:val="false"/>
          <w:iCs w:val="false"/>
          <w:sz w:val="24"/>
          <w:szCs w:val="24"/>
        </w:rPr>
        <w:t xml:space="preserve">The pooled prevalence of 69.0 per cent across 103 studies conceals heterogeneity attributable partly to inconsistent case definition; prevalence was higher in studies that did not use the Computer Vision Syndrome Questionnaire (75.4 per cent), so ad hoc checklists appear to inflate it and a validated instrument with a defined cut-off is preferable (Ccami-Bernal et al., 2024). Reviews identify exposure beyond four to five hours daily, uncorrected refractive error, accommodative and vergence anomalies, altered blinking, close working distance, small font size, adverse lighting and contact-lens wear as risk factors (Mataftsi et al., 2023; Pucker et al., 2024; Sheppard &amp; Wolffsohn, 2018), and note that preventive measures acting at different points of the dry-eye cycle may be complementary (Kamøy et al., 2022).</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3.2 Display parameters: polarity, text colour and ambient illumination</w:t>
      </w:r>
    </w:p>
    <w:p>
      <w:pPr>
        <w:spacing w:after="0" w:line="360"/>
        <w:jc w:val="both"/>
      </w:pPr>
      <w:r>
        <w:rPr>
          <w:rFonts w:ascii="Times New Roman" w:cs="Times New Roman" w:eastAsia="Times New Roman" w:hAnsi="Times New Roman"/>
          <w:b w:val="false"/>
          <w:bCs w:val="false"/>
          <w:i w:val="false"/>
          <w:iCs w:val="false"/>
          <w:sz w:val="24"/>
          <w:szCs w:val="24"/>
        </w:rPr>
        <w:t xml:space="preserve">The three manipulated properties have been studied to very unequal depths, and the literature summarised in Table 3.1 supports four statements that together define the entry point for the present work.</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First, the positive polarity advantage is consistent across paradigms, tasks and display technologies: proofreading, pupillometry, adaptive-staircase psychophysics, lexical decision, eye tracking and visual-ergonomic optimisation all favour dark text on a light field (Buchner &amp; Baumgartner, 2007; Dobres et al., 2016; Dobres et al., 2017; Lin et al., 2024; Piepenbrock et al., 2014a, 2014b; Sethi &amp; Ziat, 2023). Second, that corpus is narrow in exactly the way this study is broad: the paradigms are short and threshold-limited, the stimuli almost entirely achromatic, and none measures blinking, validated symptoms or fatigue accumulated over an hour. An advantage in legibility does not license an inference about visual fatigue, although popular argument about dark mode routinely makes that inference in both directions.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Third, the literature manipulating text chromaticity is small, and no located study has crossed colour with polarity while measuring fatigue. Exposure is brief, so duration is a plausible moderator of the discrepancy between a study finding no effect on reading speed over two-minute passages (Jiménez et al., 2020) and one finding clear effects on fatigue (Fan et al., 2024). More consequentially, none separates hue from luminance contrast: because chromatic pigments differ in relative luminance, a fixed colour set rendered on light and dark fields produces unequal, polarity-asymmetric contrasts, so contrast is an inseparable covarying property of any colour manipulation and must be modelled (Buchner &amp; Baumgartner, 2007). Xie and colleagues (2021) add a complication directly relevant here: their objective and subjective indices pointed in opposite directions, dark mode improving blink measures while light mode was preferred and rated less fatiguing.</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Fourth, ambient illumination modulates both the legibility cost of negative polarity and the fatigue cost of coloured text under it, consistent with a pupil-mediated account in which room light and display polarity trade against one another. The evidence is not uniform — the proofreading advantage was independent of ambient lighting (Buchner &amp; Baumgartner, 2007) whereas threshold legibility showed a clear interaction (Dobres et al., 2017) — which suggests a threshold-like relationship and requires that illumination be measured rather than described. The same trade appears from the display side, since in a dark room lowering screen brightness reduced fatigue (Tian et al., 2022), implicating the display-to-ambient luminance ratio rather than either term alone; and the most directly relevant work found that reading in a dark room from a bright screen produced the greatest tear-film destabilisation (</w:t>
      </w:r>
      <w:r>
        <w:rPr>
          <w:rFonts w:ascii="Times New Roman" w:cs="Times New Roman" w:eastAsia="Times New Roman" w:hAnsi="Times New Roman"/>
          <w:b w:val="false"/>
          <w:bCs w:val="false"/>
          <w:i w:val="false"/>
          <w:iCs w:val="false"/>
          <w:sz w:val="24"/>
          <w:szCs w:val="24"/>
          <w:highlight w:val="yellow"/>
          <w:highlightCs w:val="yellow"/>
        </w:rPr>
        <w:t xml:space="preserve">[Authors]</w:t>
      </w:r>
      <w:r>
        <w:rPr>
          <w:rFonts w:ascii="Times New Roman" w:cs="Times New Roman" w:eastAsia="Times New Roman" w:hAnsi="Times New Roman"/>
          <w:b w:val="false"/>
          <w:bCs w:val="false"/>
          <w:i w:val="false"/>
          <w:iCs w:val="false"/>
          <w:sz w:val="24"/>
          <w:szCs w:val="24"/>
        </w:rPr>
        <w:t xml:space="preserve">, 2025).</w:t>
      </w:r>
    </w:p>
    <w:p>
      <w:pPr>
        <w:spacing w:after="0" w:line="360"/>
        <w:ind w:firstLine="360"/>
        <w:jc w:val="both"/>
      </w:pPr>
      <w:r>
        <w:rPr>
          <w:rFonts w:ascii="Times New Roman" w:cs="Times New Roman" w:eastAsia="Times New Roman" w:hAnsi="Times New Roman"/>
          <w:b/>
          <w:bCs/>
          <w:i w:val="false"/>
          <w:iCs w:val="false"/>
          <w:sz w:val="24"/>
          <w:szCs w:val="24"/>
        </w:rPr>
        <w:t xml:space="preserve">Table 3.1 — Studies manipulating display polarity, text colour or ambient illumination.</w:t>
      </w:r>
      <w:r>
        <w:rPr>
          <w:rFonts w:ascii="Times New Roman" w:cs="Times New Roman" w:eastAsia="Times New Roman" w:hAnsi="Times New Roman"/>
          <w:b w:val="false"/>
          <w:bCs w:val="false"/>
          <w:i w:val="false"/>
          <w:iCs w:val="false"/>
          <w:sz w:val="24"/>
          <w:szCs w:val="24"/>
        </w:rPr>
        <w:t xml:space="preserve"> NR = not reported.</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746"/>
        <w:gridCol w:w="650"/>
        <w:gridCol w:w="650"/>
        <w:gridCol w:w="1468"/>
        <w:gridCol w:w="2924"/>
        <w:gridCol w:w="983"/>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174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146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Parameter manipulated</w:t>
            </w:r>
          </w:p>
        </w:tc>
        <w:tc>
          <w:tcPr>
            <w:tcW w:type="dxa" w:w="2924"/>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Principal finding</w:t>
            </w:r>
          </w:p>
        </w:tc>
        <w:tc>
          <w:tcPr>
            <w:tcW w:type="dxa" w:w="983"/>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17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Buchner &amp; Baumgartner</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2007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4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 illumination × chromaticity</w:t>
            </w:r>
          </w:p>
        </w:tc>
        <w:tc>
          <w:tcPr>
            <w:tcW w:type="dxa" w:w="292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advantage independent of lighting; colour cannot replace luminance contrast</w:t>
            </w:r>
          </w:p>
        </w:tc>
        <w:tc>
          <w:tcPr>
            <w:tcW w:type="dxa" w:w="98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 ocular measures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17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Piepenbrock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2014a, b</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4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pupillometry; character size</w:t>
            </w:r>
          </w:p>
        </w:tc>
        <w:tc>
          <w:tcPr>
            <w:tcW w:type="dxa" w:w="292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Smaller pupils, better performance under positive polarity; advantage grew as characters shrank</w:t>
            </w:r>
          </w:p>
        </w:tc>
        <w:tc>
          <w:tcPr>
            <w:tcW w:type="dxa" w:w="98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 brief</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17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Dobres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4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Typeface × polarity × size × age</w:t>
            </w:r>
          </w:p>
        </w:tc>
        <w:tc>
          <w:tcPr>
            <w:tcW w:type="dxa" w:w="292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Black-on-white more legible; typeface interacted with age</w:t>
            </w:r>
          </w:p>
        </w:tc>
        <w:tc>
          <w:tcPr>
            <w:tcW w:type="dxa" w:w="98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Threshold outcome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17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Dobres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4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 illumination × size</w:t>
            </w:r>
          </w:p>
        </w:tc>
        <w:tc>
          <w:tcPr>
            <w:tcW w:type="dxa" w:w="292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Thresholds worst for negative polarity in near-darkness; more light restored legibility</w:t>
            </w:r>
          </w:p>
        </w:tc>
        <w:tc>
          <w:tcPr>
            <w:tcW w:type="dxa" w:w="98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 fatigue outcomes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17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Jiménez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2020</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w:t>
            </w:r>
          </w:p>
        </w:tc>
        <w:tc>
          <w:tcPr>
            <w:tcW w:type="dxa" w:w="14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14 text–background colour pairs</w:t>
            </w:r>
          </w:p>
        </w:tc>
        <w:tc>
          <w:tcPr>
            <w:tcW w:type="dxa" w:w="292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Colour modulated accommodative and pupillary dynamics; reading speed unaffected</w:t>
            </w:r>
          </w:p>
        </w:tc>
        <w:tc>
          <w:tcPr>
            <w:tcW w:type="dxa" w:w="98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 min; no symptoms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17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Xie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4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 colour modes × 6 contrast ratios</w:t>
            </w:r>
          </w:p>
        </w:tc>
        <w:tc>
          <w:tcPr>
            <w:tcW w:type="dxa" w:w="292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 mode raised blink rate, yet light mode preferred and rated less fatiguing</w:t>
            </w:r>
          </w:p>
        </w:tc>
        <w:tc>
          <w:tcPr>
            <w:tcW w:type="dxa" w:w="98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Unexplained dissociation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w:t>
            </w:r>
          </w:p>
        </w:tc>
        <w:tc>
          <w:tcPr>
            <w:tcW w:type="dxa" w:w="17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Tian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2022</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4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Stimulus colour × screen brightness</w:t>
            </w:r>
          </w:p>
        </w:tc>
        <w:tc>
          <w:tcPr>
            <w:tcW w:type="dxa" w:w="292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Low screen brightness in darkness reduced fatigue; blue preferred to red</w:t>
            </w:r>
          </w:p>
        </w:tc>
        <w:tc>
          <w:tcPr>
            <w:tcW w:type="dxa" w:w="98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Non-reading stimuli</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w:t>
            </w:r>
          </w:p>
        </w:tc>
        <w:tc>
          <w:tcPr>
            <w:tcW w:type="dxa" w:w="17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Sethi &amp; Ziat</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4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 environment × age × task</w:t>
            </w:r>
          </w:p>
        </w:tc>
        <w:tc>
          <w:tcPr>
            <w:tcW w:type="dxa" w:w="292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Higher cognitive load under negative polarity, conditional on age and lighting</w:t>
            </w:r>
          </w:p>
        </w:tc>
        <w:tc>
          <w:tcPr>
            <w:tcW w:type="dxa" w:w="98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 ocular measures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w:t>
            </w:r>
          </w:p>
        </w:tc>
        <w:tc>
          <w:tcPr>
            <w:tcW w:type="dxa" w:w="17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Fan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4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Illumination × text colour (negative)</w:t>
            </w:r>
          </w:p>
        </w:tc>
        <w:tc>
          <w:tcPr>
            <w:tcW w:type="dxa" w:w="292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 most fatiguing, yellow least; higher illumination reduced fatigue</w:t>
            </w:r>
          </w:p>
        </w:tc>
        <w:tc>
          <w:tcPr>
            <w:tcW w:type="dxa" w:w="98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One polarity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w:t>
            </w:r>
          </w:p>
        </w:tc>
        <w:tc>
          <w:tcPr>
            <w:tcW w:type="dxa" w:w="17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Lin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4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Display luminance × polarity, 300 lux</w:t>
            </w:r>
          </w:p>
        </w:tc>
        <w:tc>
          <w:tcPr>
            <w:tcW w:type="dxa" w:w="292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Positive polarity preferable; optimum luminance 153 cd/m²</w:t>
            </w:r>
          </w:p>
        </w:tc>
        <w:tc>
          <w:tcPr>
            <w:tcW w:type="dxa" w:w="98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Desktop; achromatic</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17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Contact Lens and Anterior Eye (</w:t>
            </w:r>
            <w:r>
              <w:rPr>
                <w:rFonts w:ascii="Times New Roman" w:cs="Times New Roman" w:eastAsia="Times New Roman" w:hAnsi="Times New Roman"/>
                <w:b w:val="false"/>
                <w:bCs w:val="false"/>
                <w:i w:val="false"/>
                <w:iCs w:val="false"/>
                <w:sz w:val="15"/>
                <w:szCs w:val="15"/>
                <w:highlight w:val="yellow"/>
                <w:highlightCs w:val="yellow"/>
              </w:rPr>
              <w:t xml:space="preserve">[Authors]</w:t>
            </w:r>
            <w:r>
              <w:rPr>
                <w:rFonts w:ascii="Times New Roman" w:cs="Times New Roman" w:eastAsia="Times New Roman" w:hAnsi="Times New Roman"/>
                <w:b w:val="false"/>
                <w:bCs w:val="false"/>
                <w:i w:val="false"/>
                <w:iCs w:val="false"/>
                <w:sz w:val="15"/>
                <w:szCs w:val="15"/>
              </w:rPr>
              <w:t xml:space="preserve">, 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w:t>
            </w:r>
          </w:p>
        </w:tc>
        <w:tc>
          <w:tcPr>
            <w:tcW w:type="dxa" w:w="14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Room × screen brightness, 30-min read</w:t>
            </w:r>
          </w:p>
        </w:tc>
        <w:tc>
          <w:tcPr>
            <w:tcW w:type="dxa" w:w="292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 room with bright screen most destabilised the tear film</w:t>
            </w:r>
          </w:p>
        </w:tc>
        <w:tc>
          <w:tcPr>
            <w:tcW w:type="dxa" w:w="98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fixed</w:t>
            </w:r>
          </w:p>
        </w:tc>
      </w:tr>
    </w:tbl>
    <w:p>
      <w:pPr>
        <w:spacing w:after="4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3.3 Ocular behaviour as an objective marker</w:t>
      </w:r>
    </w:p>
    <w:p>
      <w:pPr>
        <w:spacing w:after="0" w:line="360"/>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the field (Fjaervoll et al., 2022; Kamøy et al., 2022; Sheppard &amp; Wolffsohn, 2018), and the proportion of blinks that fail to close fully has the strongest claim to specificity. Three findings summarised in Table 3.2 together forbid reading blink rate as a simple index of fatigue: rate is suppressed by reading irrespective of medium (Argilés et al., 2015) and by task dynamism at matched cognitive load (Cardona et al., 2011); total rate can remain stable while the complete-to-incomplete composition shifts, with tear break-up time falling from 8.62 to 4.33 seconds at thirty minutes and recovering as incomplete blinking declined (Hirota et al., 2013); and raising blink rate experimentally produced no change in symptom score, whereas the percentage of incomplete blinks correlated with symptoms at p = 0.002 (Portello et al., 2013). The incomplete-blink ratio, referenced to a within-participant baseline, is therefore the better-justified primary marker. Two further points follow from the same table: every study relied on manual frame-by-frame coding or dedicated hardware, which is why the samples run from eleven to fifty; and none manipulated polarity or text colour, so the marker with the best claim to specificity has never been used as the outcome of the manipulation most likely to move it. PERCLOS, the proportion of time the eyes are more than 80 per cent closed, is among the most validated indices for passive drowsiness detection (Abe, 2023) and correlates with vigilance variability after sleep deprivation (Jackson et al., 2016), but its insensitivity in moderate drowsiness dictates its role here as a sleepiness covariate rather than a measure of visual fatigue.</w:t>
      </w:r>
    </w:p>
    <w:p>
      <w:pPr>
        <w:spacing w:after="0" w:line="360"/>
        <w:ind w:firstLine="360"/>
        <w:jc w:val="both"/>
      </w:pPr>
      <w:r>
        <w:rPr>
          <w:rFonts w:ascii="Times New Roman" w:cs="Times New Roman" w:eastAsia="Times New Roman" w:hAnsi="Times New Roman"/>
          <w:b/>
          <w:bCs/>
          <w:i w:val="false"/>
          <w:iCs w:val="false"/>
          <w:sz w:val="24"/>
          <w:szCs w:val="24"/>
        </w:rPr>
        <w:t xml:space="preserve">Table 3.2 — Studies of ocular behaviour as an objective marker.</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721"/>
        <w:gridCol w:w="650"/>
        <w:gridCol w:w="650"/>
        <w:gridCol w:w="1620"/>
        <w:gridCol w:w="2837"/>
        <w:gridCol w:w="943"/>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172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162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Measure and task</w:t>
            </w:r>
          </w:p>
        </w:tc>
        <w:tc>
          <w:tcPr>
            <w:tcW w:type="dxa" w:w="283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Principal finding</w:t>
            </w:r>
          </w:p>
        </w:tc>
        <w:tc>
          <w:tcPr>
            <w:tcW w:type="dxa" w:w="943"/>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17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Cardona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25</w:t>
            </w:r>
          </w:p>
        </w:tc>
        <w:tc>
          <w:tcPr>
            <w:tcW w:type="dxa" w:w="16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amplitude; fast vs slow task</w:t>
            </w:r>
          </w:p>
        </w:tc>
        <w:tc>
          <w:tcPr>
            <w:tcW w:type="dxa" w:w="2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Rate fell to one-third (fast) and one-half (slow) of baseline</w:t>
            </w:r>
          </w:p>
        </w:tc>
        <w:tc>
          <w:tcPr>
            <w:tcW w:type="dxa" w:w="94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Not reading</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17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Portello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w:t>
            </w:r>
          </w:p>
        </w:tc>
        <w:tc>
          <w:tcPr>
            <w:tcW w:type="dxa" w:w="16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completeness; 15-min reading</w:t>
            </w:r>
          </w:p>
        </w:tc>
        <w:tc>
          <w:tcPr>
            <w:tcW w:type="dxa" w:w="2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Incomplete blinks 0.9–56.5% (mean 16.1); symptoms correlated (p = 0.002)</w:t>
            </w:r>
          </w:p>
        </w:tc>
        <w:tc>
          <w:tcPr>
            <w:tcW w:type="dxa" w:w="94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Single condition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17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Hirota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16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composition, tear break-up; 60 min</w:t>
            </w:r>
          </w:p>
        </w:tc>
        <w:tc>
          <w:tcPr>
            <w:tcW w:type="dxa" w:w="2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Break-up time 8.62→4.33 s at 30 min, recovering as incomplete blinking declined</w:t>
            </w:r>
          </w:p>
        </w:tc>
        <w:tc>
          <w:tcPr>
            <w:tcW w:type="dxa" w:w="94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Very small sample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17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Argilés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50</w:t>
            </w:r>
          </w:p>
        </w:tc>
        <w:tc>
          <w:tcPr>
            <w:tcW w:type="dxa" w:w="16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completeness; print vs screen</w:t>
            </w:r>
          </w:p>
        </w:tc>
        <w:tc>
          <w:tcPr>
            <w:tcW w:type="dxa" w:w="2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All reading reduced rate; incomplete blinks rose only on screens</w:t>
            </w:r>
          </w:p>
        </w:tc>
        <w:tc>
          <w:tcPr>
            <w:tcW w:type="dxa" w:w="94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Display fixed</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17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Jackson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12</w:t>
            </w:r>
          </w:p>
        </w:tc>
        <w:tc>
          <w:tcPr>
            <w:tcW w:type="dxa" w:w="16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 driving, 24-h sleep deprivation</w:t>
            </w:r>
          </w:p>
        </w:tc>
        <w:tc>
          <w:tcPr>
            <w:tcW w:type="dxa" w:w="2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 correlated with vigilance variability (r = 0.68)</w:t>
            </w:r>
          </w:p>
        </w:tc>
        <w:tc>
          <w:tcPr>
            <w:tcW w:type="dxa" w:w="94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Drowsiness, not fatigue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17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Contact Lens and Anterior Eye (</w:t>
            </w:r>
            <w:r>
              <w:rPr>
                <w:rFonts w:ascii="Times New Roman" w:cs="Times New Roman" w:eastAsia="Times New Roman" w:hAnsi="Times New Roman"/>
                <w:b w:val="false"/>
                <w:bCs w:val="false"/>
                <w:i w:val="false"/>
                <w:iCs w:val="false"/>
                <w:sz w:val="15"/>
                <w:szCs w:val="15"/>
                <w:highlight w:val="yellow"/>
                <w:highlightCs w:val="yellow"/>
              </w:rPr>
              <w:t xml:space="preserve">[Authors]</w:t>
            </w:r>
            <w:r>
              <w:rPr>
                <w:rFonts w:ascii="Times New Roman" w:cs="Times New Roman" w:eastAsia="Times New Roman" w:hAnsi="Times New Roman"/>
                <w:b w:val="false"/>
                <w:bCs w:val="false"/>
                <w:i w:val="false"/>
                <w:iCs w:val="false"/>
                <w:sz w:val="15"/>
                <w:szCs w:val="15"/>
              </w:rPr>
              <w:t xml:space="preserve">, 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w:t>
            </w:r>
          </w:p>
        </w:tc>
        <w:tc>
          <w:tcPr>
            <w:tcW w:type="dxa" w:w="16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Tear-film and blink parameters; 30-min read</w:t>
            </w:r>
          </w:p>
        </w:tc>
        <w:tc>
          <w:tcPr>
            <w:tcW w:type="dxa" w:w="2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Incomplete-blink rate rose over time in all groups</w:t>
            </w:r>
          </w:p>
        </w:tc>
        <w:tc>
          <w:tcPr>
            <w:tcW w:type="dxa" w:w="94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fixed</w:t>
            </w:r>
          </w:p>
        </w:tc>
      </w:tr>
    </w:tbl>
    <w:p>
      <w:pPr>
        <w:spacing w:after="4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3.4 Performance measures, subjective instruments and scalability</w:t>
      </w:r>
    </w:p>
    <w:p>
      <w:pPr>
        <w:spacing w:after="0" w:line="360"/>
        <w:jc w:val="both"/>
      </w:pPr>
      <w:r>
        <w:rPr>
          <w:rFonts w:ascii="Times New Roman" w:cs="Times New Roman" w:eastAsia="Times New Roman" w:hAnsi="Times New Roman"/>
          <w:b w:val="false"/>
          <w:bCs w:val="false"/>
          <w:i w:val="false"/>
          <w:iCs w:val="false"/>
          <w:sz w:val="24"/>
          <w:szCs w:val="24"/>
        </w:rPr>
        <w:t xml:space="preserve">Print holds an advantage over screen for comprehension, moderated by genre and time pressure (Delgado et al., 2018), which constrains how comprehension should be measured but does not bear on the hypothesis under test, because a within-screen design removes the medium confound. Prolonged monotonous tasks also produce a vigilance decrement best accounted for by resource depletion (Warm et al., 2008), with lapses and reaction-time variability its most fatigue-sensitive indices (Abe et al., 2014); attentional and visual-fatigue outcomes therefore share time on task as a driver and must be measured together if they are to be distinguished. For subjective measurement the Computer Vision Syndrome Questionnaire assesses sixteen symptoms on a Rasch-fitting scale, with sensitivity and specificity above 70 per cent and test–retest intraclass correlation of 0.802 (Seguí et al., 2015), and cross-cultural validation reports internal consistency of 0.793, convergent validity with the Ocular Surface Disease Index of 0.728 and a cut-off of seven (Cantó-Sancho et al., 2024); cognitive workload is conventionally indexed by the NASA Task Load Index (Hart &amp; Staveland, 1988). Review notes that correlations between objective and subjective measures are not always apparent (Sheppard &amp; Wolffsohn, 2018), a discrepancy treated here as an object of study rather than a nuisance.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(Soukupová &amp; Čech, 2016); being continuous and normalised, it can distinguish partial from complete closure, automating what the clinical literature has done by hand. Validity differs by target — camera-based gaze estimation is defensible only for coarse zone classification, whereas blink proportions need temporal rather than spatial precision and remain robust where duration-based metrics fail below about 25 frames per second. No published study has validated a camera-based incomplete-blink measure against manual annotation.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3.5 Research gaps</w:t>
      </w:r>
    </w:p>
    <w:p>
      <w:pPr>
        <w:spacing w:after="0" w:line="360"/>
        <w:jc w:val="both"/>
      </w:pPr>
      <w:r>
        <w:rPr>
          <w:rFonts w:ascii="Times New Roman" w:cs="Times New Roman" w:eastAsia="Times New Roman" w:hAnsi="Times New Roman"/>
          <w:b w:val="false"/>
          <w:bCs w:val="false"/>
          <w:i w:val="false"/>
          <w:iCs w:val="false"/>
          <w:sz w:val="24"/>
          <w:szCs w:val="24"/>
        </w:rPr>
        <w:t xml:space="preserve">Six gaps follow from the foregoing and together define the study. The positive polarity advantage is established for brief, achromatic legibility tasks but untested for prolonged reading with fatigue accumulation and ocular-surface outcomes. The polarity-by-colour interaction on visual fatigue appears unestimated, the only located text-colour fatigue study having held polarity constant (Fan et al., 2024), and hue has nowhere been separated from luminance contrast. No located study reports contrast metrics alongside measured display photometry, the prevailing standard is polarity-blind (Advanced Perceptual Contrast Algorithm, n.d.; World Wide Web Consortium, 2023), and three-way effects of polarity, colour and illumination remain uncharacterised. Few studies co-register a validated symptom instrument with objective markers in the same condition, and where both were measured they pointed in opposite directions (Xie et al., 2021). The incomplete-blink ratio has not been tested as an outcome of a display manipulation despite its specificity, and no automated implementation has been validated against manual annotation, so the measure does not scale. Finally, individual differences in habitual display preference, exposure and lighting environment are seldom modelled as moderators, and tablet-specific, ecologically valid protocols are scarce.</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4: MATERIALS AND METHODS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4.1 Study design</w:t>
      </w:r>
    </w:p>
    <w:p>
      <w:pPr>
        <w:spacing w:after="0" w:line="360"/>
        <w:jc w:val="both"/>
      </w:pPr>
      <w:r>
        <w:rPr>
          <w:rFonts w:ascii="Times New Roman" w:cs="Times New Roman" w:eastAsia="Times New Roman" w:hAnsi="Times New Roman"/>
          <w:b w:val="false"/>
          <w:bCs w:val="false"/>
          <w:i w:val="false"/>
          <w:iCs w:val="false"/>
          <w:sz w:val="24"/>
          <w:szCs w:val="24"/>
        </w:rPr>
        <w:t xml:space="preserve">The study uses a repeated-measures crossover (split-plot) factorial design. Display polarity (positive, negative) and text colour (achromatic, blue, red, yellow, green) are manipulated within session; ambient illumination (dim, moderate) is manipulated at session level, each participant receiving both levels in counterbalanced order, so all three factors are within-participant but illumination acts as the whole-plot factor and polarity × text colour as sub-plot factors. Polarity and colour together yield ten display conditions, each administered under both illumination levels, giving twenty condition-runs per participant. Illumination is manipulated between sessions because a fully crossed within-session design would be unmanageable in one sitting and because room light cannot be switched without re-adaptation; the two sessions are separated by 48 to 72 hours.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4.2 Setting, participants and sampling</w:t>
      </w:r>
    </w:p>
    <w:p>
      <w:pPr>
        <w:spacing w:after="0" w:line="360"/>
        <w:jc w:val="both"/>
      </w:pPr>
      <w:r>
        <w:rPr>
          <w:rFonts w:ascii="Times New Roman" w:cs="Times New Roman" w:eastAsia="Times New Roman" w:hAnsi="Times New Roman"/>
          <w:b w:val="false"/>
          <w:bCs w:val="false"/>
          <w:i w:val="false"/>
          <w:iCs w:val="false"/>
          <w:sz w:val="24"/>
          <w:szCs w:val="24"/>
        </w:rPr>
        <w:t xml:space="preserve">The study will be conducted in a controlled laboratory room at Assam down town University in which ambient illuminance can be held constant and daylight is excluded. Data collection is expected to take approximately 24 months following ethics approval and piloting.</w:t>
      </w:r>
    </w:p>
    <w:p>
      <w:pPr>
        <w:spacing w:after="0" w:line="360"/>
        <w:ind w:firstLine="360"/>
        <w:jc w:val="both"/>
      </w:pPr>
      <w:r>
        <w:rPr>
          <w:rFonts w:ascii="Times New Roman" w:cs="Times New Roman" w:eastAsia="Times New Roman" w:hAnsi="Times New Roman"/>
          <w:b/>
          <w:bCs/>
          <w:i w:val="false"/>
          <w:iCs w:val="false"/>
          <w:sz w:val="24"/>
          <w:szCs w:val="24"/>
        </w:rPr>
        <w:t xml:space="preserve">Sampling strategy.</w:t>
      </w:r>
      <w:r>
        <w:rPr>
          <w:rFonts w:ascii="Times New Roman" w:cs="Times New Roman" w:eastAsia="Times New Roman" w:hAnsi="Times New Roman"/>
          <w:b w:val="false"/>
          <w:bCs w:val="false"/>
          <w:i w:val="false"/>
          <w:iCs w:val="false"/>
          <w:sz w:val="24"/>
          <w:szCs w:val="24"/>
        </w:rPr>
        <w:t xml:space="preserve"> Recruitment uses non-probability purposive (convenience) sampling, with consecutive enrolment of eligible volunteers from the university and its associated institutions, so that cognitive, visual and digital-exposure characteristics are reasonably homogeneous and the within-subject contrasts are not diluted by uncontrolled heterogeneity. The findings are accordingly not intended to estimate population prevalence, and generalisation beyond comparable young-adult screen users is made with caution. Infinite-population formulae of the form n = Z²pq/e² do not apply, since this is a controlled repeated-measures experiment in which each participant serves as their own control.</w:t>
      </w:r>
    </w:p>
    <w:p>
      <w:pPr>
        <w:spacing w:after="0" w:line="360"/>
        <w:ind w:firstLine="360"/>
        <w:jc w:val="both"/>
      </w:pPr>
      <w:r>
        <w:rPr>
          <w:rFonts w:ascii="Times New Roman" w:cs="Times New Roman" w:eastAsia="Times New Roman" w:hAnsi="Times New Roman"/>
          <w:b/>
          <w:bCs/>
          <w:i w:val="false"/>
          <w:iCs w:val="false"/>
          <w:sz w:val="24"/>
          <w:szCs w:val="24"/>
        </w:rPr>
        <w:t xml:space="preserve">Sample size.</w:t>
      </w:r>
      <w:r>
        <w:rPr>
          <w:rFonts w:ascii="Times New Roman" w:cs="Times New Roman" w:eastAsia="Times New Roman" w:hAnsi="Times New Roman"/>
          <w:b w:val="false"/>
          <w:bCs w:val="false"/>
          <w:i w:val="false"/>
          <w:iCs w:val="false"/>
          <w:sz w:val="24"/>
          <w:szCs w:val="24"/>
        </w:rPr>
        <w:t xml:space="preserve"> The target is </w:t>
      </w:r>
      <w:r>
        <w:rPr>
          <w:rFonts w:ascii="Times New Roman" w:cs="Times New Roman" w:eastAsia="Times New Roman" w:hAnsi="Times New Roman"/>
          <w:b/>
          <w:bCs/>
          <w:i w:val="false"/>
          <w:iCs w:val="false"/>
          <w:sz w:val="24"/>
          <w:szCs w:val="24"/>
        </w:rPr>
        <w:t xml:space="preserve">130 participants</w:t>
      </w:r>
      <w:r>
        <w:rPr>
          <w:rFonts w:ascii="Times New Roman" w:cs="Times New Roman" w:eastAsia="Times New Roman" w:hAnsi="Times New Roman"/>
          <w:b w:val="false"/>
          <w:bCs w:val="false"/>
          <w:i w:val="false"/>
          <w:iCs w:val="false"/>
          <w:sz w:val="24"/>
          <w:szCs w:val="24"/>
        </w:rPr>
        <w:t xml:space="preserve"> aged 18 to 35 for analysis, with 145 enrolled to allow for attrition. The figure is a multiple of ten, which the Williams counterbalancing scheme requires for complete balance (§4.7), and follows from simulation-based power analysis rather than a formula assuming independent observations. The design has two units of replication: within-participant contrasts, covering Objectives 1 and 2 and both the primary and key secondary outcomes, are efficient because each participant contributes twenty condition-runs, whereas between-participant moderation (Objective 3) is far more demanding. Simulation over 20,000 replications per cell, summarised in Table 4.1, shows the binding constraint to be the polarity-by-colour interaction central to Objective 2: 80 per cent power for it at d_z = 0.25 requires approximately 128 participants, and moderate moderation of 0.50 SD requires approximately 127, so 130 satisfies both while giving better than 90 per cent power for the polarity main effect. Detecting small moderation of 0.40 SD would require approximately 200 participants, so moderation of that magnitude is declared exploratory and reported with confidence intervals rather than as a confirmatory test.</w:t>
      </w:r>
    </w:p>
    <w:p>
      <w:pPr>
        <w:spacing w:after="0" w:line="360"/>
        <w:ind w:firstLine="360"/>
        <w:jc w:val="both"/>
      </w:pPr>
      <w:r>
        <w:rPr>
          <w:rFonts w:ascii="Times New Roman" w:cs="Times New Roman" w:eastAsia="Times New Roman" w:hAnsi="Times New Roman"/>
          <w:b/>
          <w:bCs/>
          <w:i w:val="false"/>
          <w:iCs w:val="false"/>
          <w:sz w:val="24"/>
          <w:szCs w:val="24"/>
        </w:rPr>
        <w:t xml:space="preserve">Table 4.1 — Simulation-based power (20,000 replications per cell, two-sided α = 0.05).</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4474"/>
        <w:gridCol w:w="1330"/>
        <w:gridCol w:w="726"/>
        <w:gridCol w:w="847"/>
        <w:gridCol w:w="847"/>
        <w:gridCol w:w="847"/>
      </w:tblGrid>
      <w:tr>
        <w:trPr>
          <w:tblHeader/>
        </w:trPr>
        <w:tc>
          <w:tcPr>
            <w:tcW w:type="dxa" w:w="4474"/>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Analysis</w:t>
            </w:r>
          </w:p>
        </w:tc>
        <w:tc>
          <w:tcPr>
            <w:tcW w:type="dxa" w:w="133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Effect size</w:t>
            </w:r>
          </w:p>
        </w:tc>
        <w:tc>
          <w:tcPr>
            <w:tcW w:type="dxa" w:w="72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60</w:t>
            </w:r>
          </w:p>
        </w:tc>
        <w:tc>
          <w:tcPr>
            <w:tcW w:type="dxa" w:w="84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100</w:t>
            </w:r>
          </w:p>
        </w:tc>
        <w:tc>
          <w:tcPr>
            <w:tcW w:type="dxa" w:w="84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130</w:t>
            </w:r>
          </w:p>
        </w:tc>
        <w:tc>
          <w:tcPr>
            <w:tcW w:type="dxa" w:w="84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200</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Within: polarity main effect</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d_z = 0.40</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86%</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98%</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&gt;99%</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&gt;99%</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Within: polarity main effect</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d_z = 0.30</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84%</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99%</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Within: polarity × colour interaction</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d_z = 0.25</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47%</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71%</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81%</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94%</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Between: moderation, large</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0.60 SD</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84%</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99%</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Between: moderation, moderate</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0.50 SD</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48%</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70%</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81%</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94%</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Between: moderation, small</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0.40 SD</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34%</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51%</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80%</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Although 130 is smaller than samples typical of between-participant survey research, the quantity governing precision here is the number of condition-runs, and on that quantity the design is substantially larger than the studies from which its measures are drawn. Those studies, set against it in Table 4.2, enrolled 11 to 50 participants and obtained 11 to 300 condition-runs, the largest being Argilés et al. (2015) at 300 and Jiménez et al. (2020) at 280; the proposed 130 participants at 20 runs each yield 2,600, roughly nine times the largest comparable study. None combined a sample of this size with per-condition ocular measurement under a manipulated display parameter, and none manipulated polarity, text colour and ambient illumination together: where a display parameter was manipulated at all it was a single one, and the studies measuring blink composition most carefully manipulated no display property whatever.</w:t>
      </w:r>
    </w:p>
    <w:p>
      <w:pPr>
        <w:spacing w:after="0" w:line="360"/>
        <w:ind w:firstLine="360"/>
        <w:jc w:val="both"/>
      </w:pPr>
      <w:r>
        <w:rPr>
          <w:rFonts w:ascii="Times New Roman" w:cs="Times New Roman" w:eastAsia="Times New Roman" w:hAnsi="Times New Roman"/>
          <w:b/>
          <w:bCs/>
          <w:i w:val="false"/>
          <w:iCs w:val="false"/>
          <w:sz w:val="24"/>
          <w:szCs w:val="24"/>
        </w:rPr>
        <w:t xml:space="preserve">Table 4.2 — The proposed design set against the published studies from which its measures are drawn.</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029"/>
        <w:gridCol w:w="650"/>
        <w:gridCol w:w="650"/>
        <w:gridCol w:w="1196"/>
        <w:gridCol w:w="946"/>
        <w:gridCol w:w="2112"/>
        <w:gridCol w:w="1488"/>
      </w:tblGrid>
      <w:tr>
        <w:trPr>
          <w:tblHeader/>
        </w:trPr>
        <w:tc>
          <w:tcPr>
            <w:tcW w:type="dxa" w:w="202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119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Conditions per participant</w:t>
            </w:r>
          </w:p>
        </w:tc>
        <w:tc>
          <w:tcPr>
            <w:tcW w:type="dxa" w:w="94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Total condition-runs</w:t>
            </w:r>
          </w:p>
        </w:tc>
        <w:tc>
          <w:tcPr>
            <w:tcW w:type="dxa" w:w="211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Ocular measure</w:t>
            </w:r>
          </w:p>
        </w:tc>
        <w:tc>
          <w:tcPr>
            <w:tcW w:type="dxa" w:w="148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Display parameter manipulated</w:t>
            </w:r>
          </w:p>
        </w:tc>
      </w:tr>
      <w:tr>
        <w:tc>
          <w:tcPr>
            <w:tcW w:type="dxa" w:w="20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Hirota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119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9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211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composition, tear break-up</w:t>
            </w:r>
          </w:p>
        </w:tc>
        <w:tc>
          <w:tcPr>
            <w:tcW w:type="dxa" w:w="14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None</w:t>
            </w:r>
          </w:p>
        </w:tc>
      </w:tr>
      <w:tr>
        <w:tc>
          <w:tcPr>
            <w:tcW w:type="dxa" w:w="20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Jackson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12</w:t>
            </w:r>
          </w:p>
        </w:tc>
        <w:tc>
          <w:tcPr>
            <w:tcW w:type="dxa" w:w="119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9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24</w:t>
            </w:r>
          </w:p>
        </w:tc>
        <w:tc>
          <w:tcPr>
            <w:tcW w:type="dxa" w:w="211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w:t>
            </w:r>
          </w:p>
        </w:tc>
        <w:tc>
          <w:tcPr>
            <w:tcW w:type="dxa" w:w="14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None</w:t>
            </w:r>
          </w:p>
        </w:tc>
      </w:tr>
      <w:tr>
        <w:tc>
          <w:tcPr>
            <w:tcW w:type="dxa" w:w="20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Jiménez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2020</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w:t>
            </w:r>
          </w:p>
        </w:tc>
        <w:tc>
          <w:tcPr>
            <w:tcW w:type="dxa" w:w="119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14</w:t>
            </w:r>
          </w:p>
        </w:tc>
        <w:tc>
          <w:tcPr>
            <w:tcW w:type="dxa" w:w="9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280</w:t>
            </w:r>
          </w:p>
        </w:tc>
        <w:tc>
          <w:tcPr>
            <w:tcW w:type="dxa" w:w="211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Accommodation, pupil</w:t>
            </w:r>
          </w:p>
        </w:tc>
        <w:tc>
          <w:tcPr>
            <w:tcW w:type="dxa" w:w="14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Text–background colour</w:t>
            </w:r>
          </w:p>
        </w:tc>
      </w:tr>
      <w:tr>
        <w:tc>
          <w:tcPr>
            <w:tcW w:type="dxa" w:w="20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Portello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w:t>
            </w:r>
          </w:p>
        </w:tc>
        <w:tc>
          <w:tcPr>
            <w:tcW w:type="dxa" w:w="119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9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42</w:t>
            </w:r>
          </w:p>
        </w:tc>
        <w:tc>
          <w:tcPr>
            <w:tcW w:type="dxa" w:w="211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completeness</w:t>
            </w:r>
          </w:p>
        </w:tc>
        <w:tc>
          <w:tcPr>
            <w:tcW w:type="dxa" w:w="14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None</w:t>
            </w:r>
          </w:p>
        </w:tc>
      </w:tr>
      <w:tr>
        <w:tc>
          <w:tcPr>
            <w:tcW w:type="dxa" w:w="20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Cardona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25</w:t>
            </w:r>
          </w:p>
        </w:tc>
        <w:tc>
          <w:tcPr>
            <w:tcW w:type="dxa" w:w="119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9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75</w:t>
            </w:r>
          </w:p>
        </w:tc>
        <w:tc>
          <w:tcPr>
            <w:tcW w:type="dxa" w:w="211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amplitude</w:t>
            </w:r>
          </w:p>
        </w:tc>
        <w:tc>
          <w:tcPr>
            <w:tcW w:type="dxa" w:w="14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Task dynamism</w:t>
            </w:r>
          </w:p>
        </w:tc>
      </w:tr>
      <w:tr>
        <w:tc>
          <w:tcPr>
            <w:tcW w:type="dxa" w:w="20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Contact Lens and Anterior Eye (</w:t>
            </w:r>
            <w:r>
              <w:rPr>
                <w:rFonts w:ascii="Times New Roman" w:cs="Times New Roman" w:eastAsia="Times New Roman" w:hAnsi="Times New Roman"/>
                <w:b w:val="false"/>
                <w:bCs w:val="false"/>
                <w:i w:val="false"/>
                <w:iCs w:val="false"/>
                <w:sz w:val="15"/>
                <w:szCs w:val="15"/>
                <w:highlight w:val="yellow"/>
                <w:highlightCs w:val="yellow"/>
              </w:rPr>
              <w:t xml:space="preserve">[Authors]</w:t>
            </w:r>
            <w:r>
              <w:rPr>
                <w:rFonts w:ascii="Times New Roman" w:cs="Times New Roman" w:eastAsia="Times New Roman" w:hAnsi="Times New Roman"/>
                <w:b w:val="false"/>
                <w:bCs w:val="false"/>
                <w:i w:val="false"/>
                <w:iCs w:val="false"/>
                <w:sz w:val="15"/>
                <w:szCs w:val="15"/>
              </w:rPr>
              <w:t xml:space="preserve">, 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w:t>
            </w:r>
          </w:p>
        </w:tc>
        <w:tc>
          <w:tcPr>
            <w:tcW w:type="dxa" w:w="119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9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120</w:t>
            </w:r>
          </w:p>
        </w:tc>
        <w:tc>
          <w:tcPr>
            <w:tcW w:type="dxa" w:w="211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patterns, tear film</w:t>
            </w:r>
          </w:p>
        </w:tc>
        <w:tc>
          <w:tcPr>
            <w:tcW w:type="dxa" w:w="14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Ambient light × screen brightness</w:t>
            </w:r>
          </w:p>
        </w:tc>
      </w:tr>
      <w:tr>
        <w:tc>
          <w:tcPr>
            <w:tcW w:type="dxa" w:w="20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Argilés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50</w:t>
            </w:r>
          </w:p>
        </w:tc>
        <w:tc>
          <w:tcPr>
            <w:tcW w:type="dxa" w:w="119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9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300</w:t>
            </w:r>
          </w:p>
        </w:tc>
        <w:tc>
          <w:tcPr>
            <w:tcW w:type="dxa" w:w="211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completeness</w:t>
            </w:r>
          </w:p>
        </w:tc>
        <w:tc>
          <w:tcPr>
            <w:tcW w:type="dxa" w:w="148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Reading medium</w:t>
            </w:r>
          </w:p>
        </w:tc>
      </w:tr>
      <w:tr>
        <w:tc>
          <w:tcPr>
            <w:tcW w:type="dxa" w:w="2029"/>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Proposed study</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130</w:t>
            </w:r>
          </w:p>
        </w:tc>
        <w:tc>
          <w:tcPr>
            <w:tcW w:type="dxa" w:w="1196"/>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20</w:t>
            </w:r>
          </w:p>
        </w:tc>
        <w:tc>
          <w:tcPr>
            <w:tcW w:type="dxa" w:w="946"/>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2,600</w:t>
            </w:r>
          </w:p>
        </w:tc>
        <w:tc>
          <w:tcPr>
            <w:tcW w:type="dxa" w:w="2112"/>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Incomplete-blink ratio, blink rate, IBI, PERCLOS</w:t>
            </w:r>
          </w:p>
        </w:tc>
        <w:tc>
          <w:tcPr>
            <w:tcW w:type="dxa" w:w="1488"/>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Polarity × colour × illumination</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bCs/>
          <w:i w:val="false"/>
          <w:iCs w:val="false"/>
          <w:sz w:val="24"/>
          <w:szCs w:val="24"/>
        </w:rPr>
        <w:t xml:space="preserve">Eligibility, screening and profiling.</w:t>
      </w:r>
      <w:r>
        <w:rPr>
          <w:rFonts w:ascii="Times New Roman" w:cs="Times New Roman" w:eastAsia="Times New Roman" w:hAnsi="Times New Roman"/>
          <w:b w:val="false"/>
          <w:bCs w:val="false"/>
          <w:i w:val="false"/>
          <w:iCs w:val="false"/>
          <w:sz w:val="24"/>
          <w:szCs w:val="24"/>
        </w:rPr>
        <w:t xml:space="preserve"> Participants must be young adults with normal or corrected acuity, substantial habitual screen exposure and no ocular, systemic, neurological or psychiatric condition, medication or optical state that would independently affect the tear film, accommodation, colour discrimination or reading; the criteria are applied at screening in the operational form given in Table 4.3. Screening comprises visual acuity, non-cycloplegic refraction, cover test, near point of convergence, and Ishihara colour-vision screening on the study display, which reaches 94.4 per cent sensitivity and 82.4 per cent specificity on a calibrated monitor and 96.0 and 94.7 per cent on a smartphone (Klinke et al., 2024); it is an aid rather than a diagnosis, and outcomes are recorded as covariates. A profiling questionnaire covering habitual display-mode preference, screen exposure, lighting environment, digital literacy, hours since waking and recent caffeine intake supplies the moderators for Objective 3 and the sleepiness covariates.</w:t>
      </w:r>
    </w:p>
    <w:p>
      <w:pPr>
        <w:spacing w:after="0" w:line="360"/>
        <w:ind w:firstLine="360"/>
        <w:jc w:val="both"/>
      </w:pPr>
      <w:r>
        <w:rPr>
          <w:rFonts w:ascii="Times New Roman" w:cs="Times New Roman" w:eastAsia="Times New Roman" w:hAnsi="Times New Roman"/>
          <w:b/>
          <w:bCs/>
          <w:i w:val="false"/>
          <w:iCs w:val="false"/>
          <w:sz w:val="24"/>
          <w:szCs w:val="24"/>
        </w:rPr>
        <w:t xml:space="preserve">Table 4.3 — Eligibility criteria.</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4536"/>
        <w:gridCol w:w="4535"/>
      </w:tblGrid>
      <w:tr>
        <w:trPr>
          <w:tblHeader/>
        </w:trPr>
        <w:tc>
          <w:tcPr>
            <w:tcW w:type="dxa" w:w="453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Inclusion</w:t>
            </w:r>
          </w:p>
        </w:tc>
        <w:tc>
          <w:tcPr>
            <w:tcW w:type="dxa" w:w="453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Exclusion</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Age 18 to 35 years</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Refractive error beyond ±3.00 D</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Distance visual acuity 6/6 or better, with or without correction</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Manifest binocular vision disorder</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Habitual screen use of at least four hours daily</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Colour-vision deficiency on screening</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 known ocular, systemic or neurological illness</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History of photosensitivity or migraine</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Able to give written informed consent</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Medication affecting vision, accommodation or tear film</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Available for two sessions 48 to 72 hours apart</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Diagnosed learning or psychiatric disorder</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Contact-lens wear on test days; ocular surgery within six months</w:t>
            </w:r>
          </w:p>
        </w:tc>
      </w:tr>
    </w:tbl>
    <w:p>
      <w:pPr>
        <w:spacing w:after="4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4.3 Display conditions and photometric characterisation</w:t>
      </w:r>
    </w:p>
    <w:p>
      <w:pPr>
        <w:spacing w:after="0" w:line="360"/>
        <w:jc w:val="both"/>
      </w:pPr>
      <w:r>
        <w:rPr>
          <w:rFonts w:ascii="Times New Roman" w:cs="Times New Roman" w:eastAsia="Times New Roman" w:hAnsi="Times New Roman"/>
          <w:b w:val="false"/>
          <w:bCs w:val="false"/>
          <w:i w:val="false"/>
          <w:iCs w:val="false"/>
          <w:sz w:val="24"/>
          <w:szCs w:val="24"/>
        </w:rPr>
        <w:t xml:space="preserve">All conditions are presented on a single fixed tablet at a viewing distance of 50 to 60 cm, with brightness fixed, automatic brightness and any blue-light filter disabled, and the screen cleaned before each session. Display white-point luminance is measured photometrically per session, with a working target of 120 to 150 cd/m², informed by the optimum of 153 cd/m² determined under 300 lux (Lin et al., 2024) and scaled for the lower domestic illuminance used here. Typography, line height and margins are fixed, so polarity and colour are the only stimulus properties that vary, and contrast is computed from linearised sRGB relative luminance following the accessibility standard (World Wide Web Consortium, 2023). The colour set was fixed only after comparison against luminance-matched and web-default alternatives, both worse: luminance matching places all four sub-AA conditions in one polarity and raises the polarity–contrast correlation from +0.11 to +0.43, and the web-default hues yield an unusable condition at 1.07:1.</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Four properties of the resulting matrix, tabulated in Table 4.4, matter for the analysis. First, the contrast ordering is inverted between the polarities, and this is arithmetic rather than design: contrast on a white field falls as text lightens while contrast on a black field rises, so blue and red are the higher-contrast colours on white and the lower-contrast ones on black, with yellow and green the reverse. Second, the achromatic pair is contrast-matched at 21.00:1 and gives the cleanest test of polarity — an experimental rather than statistical control, and the one comparison in which a polarity effect cannot be attributed to contrast. Third, conditions below the accessibility minimum are balanced two per polarity, so polarity is not confounded with accessibility compliance. Fourth, Michelson contrast is uninformative under negative polarity, since a pure black background sets minimum luminance to zero and the metric saturates at 1.000 for every colour; the accessibility ratio, supported by measured photometry, therefore serves as the analytic contrast variable.</w:t>
      </w:r>
    </w:p>
    <w:p>
      <w:pPr>
        <w:spacing w:after="0" w:line="360"/>
        <w:ind w:firstLine="360"/>
        <w:jc w:val="both"/>
      </w:pPr>
      <w:r>
        <w:rPr>
          <w:rFonts w:ascii="Times New Roman" w:cs="Times New Roman" w:eastAsia="Times New Roman" w:hAnsi="Times New Roman"/>
          <w:b/>
          <w:bCs/>
          <w:i w:val="false"/>
          <w:iCs w:val="false"/>
          <w:sz w:val="24"/>
          <w:szCs w:val="24"/>
        </w:rPr>
        <w:t xml:space="preserve">Table 4.4 — The ten display conditions with computed contrast.</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650"/>
        <w:gridCol w:w="1321"/>
        <w:gridCol w:w="980"/>
        <w:gridCol w:w="1208"/>
        <w:gridCol w:w="1208"/>
        <w:gridCol w:w="980"/>
        <w:gridCol w:w="1094"/>
        <w:gridCol w:w="980"/>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Code</w:t>
            </w:r>
          </w:p>
        </w:tc>
        <w:tc>
          <w:tcPr>
            <w:tcW w:type="dxa" w:w="132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Text colour</w:t>
            </w:r>
          </w:p>
        </w:tc>
        <w:tc>
          <w:tcPr>
            <w:tcW w:type="dxa" w:w="98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Text hex</w:t>
            </w:r>
          </w:p>
        </w:tc>
        <w:tc>
          <w:tcPr>
            <w:tcW w:type="dxa" w:w="120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Background</w:t>
            </w:r>
          </w:p>
        </w:tc>
        <w:tc>
          <w:tcPr>
            <w:tcW w:type="dxa" w:w="120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WCAG ratio</w:t>
            </w:r>
          </w:p>
        </w:tc>
        <w:tc>
          <w:tcPr>
            <w:tcW w:type="dxa" w:w="98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Level</w:t>
            </w:r>
          </w:p>
        </w:tc>
        <w:tc>
          <w:tcPr>
            <w:tcW w:type="dxa" w:w="1094"/>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Michelson</w:t>
            </w:r>
          </w:p>
        </w:tc>
        <w:tc>
          <w:tcPr>
            <w:tcW w:type="dxa" w:w="98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Below AA</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P1</w:t>
            </w:r>
          </w:p>
        </w:tc>
        <w:tc>
          <w:tcPr>
            <w:tcW w:type="dxa" w:w="13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20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20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21.00 : 1</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AAA</w:t>
            </w:r>
          </w:p>
        </w:tc>
        <w:tc>
          <w:tcPr>
            <w:tcW w:type="dxa" w:w="109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P2</w:t>
            </w:r>
          </w:p>
        </w:tc>
        <w:tc>
          <w:tcPr>
            <w:tcW w:type="dxa" w:w="13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Blue</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#1E4ED8</w:t>
            </w:r>
          </w:p>
        </w:tc>
        <w:tc>
          <w:tcPr>
            <w:tcW w:type="dxa" w:w="120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20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6.70 : 1</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w:t>
            </w:r>
          </w:p>
        </w:tc>
        <w:tc>
          <w:tcPr>
            <w:tcW w:type="dxa" w:w="109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0.807</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P3</w:t>
            </w:r>
          </w:p>
        </w:tc>
        <w:tc>
          <w:tcPr>
            <w:tcW w:type="dxa" w:w="13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#C81E1E</w:t>
            </w:r>
          </w:p>
        </w:tc>
        <w:tc>
          <w:tcPr>
            <w:tcW w:type="dxa" w:w="120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20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5.74 : 1</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w:t>
            </w:r>
          </w:p>
        </w:tc>
        <w:tc>
          <w:tcPr>
            <w:tcW w:type="dxa" w:w="109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0.765</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P4</w:t>
            </w:r>
          </w:p>
        </w:tc>
        <w:tc>
          <w:tcPr>
            <w:tcW w:type="dxa" w:w="13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Yellow</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#C9A400</w:t>
            </w:r>
          </w:p>
        </w:tc>
        <w:tc>
          <w:tcPr>
            <w:tcW w:type="dxa" w:w="120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20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2.39 : 1</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Fail</w:t>
            </w:r>
          </w:p>
        </w:tc>
        <w:tc>
          <w:tcPr>
            <w:tcW w:type="dxa" w:w="109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0.439</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P5</w:t>
            </w:r>
          </w:p>
        </w:tc>
        <w:tc>
          <w:tcPr>
            <w:tcW w:type="dxa" w:w="13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Green</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#00A651</w:t>
            </w:r>
          </w:p>
        </w:tc>
        <w:tc>
          <w:tcPr>
            <w:tcW w:type="dxa" w:w="120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20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3.19 : 1</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 Large</w:t>
            </w:r>
          </w:p>
        </w:tc>
        <w:tc>
          <w:tcPr>
            <w:tcW w:type="dxa" w:w="109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0.564</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N1</w:t>
            </w:r>
          </w:p>
        </w:tc>
        <w:tc>
          <w:tcPr>
            <w:tcW w:type="dxa" w:w="13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20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20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21.00 : 1</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AAA</w:t>
            </w:r>
          </w:p>
        </w:tc>
        <w:tc>
          <w:tcPr>
            <w:tcW w:type="dxa" w:w="109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N2</w:t>
            </w:r>
          </w:p>
        </w:tc>
        <w:tc>
          <w:tcPr>
            <w:tcW w:type="dxa" w:w="13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Blue</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#1E4ED8</w:t>
            </w:r>
          </w:p>
        </w:tc>
        <w:tc>
          <w:tcPr>
            <w:tcW w:type="dxa" w:w="120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20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3.14 : 1</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 Large</w:t>
            </w:r>
          </w:p>
        </w:tc>
        <w:tc>
          <w:tcPr>
            <w:tcW w:type="dxa" w:w="109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N3</w:t>
            </w:r>
          </w:p>
        </w:tc>
        <w:tc>
          <w:tcPr>
            <w:tcW w:type="dxa" w:w="13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#C81E1E</w:t>
            </w:r>
          </w:p>
        </w:tc>
        <w:tc>
          <w:tcPr>
            <w:tcW w:type="dxa" w:w="120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20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3.66 : 1</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 Large</w:t>
            </w:r>
          </w:p>
        </w:tc>
        <w:tc>
          <w:tcPr>
            <w:tcW w:type="dxa" w:w="109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N4</w:t>
            </w:r>
          </w:p>
        </w:tc>
        <w:tc>
          <w:tcPr>
            <w:tcW w:type="dxa" w:w="13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Yellow</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#C9A400</w:t>
            </w:r>
          </w:p>
        </w:tc>
        <w:tc>
          <w:tcPr>
            <w:tcW w:type="dxa" w:w="120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20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8.79 : 1</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AAA</w:t>
            </w:r>
          </w:p>
        </w:tc>
        <w:tc>
          <w:tcPr>
            <w:tcW w:type="dxa" w:w="109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N5</w:t>
            </w:r>
          </w:p>
        </w:tc>
        <w:tc>
          <w:tcPr>
            <w:tcW w:type="dxa" w:w="13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Green</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#00A651</w:t>
            </w:r>
          </w:p>
        </w:tc>
        <w:tc>
          <w:tcPr>
            <w:tcW w:type="dxa" w:w="120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20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6.57 : 1</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w:t>
            </w:r>
          </w:p>
        </w:tc>
        <w:tc>
          <w:tcPr>
            <w:tcW w:type="dxa" w:w="109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8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bl>
    <w:p>
      <w:pPr>
        <w:spacing w:after="4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4.4 Ambient illumination</w:t>
      </w:r>
    </w:p>
    <w:p>
      <w:pPr>
        <w:spacing w:after="0" w:line="360"/>
        <w:jc w:val="both"/>
      </w:pPr>
      <w:r>
        <w:rPr>
          <w:rFonts w:ascii="Times New Roman" w:cs="Times New Roman" w:eastAsia="Times New Roman" w:hAnsi="Times New Roman"/>
          <w:b w:val="false"/>
          <w:bCs w:val="false"/>
          <w:i w:val="false"/>
          <w:iCs w:val="false"/>
          <w:sz w:val="24"/>
          <w:szCs w:val="24"/>
        </w:rPr>
        <w:t xml:space="preserve">Illuminance is set and verified at the participant's eye position and at the display plane with a calibrated lux meter, and logged at the start, middle and end of each session. The dim level targets approximately 10 lux (range 5–15), representing night-time and low-light domestic use; the moderate level targets approximately 150 lux (range 130–170), representing general indoor domestic lighting and set deliberately below the 300–500 lux specified for offices and classrooms in the Indian interior-illumination code (Bureau of Indian Standards, 2009). Two levels rather than a graded series were chosen so that illumination could be crossed with all ten display conditions within a feasible protocol; the values fall either side of the range at which negative-polarity penalties have been reported to emerge (Dobres et al., 2017; Fan et al., 2024) and differ by approximately one log unit, so a pupillary difference is physiologically plausible. Because display white luminance is held constant, the display-to-ambient luminance ratio, which is the quantity the polarity account implicates, differs by design between sessions; correlated colour temperature and light-source type are held constant, so illuminance is the only photometric property of the room that varies.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4.5 Instrumentation</w:t>
      </w:r>
    </w:p>
    <w:p>
      <w:pPr>
        <w:spacing w:after="0" w:line="360"/>
        <w:jc w:val="both"/>
      </w:pPr>
      <w:r>
        <w:rPr>
          <w:rFonts w:ascii="Times New Roman" w:cs="Times New Roman" w:eastAsia="Times New Roman" w:hAnsi="Times New Roman"/>
          <w:b w:val="false"/>
          <w:bCs w:val="false"/>
          <w:i w:val="false"/>
          <w:iCs w:val="false"/>
          <w:sz w:val="24"/>
          <w:szCs w:val="24"/>
        </w:rPr>
        <w:t xml:space="preserve">A purpose-built, offline-capable tablet application administers the protocol, presenting the ten conditions with locked colour values and a neutral grey adaptation field between them and running the four tasks with frame-accurate onset timestamping and hardware-timestamped responses. Ocular measurement uses camera-based facial-landmark tracking, computing the eye aspect ratio (EAR) for each processed frame and classifying blink events by depth of closure to yield blink rate, incomplete-blink ratio, inter-blink interval and variability, PERCLOS and long-closure events, alongside head-pose and gaze-zone estimates. Per-participant calibration establishes an open-eye baseline, a nine-point gaze mapping and a frontal head-pose reference, so metrics are referenced to the individual rather than to population defaults.</w:t>
      </w:r>
    </w:p>
    <w:p>
      <w:pPr>
        <w:spacing w:after="0" w:line="360"/>
        <w:ind w:firstLine="360"/>
        <w:jc w:val="both"/>
      </w:pPr>
      <w:r>
        <w:rPr>
          <w:rFonts w:ascii="Times New Roman" w:cs="Times New Roman" w:eastAsia="Times New Roman" w:hAnsi="Times New Roman"/>
          <w:b/>
          <w:bCs/>
          <w:i w:val="false"/>
          <w:iCs w:val="false"/>
          <w:sz w:val="24"/>
          <w:szCs w:val="24"/>
        </w:rPr>
        <w:t xml:space="preserve">Operational definition of an incomplete blink.</w:t>
      </w:r>
      <w:r>
        <w:rPr>
          <w:rFonts w:ascii="Times New Roman" w:cs="Times New Roman" w:eastAsia="Times New Roman" w:hAnsi="Times New Roman"/>
          <w:b w:val="false"/>
          <w:bCs w:val="false"/>
          <w:i w:val="false"/>
          <w:iCs w:val="false"/>
          <w:sz w:val="24"/>
          <w:szCs w:val="24"/>
        </w:rPr>
        <w:t xml:space="preserve"> A blink is registered when EAR falls below 0.75 of the participant's calibrated open-eye baseline; it is complete when minimum EAR reaches or falls below 0.60 of baseline, and incomplete when minimum EAR remains between 0.60 and 0.75, that is, the lid descends but does not achieve full apposition. The incomplete-blink ratio is the number of incomplete blinks divided by all detected blinks within the condition. These thresholds are provisional and will be finalised against manually annotated video before the main analysis is run.</w:t>
      </w:r>
    </w:p>
    <w:p>
      <w:pPr>
        <w:spacing w:after="0" w:line="360"/>
        <w:ind w:firstLine="360"/>
        <w:jc w:val="both"/>
      </w:pPr>
      <w:r>
        <w:rPr>
          <w:rFonts w:ascii="Times New Roman" w:cs="Times New Roman" w:eastAsia="Times New Roman" w:hAnsi="Times New Roman"/>
          <w:b/>
          <w:bCs/>
          <w:i w:val="false"/>
          <w:iCs w:val="false"/>
          <w:sz w:val="24"/>
          <w:szCs w:val="24"/>
        </w:rPr>
        <w:t xml:space="preserve">Validation of automated blink classification.</w:t>
      </w:r>
      <w:r>
        <w:rPr>
          <w:rFonts w:ascii="Times New Roman" w:cs="Times New Roman" w:eastAsia="Times New Roman" w:hAnsi="Times New Roman"/>
          <w:b w:val="false"/>
          <w:bCs w:val="false"/>
          <w:i w:val="false"/>
          <w:iCs w:val="false"/>
          <w:sz w:val="24"/>
          <w:szCs w:val="24"/>
        </w:rPr>
        <w:t xml:space="preserve"> A pre-specified subsample of 20 participants will contribute synchronised video — two 3-minute reading segments each, one per illumination level, giving some 1,200 to 1,500 blink events. Two annotators, masked to condition and to algorithm output, will code every blink frame by frame, with a third assessor adjudicating disagreements. Reliability is reported as Cohen's kappa and an intraclass correlation for counts, and agreement with the adjudicated standard as sensitivity, specificity and Bland–Altman bias with 95 per cent limits. The pre-specified criteria are kappa of at least 0.60 and bias within ±5 percentage points; failing these, the primary ocular outcome is reported from the adjudicated subsample and the automated measure treated as exploratory.</w:t>
      </w:r>
    </w:p>
    <w:p>
      <w:pPr>
        <w:spacing w:after="0" w:line="360"/>
        <w:ind w:firstLine="360"/>
        <w:jc w:val="both"/>
      </w:pPr>
      <w:r>
        <w:rPr>
          <w:rFonts w:ascii="Times New Roman" w:cs="Times New Roman" w:eastAsia="Times New Roman" w:hAnsi="Times New Roman"/>
          <w:b/>
          <w:bCs/>
          <w:i w:val="false"/>
          <w:iCs w:val="false"/>
          <w:sz w:val="24"/>
          <w:szCs w:val="24"/>
        </w:rPr>
        <w:t xml:space="preserve">Precision of the primary outcome.</w:t>
      </w:r>
      <w:r>
        <w:rPr>
          <w:rFonts w:ascii="Times New Roman" w:cs="Times New Roman" w:eastAsia="Times New Roman" w:hAnsi="Times New Roman"/>
          <w:b w:val="false"/>
          <w:bCs w:val="false"/>
          <w:i w:val="false"/>
          <w:iCs w:val="false"/>
          <w:sz w:val="24"/>
          <w:szCs w:val="24"/>
        </w:rPr>
        <w:t xml:space="preserve"> The incomplete-blink ratio is a binomial proportion, so its precision depends on how many blinks the condition captures. At about 13 blinks per minute a 70-second exposure yields some 16 blinks and a standard error near 0.09; a three-minute exposure yields about 39 and roughly halves that error, for some 20 additional minutes per sitting that the budget in §4.6 accommodates. The passages will accordingly be lengthened before the pilot, and any run yielding fewer than 20 blinks is flagged for down-weighting or exclusion in a sensitivity analysis.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Quality-control indices — achieved sampling rate, face-presence ratio, frame luminance, head stability, blinks per condition and disengagement flags — are recorded as data rather than discarded, duration-dependent metrics are gated automatically on the achieved sampling rate, and every measure is written to storage immediately, so an interruption loses at most the condition in progress. All camera processing occurs on the device and no imagery is retained except where separately consented (§4.9). Exported data carry a per-file checksum manifest and an automated referential-integrity report verifying that each condition's measurements belong to that condition and that no record is orphaned or duplicated; unmeasured quantities are recorded as missing rather than as zero, so an absent reading cannot be mistaken for an observed one.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4.6 Procedure</w:t>
      </w:r>
    </w:p>
    <w:p>
      <w:pPr>
        <w:spacing w:after="0" w:line="360"/>
        <w:jc w:val="both"/>
      </w:pPr>
      <w:r>
        <w:rPr>
          <w:rFonts w:ascii="Times New Roman" w:cs="Times New Roman" w:eastAsia="Times New Roman" w:hAnsi="Times New Roman"/>
          <w:b w:val="false"/>
          <w:bCs w:val="false"/>
          <w:i w:val="false"/>
          <w:iCs w:val="false"/>
          <w:sz w:val="24"/>
          <w:szCs w:val="24"/>
        </w:rPr>
        <w:t xml:space="preserve">Each session begins with setup, seating and calibration, followed by baseline CVS-Q and fatigue VAS, and closes with the CVS-Q repeated and the NASA Task Load Index administered once as a session-level index of cumulative workload. Each of the ten conditions then follows the sequence in Figure 4.1.</w:t>
      </w:r>
    </w:p>
    <w:p>
      <w:pPr>
        <w:spacing w:after="0" w:line="360"/>
        <w:ind w:firstLine="360"/>
        <w:jc w:val="both"/>
      </w:pPr>
      <w:r>
        <w:rPr>
          <w:rFonts w:ascii="Times New Roman" w:cs="Times New Roman" w:eastAsia="Times New Roman" w:hAnsi="Times New Roman"/>
          <w:b/>
          <w:bCs/>
          <w:i w:val="false"/>
          <w:iCs w:val="false"/>
          <w:sz w:val="24"/>
          <w:szCs w:val="24"/>
        </w:rPr>
        <w:t xml:space="preserve">Figure 4.1 — Per-condition task sequence.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Adaptation on a neutral grey field, 60 s, extended to 120 s when polarity switches</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Reading: standardised passage in the active condition; exposure window for ocular metrics</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Comprehension: multiple-choice items assessing gist, inference and detail</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Display perception (comfort, clarity) and five-item visual-fatigue VAS, 0–10</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Visual search: tap every occurrence of a target word, fixed time limit</w:t>
      </w:r>
    </w:p>
    <w:p>
      <w:pPr>
        <w:keepNext/>
        <w:spacing w:after="0" w:before="0" w:line="16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Go/no-go reaction time: dot at random screen locations on the active background</w:t>
      </w:r>
    </w:p>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Passages are matched for genre, length and readability, and passage assignment is counterbalanced independently of condition so passage difficulty is orthogonal to display condition. A self-paced rest break follows every two conditions, and no performance feedback is given, so effort is not differentially modulated across conditions. The reaction-time target is achromatic and defined relative to the active background, black on light fields and white on dark ones, with the chromatic set as distractors, so target contrast is maximal and identical in both polarities and no hue coincides with the text-colour manipulation.</w:t>
      </w:r>
    </w:p>
    <w:p>
      <w:pPr>
        <w:spacing w:after="0" w:line="360"/>
        <w:ind w:firstLine="360"/>
        <w:jc w:val="both"/>
      </w:pPr>
      <w:r>
        <w:rPr>
          <w:rFonts w:ascii="Times New Roman" w:cs="Times New Roman" w:eastAsia="Times New Roman" w:hAnsi="Times New Roman"/>
          <w:b/>
          <w:bCs/>
          <w:i w:val="false"/>
          <w:iCs w:val="false"/>
          <w:sz w:val="24"/>
          <w:szCs w:val="24"/>
        </w:rPr>
        <w:t xml:space="preserve">Pilot and feasibility gate.</w:t>
      </w:r>
      <w:r>
        <w:rPr>
          <w:rFonts w:ascii="Times New Roman" w:cs="Times New Roman" w:eastAsia="Times New Roman" w:hAnsi="Times New Roman"/>
          <w:b w:val="false"/>
          <w:bCs w:val="false"/>
          <w:i w:val="false"/>
          <w:iCs w:val="false"/>
          <w:sz w:val="24"/>
          <w:szCs w:val="24"/>
        </w:rPr>
        <w:t xml:space="preserve"> A protocol simulation over 2,000 synthetic participants, using reading rates from the published meta-analytic distribution for adult non-fiction reading and the instrument's own timing constants, estimates a median sitting of approximately 75 minutes at the present reading length and 93 minutes at the three-minute exposure proposed in §4.5, with the ninety-fifth percentile below 110 minutes in both cases. A pilot of ten participants will nevertheless precede the main study, and the pre-specified criteria for retaining the two-session structure are a median duration of not more than 120 minutes, no more than one withdrawal in ten, and a face-presence ratio of at least 0.90 in at least 90 per cent of condition-runs; if any is not met, each illumination level is divided into two sittings of five conditions, preserving the counterbalancing scheme and the global serial-position record.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4.7 Counterbalancing</w:t>
      </w:r>
    </w:p>
    <w:p>
      <w:pPr>
        <w:spacing w:after="0" w:line="360"/>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driven by the vigilance decrement and accumulating fatigue, and first-order carryover, notably the light-adaptation transient imposed by a polarity switch. A balanced Williams-type Latin square over the ten conditions addresses both, since each condition occupies each serial position equally often across a complete block and precedes and follows every other equally often. Participants are assigned to rows by sequential enrolment index, complete balance being achieved in blocks of ten. The second illumination block advances the row by one, so a participant does not meet the conditions in the same serial order twice: reusing the row would let a position effect masquerade as a condition effect in the same direction in both sessions, whereas advancing it preserves complete balance since every row is still used once.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Illumination order is counterbalanced orthogonally to that row, which requires care: assigning dim-first to odd enrolment numbers would not be orthogonal, because the row is the enrolment index modulo ten and two divides ten, so the row would determine the order entirely. Order is therefore alternated by parity and inverted after each completed block of ten. This splits dim-first and moderate-first five to five within every block, so order is confounded with neither the condition row nor recruitment date, and pairs each row with both orders once across twenty participants — balance completing at n = 20, which divides 130.</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4.8 Variables and outcome measures</w:t>
      </w:r>
    </w:p>
    <w:p>
      <w:pPr>
        <w:spacing w:after="0" w:line="360"/>
        <w:jc w:val="both"/>
      </w:pPr>
      <w:r>
        <w:rPr>
          <w:rFonts w:ascii="Times New Roman" w:cs="Times New Roman" w:eastAsia="Times New Roman" w:hAnsi="Times New Roman"/>
          <w:b w:val="false"/>
          <w:bCs w:val="false"/>
          <w:i w:val="false"/>
          <w:iCs w:val="false"/>
          <w:sz w:val="24"/>
          <w:szCs w:val="24"/>
        </w:rPr>
        <w:t xml:space="preserve">The primary outcome is the incomplete-blink ratio during the reading task, analysed per condition, and the principal secondary outcome is the change in CVS-Q score from session baseline. All remaining measures are secondary or exploratory, while PERCLOS, head pose, face-presence ratio and achieved sampling rate are covariates or data-quality indices rather than outcomes. Confirmatory inference is confined to the primary outcome; secondary outcomes are reported with confidence intervals and interpreted as supportive, with multiplicity control applied within each outcome family. Independent variables are display polarity, text colour and ambient illumination; covariates comprise serial position, illumination order, session index, measured ambient illuminance and display luminance, computed contrast metrics, PERCLOS, achieved sampling rate, refractive and binocular status, and the profiling variables. The dependent measures, grouped by the domain each addresses, are summarised in Table 4.5.</w:t>
      </w:r>
    </w:p>
    <w:p>
      <w:pPr>
        <w:spacing w:after="0" w:line="360"/>
        <w:ind w:firstLine="360"/>
        <w:jc w:val="both"/>
      </w:pPr>
      <w:r>
        <w:rPr>
          <w:rFonts w:ascii="Times New Roman" w:cs="Times New Roman" w:eastAsia="Times New Roman" w:hAnsi="Times New Roman"/>
          <w:b/>
          <w:bCs/>
          <w:i w:val="false"/>
          <w:iCs w:val="false"/>
          <w:sz w:val="24"/>
          <w:szCs w:val="24"/>
        </w:rPr>
        <w:t xml:space="preserve">Table 4.5 — Dependent variables.</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352"/>
        <w:gridCol w:w="6719"/>
      </w:tblGrid>
      <w:tr>
        <w:trPr>
          <w:tblHeader/>
        </w:trPr>
        <w:tc>
          <w:tcPr>
            <w:tcW w:type="dxa" w:w="235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Domain</w:t>
            </w:r>
          </w:p>
        </w:tc>
        <w:tc>
          <w:tcPr>
            <w:tcW w:type="dxa" w:w="671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Measures</w:t>
            </w:r>
          </w:p>
        </w:tc>
      </w:tr>
      <w:tr>
        <w:tc>
          <w:tcPr>
            <w:tcW w:type="dxa" w:w="23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Ocular behaviour (objective)</w:t>
            </w:r>
          </w:p>
        </w:tc>
        <w:tc>
          <w:tcPr>
            <w:tcW w:type="dxa" w:w="671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Incomplete-blink ratio (primary); blink rate; inter-blink interval and variability; within-condition half bins</w:t>
            </w:r>
          </w:p>
        </w:tc>
      </w:tr>
      <w:tr>
        <w:tc>
          <w:tcPr>
            <w:tcW w:type="dxa" w:w="23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Drowsiness and data quality</w:t>
            </w:r>
          </w:p>
        </w:tc>
        <w:tc>
          <w:tcPr>
            <w:tcW w:type="dxa" w:w="671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 and long-closure events; head pose and stability; face-presence ratio; achieved sampling rate</w:t>
            </w:r>
          </w:p>
        </w:tc>
      </w:tr>
      <w:tr>
        <w:tc>
          <w:tcPr>
            <w:tcW w:type="dxa" w:w="23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Subjective fatigue</w:t>
            </w:r>
          </w:p>
        </w:tc>
        <w:tc>
          <w:tcPr>
            <w:tcW w:type="dxa" w:w="671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CVS-Q score and change from baseline (key secondary) (Seguí et al., 2015); five-item visual-fatigue VAS (0–10) per condition</w:t>
            </w:r>
          </w:p>
        </w:tc>
      </w:tr>
      <w:tr>
        <w:tc>
          <w:tcPr>
            <w:tcW w:type="dxa" w:w="23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Perceived display quality</w:t>
            </w:r>
          </w:p>
        </w:tc>
        <w:tc>
          <w:tcPr>
            <w:tcW w:type="dxa" w:w="671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Display comfort and text clarity (0–100) per condition</w:t>
            </w:r>
          </w:p>
        </w:tc>
      </w:tr>
      <w:tr>
        <w:tc>
          <w:tcPr>
            <w:tcW w:type="dxa" w:w="23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Cognitive workload</w:t>
            </w:r>
          </w:p>
        </w:tc>
        <w:tc>
          <w:tcPr>
            <w:tcW w:type="dxa" w:w="671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NASA-TLX, six dimensions, once per session (Hart &amp; Staveland, 1988)</w:t>
            </w:r>
          </w:p>
        </w:tc>
      </w:tr>
      <w:tr>
        <w:tc>
          <w:tcPr>
            <w:tcW w:type="dxa" w:w="23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Task performance (objective)</w:t>
            </w:r>
          </w:p>
        </w:tc>
        <w:tc>
          <w:tcPr>
            <w:tcW w:type="dxa" w:w="671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Reading rate; comprehension accuracy and response time; visual-search accuracy, misses, false detections, efficiency; reaction-time mean, SD, coefficient of variation, lapse rate, anticipations, d′ and criterion</w:t>
            </w:r>
          </w:p>
        </w:tc>
      </w:tr>
    </w:tbl>
    <w:p>
      <w:pPr>
        <w:spacing w:after="4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4.9 Statistical analysis</w:t>
      </w:r>
    </w:p>
    <w:p>
      <w:pPr>
        <w:spacing w:after="0" w:line="360"/>
        <w:jc w:val="both"/>
      </w:pPr>
      <w:r>
        <w:rPr>
          <w:rFonts w:ascii="Times New Roman" w:cs="Times New Roman" w:eastAsia="Times New Roman" w:hAnsi="Times New Roman"/>
          <w:b w:val="false"/>
          <w:bCs w:val="false"/>
          <w:i w:val="false"/>
          <w:iCs w:val="false"/>
          <w:sz w:val="24"/>
          <w:szCs w:val="24"/>
        </w:rPr>
        <w:t xml:space="preserve">The confirmatory analysis is a mixed-effects model of the primary outcome with fixed effects for polarity, text colour, ambient illumination, their two- and three-way interactions, serial position and illumination order. Because the incomplete-blink ratio is a bounded proportion, it will be modelled on the logit scale, or by a beta or binomial mixed model, rather than as an untransformed linear outcome. The random structure follows the split-plot design: a random intercept for participant and one for session nested within participant, with a random slope for polarity where the data support it; where a maximal structure fails to converge it will be reduced in a pre-specified order, random slopes first and then the session intercept, and the reduction reported. The primary contrast is tested at α = 0.05, and the three-way interaction is exploratory given its lower power.</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For Objective 2, two nested model families are compared: one specifying colour as a categorical factor, the other specifying luminance contrast as a continuous predictor with colour retained to capture residual hue effects, so that comparative fit and the size of residual hue terms quantify the contribution of each. Moderation (Objective 3) is tested by entering profiling variables as between-participant terms with condition-by-moderator interactions, and agreement between automated and manual blink classification (Objective 4) is analysed as specified in §4.5. Ordinal cumulative-link models are used for VAS and Likert-type outcomes, binomial generalised mixed models for accuracy, and signal-detection indices are treated hierarchically, being unstable at small per-condition trial counts. Sensitivity analyses re-fit models excluding conditions flagged for disengagement or poor data quality, and with PERCLOS as a covariate to separate visual fatigue from sleepiness. Residual diagnostics, multiplicity control and effect sizes with 95 per cent confidence intervals are reported throughout.</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4.10 Ethical considerations</w:t>
      </w:r>
    </w:p>
    <w:p>
      <w:pPr>
        <w:spacing w:after="0" w:line="360"/>
        <w:jc w:val="both"/>
      </w:pPr>
      <w:r>
        <w:rPr>
          <w:rFonts w:ascii="Times New Roman" w:cs="Times New Roman" w:eastAsia="Times New Roman" w:hAnsi="Times New Roman"/>
          <w:b w:val="false"/>
          <w:bCs w:val="false"/>
          <w:i w:val="false"/>
          <w:iCs w:val="false"/>
          <w:sz w:val="24"/>
          <w:szCs w:val="24"/>
        </w:rPr>
        <w:t xml:space="preserve">Approval will be obtained from the Institutional Ethics Committee of Assam down town University before recruitment, and written informed consent will be taken. Camera-based measurement is consented separately from participation itself and is refusable without affecting it: a participant who declines contributes every non-camera measure and remains fully enrolled, and participants may withdraw at any time.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By default no image or video leaves the device, the camera producing numeric measures while the frames are discarded as processed. Two purposes require imagery, and each is a further independent grant defaulting to refusal — a photograph at the start and end of a session, documenting seating distance and room lighting so that setup compliance is evidenced rather than asserted; and a short reading-task video segment from the validation subsample, without which Objective 4 cannot be met, since criterion validity requires material a human assessor can code frame by frame. Neither grant implies the other, and neither is implied by consent to numeric measurement. The permission in force at capture is stored with each file, so a recording is never separable from its basis, and retained media are held apart from the research dataset and deletable independently of it.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Identifiable enrolment records are stored separately from the de-identified dataset and linked only by enrolment code, with access restricted to the researcher and the supervisor(s); research data will be retained for </w:t>
      </w:r>
      <w:r>
        <w:rPr>
          <w:rFonts w:ascii="Times New Roman" w:cs="Times New Roman" w:eastAsia="Times New Roman" w:hAnsi="Times New Roman"/>
          <w:b w:val="false"/>
          <w:bCs w:val="false"/>
          <w:i w:val="false"/>
          <w:iCs w:val="false"/>
          <w:sz w:val="24"/>
          <w:szCs w:val="24"/>
          <w:highlight w:val="yellow"/>
          <w:highlightCs w:val="yellow"/>
        </w:rPr>
        <w:t xml:space="preserve">[insert institutional retention period]</w:t>
      </w:r>
      <w:r>
        <w:rPr>
          <w:rFonts w:ascii="Times New Roman" w:cs="Times New Roman" w:eastAsia="Times New Roman" w:hAnsi="Times New Roman"/>
          <w:b w:val="false"/>
          <w:bCs w:val="false"/>
          <w:i w:val="false"/>
          <w:iCs w:val="false"/>
          <w:sz w:val="24"/>
          <w:szCs w:val="24"/>
        </w:rPr>
        <w:t xml:space="preserve"> years in accordance with institutional policy and then securely destroyed. Incidental findings at screening — reduced acuity, uncorrected refractive error, binocular anomaly or colour-vision deficiency — will be recorded and communicated with written advice to seek a full optometric or ophthalmological examination. Participants will receive </w:t>
      </w:r>
      <w:r>
        <w:rPr>
          <w:rFonts w:ascii="Times New Roman" w:cs="Times New Roman" w:eastAsia="Times New Roman" w:hAnsi="Times New Roman"/>
          <w:b w:val="false"/>
          <w:bCs w:val="false"/>
          <w:i w:val="false"/>
          <w:iCs w:val="false"/>
          <w:sz w:val="24"/>
          <w:szCs w:val="24"/>
          <w:highlight w:val="yellow"/>
          <w:highlightCs w:val="yellow"/>
        </w:rPr>
        <w:t xml:space="preserve">[insert institutional position on compensation]</w:t>
      </w:r>
      <w:r>
        <w:rPr>
          <w:rFonts w:ascii="Times New Roman" w:cs="Times New Roman" w:eastAsia="Times New Roman" w:hAnsi="Times New Roman"/>
          <w:b w:val="false"/>
          <w:bCs w:val="false"/>
          <w:i w:val="false"/>
          <w:iCs w:val="false"/>
          <w:sz w:val="24"/>
          <w:szCs w:val="24"/>
        </w:rPr>
        <w:t xml:space="preserve">, set at a level that does not constitute undue inducement. No intervention with therapeutic intent is administered, and exposure durations are comparable to habitual device use.</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5: EXPECTED OUTCOMES AND CONCLUSION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5.1 Expected outcomes and significance</w:t>
      </w:r>
    </w:p>
    <w:p>
      <w:pPr>
        <w:spacing w:after="0" w:line="360"/>
        <w:jc w:val="both"/>
      </w:pPr>
      <w:r>
        <w:rPr>
          <w:rFonts w:ascii="Times New Roman" w:cs="Times New Roman" w:eastAsia="Times New Roman" w:hAnsi="Times New Roman"/>
          <w:b w:val="false"/>
          <w:bCs w:val="false"/>
          <w:i w:val="false"/>
          <w:iCs w:val="false"/>
          <w:sz w:val="24"/>
          <w:szCs w:val="24"/>
        </w:rPr>
        <w:t xml:space="preserve">The study is expected to yield quantified effects, with confidence intervals, of display polarity, text colour and ambient illumination on subjective visual fatigue, ocular behaviour, cognitive workload and task performance, and, to the best of the available evidence, to provide among the first estimates of the polarity-by-colour interaction on fatigue outcomes and to determine whether the positive-polarity advantage extends from brief legibility tasks to hour-scale reading. Because the contrast ordering of colours reverses across polarity, the results are expected to indicate how far colour-related effects are mediated by luminance contrast rather than hue: a crossover interaction would support contrast mediation and a preserved ordering residual hue-specific effects, with contrast expected to account for most colour-related variance and red a candidate exception. Characterising the polarity-by-illumination interaction is expected to indicate whether negative polarity is specifically costly under dim domestic lighting, where dark mode is most used and most advocated. The study will further identify the configurations that minimise and maximise fatigue, indicate whether a polarity-blind contrast criterion adequately predicts measured readability, and produce an account of subjective–objective correspondence together with a validated instrument.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These findings map onto interface and product design, giving empirically grounded specification of text presentation and dark-mode implementation for reading applications, e-readers, e-learning platforms and operating-system themes, and they bear on accessibility standards by indicating whether and how polarity must enter a contrast criterion. For occupational and public health, display configuration is a preventive measure that costs nothing and can be deployed at population scale for a condition affecting roughly seven in ten screen users. In education the work informs the configuration of tablet-based learning materials; for optometric practice it provides actionable device-configuration advice where practitioners are documented to lack quality evidence; and methodologically, a scalable instrument relieves the annotation bottleneck that has confined this literature to small samples.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5.2 Limitations and delimitations</w:t>
      </w:r>
    </w:p>
    <w:p>
      <w:pPr>
        <w:spacing w:after="0" w:line="360"/>
        <w:jc w:val="both"/>
      </w:pPr>
      <w:r>
        <w:rPr>
          <w:rFonts w:ascii="Times New Roman" w:cs="Times New Roman" w:eastAsia="Times New Roman" w:hAnsi="Times New Roman"/>
          <w:b w:val="false"/>
          <w:bCs w:val="false"/>
          <w:i w:val="false"/>
          <w:iCs w:val="false"/>
          <w:sz w:val="24"/>
          <w:szCs w:val="24"/>
        </w:rPr>
        <w:t xml:space="preserve">Polarity and luminance contrast are not fully orthogonal, because chromatic pigments differ intrinsically in luminance and contrast cannot be equalised across polarity while the colour set is held fixed; this is mitigated by measuring and modelling contrast, and deliberately exploited as a crossover test, but it constrains fully independent causal attribution. Camera-based measurement is screening-grade, lower in spatial accuracy and sampling rate than infrared eye tracking and unable to measure accommodation, so gaze measures are limited to coarse zones, duration-based blink metrics are gated on achieved frame rate, and accommodative outcomes fall outside the scope of this study. The precision of the primary outcome within a single condition is bounded by the blinks that condition captures: the three-minute exposure adopted in §4.5 brings the standard error of a condition-level ratio to about 0.06, adequate for the participant-level contrasts carrying Objectives 1 and 2 but leaving individual condition estimates comparatively imprecise, and because measurement error attenuates observed effect sizes the power figures in Table 4.1 are upper bounds on what the design can detect.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manipulation cannot be blinded, since polarity and colour are visible, so expectation effects on subjective ratings cannot be excluded, although objective markers, the absence of feedback and counterbalancing mitigate this. Sessions accumulate generic fatigue and boredom alongside visual fatigue, counterbalanced, measured and modelled rather than eliminated, and administering the NASA Task Load Index once per session limits workload inference to the illumination contrast. Because illumination is manipulated between sessions, its effect is more exposed to between-session variance in time of day, sleep and circadian phase, although order is counterbalanced and covariates recorded; and PERCLOS is itself insensitive to moderate drowsiness. Findings will be specific to the device, display technology, luminance range and population studied: the sample is delimited to adults aged 18 to 35 with normal or corrected vision and no colour-vision deficiency, so presbyopic, paediatric and colour-vision-deficient populations, for whom polarity effects may differ, lie outside the present scope and are identified as future work.</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5.3 Concluding remarks</w:t>
      </w:r>
    </w:p>
    <w:p>
      <w:pPr>
        <w:spacing w:after="0" w:line="360"/>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polarity with text colour under two ecologically relevant levels of ambient light, and measuring validated symptoms alongside ocular behaviour, workload and task performance in a single instrumented protocol, it is intended to provide quantified, standards-relevant evidence on display configuration for prolonged reading, and to contribute a measurement approach that may reduce reliance on manual annotation in this field.</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REFERENCES</w:t>
      </w:r>
    </w:p>
    <w:p>
      <w:pPr>
        <w:spacing w:after="60" w:line="240"/>
        <w:ind w:left="720" w:hanging="720"/>
      </w:pPr>
      <w:r>
        <w:rPr>
          <w:rFonts w:ascii="Times New Roman" w:cs="Times New Roman" w:eastAsia="Times New Roman" w:hAnsi="Times New Roman"/>
          <w:b w:val="false"/>
          <w:bCs w:val="false"/>
          <w:i w:val="false"/>
          <w:iCs w:val="false"/>
          <w:sz w:val="24"/>
          <w:szCs w:val="24"/>
          <w:highlight w:val="yellow"/>
          <w:highlightCs w:val="yellow"/>
        </w:rPr>
        <w:t xml:space="preserve">[Authors to be completed from the publisher record]</w:t>
      </w:r>
      <w:r>
        <w:rPr>
          <w:rFonts w:ascii="Times New Roman" w:cs="Times New Roman" w:eastAsia="Times New Roman" w:hAnsi="Times New Roman"/>
          <w:b w:val="false"/>
          <w:bCs w:val="false"/>
          <w:i w:val="false"/>
          <w:iCs w:val="false"/>
          <w:sz w:val="24"/>
          <w:szCs w:val="24"/>
        </w:rPr>
        <w:t xml:space="preserve">. (2025). Effects of ambient illuminance and mobile phone screen brightness on tear film stability, visual fatigue, and blink patterns during reading. </w:t>
      </w:r>
      <w:r>
        <w:rPr>
          <w:rFonts w:ascii="Times New Roman" w:cs="Times New Roman" w:eastAsia="Times New Roman" w:hAnsi="Times New Roman"/>
          <w:b w:val="false"/>
          <w:bCs w:val="false"/>
          <w:i/>
          <w:iCs/>
          <w:sz w:val="24"/>
          <w:szCs w:val="24"/>
        </w:rPr>
        <w:t xml:space="preserve">Contact Lens and Anterior Eye</w:t>
      </w:r>
      <w:r>
        <w:rPr>
          <w:rFonts w:ascii="Times New Roman" w:cs="Times New Roman" w:eastAsia="Times New Roman" w:hAnsi="Times New Roman"/>
          <w:b w:val="false"/>
          <w:bCs w:val="false"/>
          <w:i w:val="false"/>
          <w:iCs w:val="false"/>
          <w:sz w:val="24"/>
          <w:szCs w:val="24"/>
        </w:rPr>
        <w:t xml:space="preserve">. https://doi.org/10.1016/j.clae.2025.102515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Abe, T., Mollicone, D., Basner, M., &amp; Dinges, D. F. (2014). Sleepiness and safety: Where biology needs technology. </w:t>
      </w:r>
      <w:r>
        <w:rPr>
          <w:rFonts w:ascii="Times New Roman" w:cs="Times New Roman" w:eastAsia="Times New Roman" w:hAnsi="Times New Roman"/>
          <w:b w:val="false"/>
          <w:bCs w:val="false"/>
          <w:i/>
          <w:iCs/>
          <w:sz w:val="24"/>
          <w:szCs w:val="24"/>
        </w:rPr>
        <w:t xml:space="preserve">Sleep and Biological Rhythms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w:t>
      </w:r>
      <w:r>
        <w:rPr>
          <w:rFonts w:ascii="Times New Roman" w:cs="Times New Roman" w:eastAsia="Times New Roman" w:hAnsi="Times New Roman"/>
          <w:b w:val="false"/>
          <w:bCs w:val="false"/>
          <w:i w:val="false"/>
          <w:iCs w:val="false"/>
          <w:sz w:val="24"/>
          <w:szCs w:val="24"/>
        </w:rPr>
        <w:t xml:space="preserve">(2), 74–84. https://doi.org/10.1111/sbr.12067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Abe, T. (2023). PERCLOS-based technologies for detecting drowsiness: Current evidence and future directions. </w:t>
      </w:r>
      <w:r>
        <w:rPr>
          <w:rFonts w:ascii="Times New Roman" w:cs="Times New Roman" w:eastAsia="Times New Roman" w:hAnsi="Times New Roman"/>
          <w:b w:val="false"/>
          <w:bCs w:val="false"/>
          <w:i/>
          <w:iCs/>
          <w:sz w:val="24"/>
          <w:szCs w:val="24"/>
        </w:rPr>
        <w:t xml:space="preserve">SLEEP Advances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w:t>
      </w:r>
      <w:r>
        <w:rPr>
          <w:rFonts w:ascii="Times New Roman" w:cs="Times New Roman" w:eastAsia="Times New Roman" w:hAnsi="Times New Roman"/>
          <w:b w:val="false"/>
          <w:bCs w:val="false"/>
          <w:i w:val="false"/>
          <w:iCs w:val="false"/>
          <w:sz w:val="24"/>
          <w:szCs w:val="24"/>
        </w:rPr>
        <w:t xml:space="preserve">(1), zpad006. https://doi.org/10.1093/sleepadvances/zpad006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Advanced Perceptual Contrast Algorithm. (n.d.). APCA: A candidate perceptual contrast method incorporating polarity and typographic parameters. https://git.apcacontrast.com/</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Argilés, M., Cardona, G., Pérez-Cabré, E., &amp; Rodríguez, M. (2015). Blink rate and incomplete blinks in six different controlled hard-copy and electronic reading conditions. </w:t>
      </w:r>
      <w:r>
        <w:rPr>
          <w:rFonts w:ascii="Times New Roman" w:cs="Times New Roman" w:eastAsia="Times New Roman" w:hAnsi="Times New Roman"/>
          <w:b w:val="false"/>
          <w:bCs w:val="false"/>
          <w:i/>
          <w:iCs/>
          <w:sz w:val="24"/>
          <w:szCs w:val="24"/>
        </w:rPr>
        <w:t xml:space="preserve">Investigative Ophthalmology &amp; Visual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(11), 6679–6685. https://doi.org/10.1167/iovs.15-16967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Buchner, A., &amp; Baumgartner, N. (2007). Text–background polarity affects performance irrespective of ambient illumination and colour contrast.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(7), 1036–1063. https://doi.org/10.1080/00140130701306413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Bureau of Indian Standards. (2009). IS 3646: Code of practice for interior illumination. Bureau of Indian Standards.</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Cantó-Sancho, N., Linhares, J., Ronda-Pérez, E., Franco, S., Perales, E., &amp; Seguí-Crespo, M. (2024). Cross-cultural validation into Portuguese of a questionnaire to assess computer vision syndrome in workers exposed to digital devices. </w:t>
      </w:r>
      <w:r>
        <w:rPr>
          <w:rFonts w:ascii="Times New Roman" w:cs="Times New Roman" w:eastAsia="Times New Roman" w:hAnsi="Times New Roman"/>
          <w:b w:val="false"/>
          <w:bCs w:val="false"/>
          <w:i/>
          <w:iCs/>
          <w:sz w:val="24"/>
          <w:szCs w:val="24"/>
        </w:rPr>
        <w:t xml:space="preserve">Arquivos Brasileiros de Oftalmologia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87</w:t>
      </w:r>
      <w:r>
        <w:rPr>
          <w:rFonts w:ascii="Times New Roman" w:cs="Times New Roman" w:eastAsia="Times New Roman" w:hAnsi="Times New Roman"/>
          <w:b w:val="false"/>
          <w:bCs w:val="false"/>
          <w:i w:val="false"/>
          <w:iCs w:val="false"/>
          <w:sz w:val="24"/>
          <w:szCs w:val="24"/>
        </w:rPr>
        <w:t xml:space="preserve">(6), e20220256. https://doi.org/10.5935/0004-2749.2022-0256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Cardona, G., García, C., Serés, C., Vilaseca, M., &amp; Gispets, J. (2011). Blink rate, blink amplitude, and tear film integrity during dynamic visual display terminal tasks. </w:t>
      </w:r>
      <w:r>
        <w:rPr>
          <w:rFonts w:ascii="Times New Roman" w:cs="Times New Roman" w:eastAsia="Times New Roman" w:hAnsi="Times New Roman"/>
          <w:b w:val="false"/>
          <w:bCs w:val="false"/>
          <w:i/>
          <w:iCs/>
          <w:sz w:val="24"/>
          <w:szCs w:val="24"/>
        </w:rPr>
        <w:t xml:space="preserve">Current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36</w:t>
      </w:r>
      <w:r>
        <w:rPr>
          <w:rFonts w:ascii="Times New Roman" w:cs="Times New Roman" w:eastAsia="Times New Roman" w:hAnsi="Times New Roman"/>
          <w:b w:val="false"/>
          <w:bCs w:val="false"/>
          <w:i w:val="false"/>
          <w:iCs w:val="false"/>
          <w:sz w:val="24"/>
          <w:szCs w:val="24"/>
        </w:rPr>
        <w:t xml:space="preserve">(3), 190–197. https://doi.org/10.3109/02713683.2010.544442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Ccami-Bernal, F., Soriano-Moreno, D. R., Romero-Robles, M. A., Barriga-Chambi, F., Tuco, K. G., Castro-Diaz, S. D., Nuñez-Lupaca, J. N., Pacheco-Mendoza, J., Galvez-Olortegui, T., &amp; Benites-Zapata, V. A. (2024). Prevalence of computer vision syndrome: A systematic review and meta-analysis. </w:t>
      </w:r>
      <w:r>
        <w:rPr>
          <w:rFonts w:ascii="Times New Roman" w:cs="Times New Roman" w:eastAsia="Times New Roman" w:hAnsi="Times New Roman"/>
          <w:b w:val="false"/>
          <w:bCs w:val="false"/>
          <w:i/>
          <w:iCs/>
          <w:sz w:val="24"/>
          <w:szCs w:val="24"/>
        </w:rPr>
        <w:t xml:space="preserve">Journal of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(1), 100482. https://doi.org/10.1016/j.optom.2023.100482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Delgado, P., Vargas, C., Ackerman, R., &amp; Salmerón, L. (2018). Don't throw away your printed books: A meta-analysis on the effects of reading media on reading comprehension. </w:t>
      </w:r>
      <w:r>
        <w:rPr>
          <w:rFonts w:ascii="Times New Roman" w:cs="Times New Roman" w:eastAsia="Times New Roman" w:hAnsi="Times New Roman"/>
          <w:b w:val="false"/>
          <w:bCs w:val="false"/>
          <w:i/>
          <w:iCs/>
          <w:sz w:val="24"/>
          <w:szCs w:val="24"/>
        </w:rPr>
        <w:t xml:space="preserve">Educational Research Review</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w:t>
      </w:r>
      <w:r>
        <w:rPr>
          <w:rFonts w:ascii="Times New Roman" w:cs="Times New Roman" w:eastAsia="Times New Roman" w:hAnsi="Times New Roman"/>
          <w:b w:val="false"/>
          <w:bCs w:val="false"/>
          <w:i w:val="false"/>
          <w:iCs w:val="false"/>
          <w:sz w:val="24"/>
          <w:szCs w:val="24"/>
        </w:rPr>
        <w:t xml:space="preserve">, 23–38. https://doi.org/10.1016/j.edurev.2018.09.003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Dobres, J., Chahine, N., Reimer, B., Gould, D., Mehler, B., &amp; Coughlin, J. F. (2016). Utilising psychophysical techniques to investigate the effects of age, typeface design, size and display polarity on glance legibility.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59</w:t>
      </w:r>
      <w:r>
        <w:rPr>
          <w:rFonts w:ascii="Times New Roman" w:cs="Times New Roman" w:eastAsia="Times New Roman" w:hAnsi="Times New Roman"/>
          <w:b w:val="false"/>
          <w:bCs w:val="false"/>
          <w:i w:val="false"/>
          <w:iCs w:val="false"/>
          <w:sz w:val="24"/>
          <w:szCs w:val="24"/>
        </w:rPr>
        <w:t xml:space="preserve">(10), 1377–1391. https://doi.org/10.1080/00140139.2015.1137637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Dobres, J., Chahine, N., &amp; Reimer, B. (2017). Effects of ambient illumination, contrast polarity, and letter size on text legibility under glance-like reading. </w:t>
      </w:r>
      <w:r>
        <w:rPr>
          <w:rFonts w:ascii="Times New Roman" w:cs="Times New Roman" w:eastAsia="Times New Roman" w:hAnsi="Times New Roman"/>
          <w:b w:val="false"/>
          <w:bCs w:val="false"/>
          <w:i/>
          <w:iCs/>
          <w:sz w:val="24"/>
          <w:szCs w:val="24"/>
        </w:rPr>
        <w:t xml:space="preserve">Applied 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60</w:t>
      </w:r>
      <w:r>
        <w:rPr>
          <w:rFonts w:ascii="Times New Roman" w:cs="Times New Roman" w:eastAsia="Times New Roman" w:hAnsi="Times New Roman"/>
          <w:b w:val="false"/>
          <w:bCs w:val="false"/>
          <w:i w:val="false"/>
          <w:iCs w:val="false"/>
          <w:sz w:val="24"/>
          <w:szCs w:val="24"/>
        </w:rPr>
        <w:t xml:space="preserve">, 68–73. https://doi.org/10.1016/j.apergo.2016.11.001</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Fan, Q., Xie, J., Dong, Z., &amp; Wang, Y. (2024). The effect of ambient illumination and text color on visual fatigue under negative polarity.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24</w:t>
      </w:r>
      <w:r>
        <w:rPr>
          <w:rFonts w:ascii="Times New Roman" w:cs="Times New Roman" w:eastAsia="Times New Roman" w:hAnsi="Times New Roman"/>
          <w:b w:val="false"/>
          <w:bCs w:val="false"/>
          <w:i w:val="false"/>
          <w:iCs w:val="false"/>
          <w:sz w:val="24"/>
          <w:szCs w:val="24"/>
        </w:rPr>
        <w:t xml:space="preserve">(11), 3516. https://doi.org/10.3390/s24113516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Fjaervoll, K., Fjaervoll, H., Magno, M., Nøland, S. T., Dartt, D. A., Vehof, J., &amp; Utheim, T. P. (2022). Review on the possible pathophysiological mechanisms underlying visual display terminal-associated dry eye disease.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(8), 861–877. https://doi.org/10.1111/aos.15150</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Hart, S. G., &amp; Staveland, L. E. (1988). Development of NASA-TLX (Task Load Index): Results of empirical and theoretical research. In P. A. Hancock &amp; N. Meshkati (Eds.), </w:t>
      </w:r>
      <w:r>
        <w:rPr>
          <w:rFonts w:ascii="Times New Roman" w:cs="Times New Roman" w:eastAsia="Times New Roman" w:hAnsi="Times New Roman"/>
          <w:b w:val="false"/>
          <w:bCs w:val="false"/>
          <w:i/>
          <w:iCs/>
          <w:sz w:val="24"/>
          <w:szCs w:val="24"/>
        </w:rPr>
        <w:t xml:space="preserve">Human mental workload</w:t>
      </w:r>
      <w:r>
        <w:rPr>
          <w:rFonts w:ascii="Times New Roman" w:cs="Times New Roman" w:eastAsia="Times New Roman" w:hAnsi="Times New Roman"/>
          <w:b w:val="false"/>
          <w:bCs w:val="false"/>
          <w:i w:val="false"/>
          <w:iCs w:val="false"/>
          <w:sz w:val="24"/>
          <w:szCs w:val="24"/>
        </w:rPr>
        <w:t xml:space="preserve"> (Advances in Psychology, Vol. 52, pp. 139–183). North-Holland.</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Hirota, M., Uozato, H., Kawamorita, T., Shibata, Y., &amp; Yamamoto, S. (2013). Effect of incomplete blinking on tear film stability.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(7), 650–657. https://doi.org/10.1097/OPX.0b013e31829962ec</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Jackson, M. L., Raj, S., Croft, R. J., Hayley, A. C., Downey, L. A., Kennedy, G. A., &amp; Howard, M. E. (2016). Slow eyelid closure as a measure of driver drowsiness and its relationship to performance. </w:t>
      </w:r>
      <w:r>
        <w:rPr>
          <w:rFonts w:ascii="Times New Roman" w:cs="Times New Roman" w:eastAsia="Times New Roman" w:hAnsi="Times New Roman"/>
          <w:b w:val="false"/>
          <w:bCs w:val="false"/>
          <w:i/>
          <w:iCs/>
          <w:sz w:val="24"/>
          <w:szCs w:val="24"/>
        </w:rPr>
        <w:t xml:space="preserve">Traffic Injury Prevention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(3), 251–257. https://doi.org/10.1080/15389588.2015.1055327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Jiménez, R., Redondo, B., Molina, R., Martínez-Domingo, M. Á., Hernández-Andrés, J., &amp; Vera, J. (2020). Short-term effects of text-background color combinations on the dynamics of the accommodative response. </w:t>
      </w:r>
      <w:r>
        <w:rPr>
          <w:rFonts w:ascii="Times New Roman" w:cs="Times New Roman" w:eastAsia="Times New Roman" w:hAnsi="Times New Roman"/>
          <w:b w:val="false"/>
          <w:bCs w:val="false"/>
          <w:i/>
          <w:iCs/>
          <w:sz w:val="24"/>
          <w:szCs w:val="24"/>
        </w:rPr>
        <w:t xml:space="preserve">Vision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166</w:t>
      </w:r>
      <w:r>
        <w:rPr>
          <w:rFonts w:ascii="Times New Roman" w:cs="Times New Roman" w:eastAsia="Times New Roman" w:hAnsi="Times New Roman"/>
          <w:b w:val="false"/>
          <w:bCs w:val="false"/>
          <w:i w:val="false"/>
          <w:iCs w:val="false"/>
          <w:sz w:val="24"/>
          <w:szCs w:val="24"/>
        </w:rPr>
        <w:t xml:space="preserve">, 33–42. https://doi.org/10.1016/j.visres.2019.11.006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Kamøy, B., Magno, M., Nøland, S. T., Moe, M. C., Petrovski, G., Vehof, J., &amp; Utheim, T. P. (2022). Video display terminal use and dry eye: Preventive measures and future perspectives.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(7), 723–739. https://doi.org/10.1111/aos.15105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Kaur, K., Gurnani, B., Nayak, S., Deori, N., Kaur, S., Jethani, J., Singh, D., Agarkar, S., Hussaindeen, J. R., Sukhija, J., &amp; Mishra, D. (2022). Digital eye strain: A comprehensive review. </w:t>
      </w:r>
      <w:r>
        <w:rPr>
          <w:rFonts w:ascii="Times New Roman" w:cs="Times New Roman" w:eastAsia="Times New Roman" w:hAnsi="Times New Roman"/>
          <w:b w:val="false"/>
          <w:bCs w:val="false"/>
          <w:i/>
          <w:iCs/>
          <w:sz w:val="24"/>
          <w:szCs w:val="24"/>
        </w:rPr>
        <w:t xml:space="preserve">Ophthalmology and Therapy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11</w:t>
      </w:r>
      <w:r>
        <w:rPr>
          <w:rFonts w:ascii="Times New Roman" w:cs="Times New Roman" w:eastAsia="Times New Roman" w:hAnsi="Times New Roman"/>
          <w:b w:val="false"/>
          <w:bCs w:val="false"/>
          <w:i w:val="false"/>
          <w:iCs w:val="false"/>
          <w:sz w:val="24"/>
          <w:szCs w:val="24"/>
        </w:rPr>
        <w:t xml:space="preserve">(5), 1655–1680. https://doi.org/10.1007/s40123-022-00540-9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Klinke, T., Hannak, W., Böning, K., &amp; Jakstat, H. (2024). A comparative study of the sensitivity and specificity of the Ishihara test with various displays. </w:t>
      </w:r>
      <w:r>
        <w:rPr>
          <w:rFonts w:ascii="Times New Roman" w:cs="Times New Roman" w:eastAsia="Times New Roman" w:hAnsi="Times New Roman"/>
          <w:b w:val="false"/>
          <w:bCs w:val="false"/>
          <w:i/>
          <w:iCs/>
          <w:sz w:val="24"/>
          <w:szCs w:val="24"/>
        </w:rPr>
        <w:t xml:space="preserve">International Dental Journal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74</w:t>
      </w:r>
      <w:r>
        <w:rPr>
          <w:rFonts w:ascii="Times New Roman" w:cs="Times New Roman" w:eastAsia="Times New Roman" w:hAnsi="Times New Roman"/>
          <w:b w:val="false"/>
          <w:bCs w:val="false"/>
          <w:i w:val="false"/>
          <w:iCs w:val="false"/>
          <w:sz w:val="24"/>
          <w:szCs w:val="24"/>
        </w:rPr>
        <w:t xml:space="preserve">(4), 892–896. https://doi.org/10.1016/j.identj.2023.12.009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Lin, C., Ji, Z., &amp; Lin, Y. (2024). Optimum display luminance and contrast polarity of desktop head-up display under office lighting level based on visual ergonomic study.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67</w:t>
      </w:r>
      <w:r>
        <w:rPr>
          <w:rFonts w:ascii="Times New Roman" w:cs="Times New Roman" w:eastAsia="Times New Roman" w:hAnsi="Times New Roman"/>
          <w:b w:val="false"/>
          <w:bCs w:val="false"/>
          <w:i w:val="false"/>
          <w:iCs w:val="false"/>
          <w:sz w:val="24"/>
          <w:szCs w:val="24"/>
        </w:rPr>
        <w:t xml:space="preserve">(11), 1491–1503. https://doi.org/10.1080/00140139.2024.2339439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Mataftsi, A., Seliniotaki, A. K., Moutzouri, S., Prousali, E., Darusman, K. R., Adio, A. O., Haidich, A. B., &amp; Nischal, K. K. (2023). Digital eye strain in young screen users: A systematic review. </w:t>
      </w:r>
      <w:r>
        <w:rPr>
          <w:rFonts w:ascii="Times New Roman" w:cs="Times New Roman" w:eastAsia="Times New Roman" w:hAnsi="Times New Roman"/>
          <w:b w:val="false"/>
          <w:bCs w:val="false"/>
          <w:i/>
          <w:iCs/>
          <w:sz w:val="24"/>
          <w:szCs w:val="24"/>
        </w:rPr>
        <w:t xml:space="preserve">Preventive Medicine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170</w:t>
      </w:r>
      <w:r>
        <w:rPr>
          <w:rFonts w:ascii="Times New Roman" w:cs="Times New Roman" w:eastAsia="Times New Roman" w:hAnsi="Times New Roman"/>
          <w:b w:val="false"/>
          <w:bCs w:val="false"/>
          <w:i w:val="false"/>
          <w:iCs w:val="false"/>
          <w:sz w:val="24"/>
          <w:szCs w:val="24"/>
        </w:rPr>
        <w:t xml:space="preserve">, 107493. https://doi.org/10.1016/j.ypmed.2023.107493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Piepenbrock, C., Mayr, S., &amp; Buchner, A. (2014a). Positive display polarity is particularly advantageous for small character sizes: Implications for display design.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(5), 942–951. https://doi.org/10.1177/0018720813515509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Piepenbrock, C., Mayr, S., &amp; Buchner, A. (2014b). Smaller pupil size and better proofreading performance with positive than with negative polarity displays.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57</w:t>
      </w:r>
      <w:r>
        <w:rPr>
          <w:rFonts w:ascii="Times New Roman" w:cs="Times New Roman" w:eastAsia="Times New Roman" w:hAnsi="Times New Roman"/>
          <w:b w:val="false"/>
          <w:bCs w:val="false"/>
          <w:i w:val="false"/>
          <w:iCs w:val="false"/>
          <w:sz w:val="24"/>
          <w:szCs w:val="24"/>
        </w:rPr>
        <w:t xml:space="preserve">(11), 1670–1677. https://doi.org/10.1080/00140139.2014.948496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Portello, J. K., Rosenfield, M., &amp; Chu, C. A. (2013). Blink rate, incomplete blinks and computer vision syndrome.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(5), 482–487. https://doi.org/10.1097/OPX.0b013e31828f09a7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Pucker, A. D., Kerr, A. M., Sanderson, J., &amp; Lievens, C. (2024). Digital eye strain: Updated perspectives. </w:t>
      </w:r>
      <w:r>
        <w:rPr>
          <w:rFonts w:ascii="Times New Roman" w:cs="Times New Roman" w:eastAsia="Times New Roman" w:hAnsi="Times New Roman"/>
          <w:b w:val="false"/>
          <w:bCs w:val="false"/>
          <w:i/>
          <w:iCs/>
          <w:sz w:val="24"/>
          <w:szCs w:val="24"/>
        </w:rPr>
        <w:t xml:space="preserve">Clinical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w:t>
      </w:r>
      <w:r>
        <w:rPr>
          <w:rFonts w:ascii="Times New Roman" w:cs="Times New Roman" w:eastAsia="Times New Roman" w:hAnsi="Times New Roman"/>
          <w:b w:val="false"/>
          <w:bCs w:val="false"/>
          <w:i w:val="false"/>
          <w:iCs w:val="false"/>
          <w:sz w:val="24"/>
          <w:szCs w:val="24"/>
        </w:rPr>
        <w:t xml:space="preserve">, 233–246. https://doi.org/10.2147/OPTO.S412382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Redondo, B., Jiménez, R., Vera, J., &amp; Rosenfield, M. (2025). The impact of break schedules on digital eye strain symptoms and ocular accommodation during prolonged near work. </w:t>
      </w:r>
      <w:r>
        <w:rPr>
          <w:rFonts w:ascii="Times New Roman" w:cs="Times New Roman" w:eastAsia="Times New Roman" w:hAnsi="Times New Roman"/>
          <w:b w:val="false"/>
          <w:bCs w:val="false"/>
          <w:i/>
          <w:iCs/>
          <w:sz w:val="24"/>
          <w:szCs w:val="24"/>
        </w:rPr>
        <w:t xml:space="preserve">Experimental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258</w:t>
      </w:r>
      <w:r>
        <w:rPr>
          <w:rFonts w:ascii="Times New Roman" w:cs="Times New Roman" w:eastAsia="Times New Roman" w:hAnsi="Times New Roman"/>
          <w:b w:val="false"/>
          <w:bCs w:val="false"/>
          <w:i w:val="false"/>
          <w:iCs w:val="false"/>
          <w:sz w:val="24"/>
          <w:szCs w:val="24"/>
        </w:rPr>
        <w:t xml:space="preserve">, 110463. https://doi.org/10.1016/j.exer.2025.110463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Seguí, M. del M., Cabrero-García, J., Crespo, A., Verdú, J., &amp; Ronda, E. (2015). A reliable and valid questionnaire was developed to measure computer vision syndrome at the workplace. </w:t>
      </w:r>
      <w:r>
        <w:rPr>
          <w:rFonts w:ascii="Times New Roman" w:cs="Times New Roman" w:eastAsia="Times New Roman" w:hAnsi="Times New Roman"/>
          <w:b w:val="false"/>
          <w:bCs w:val="false"/>
          <w:i/>
          <w:iCs/>
          <w:sz w:val="24"/>
          <w:szCs w:val="24"/>
        </w:rPr>
        <w:t xml:space="preserve">Journal of Clinical Epidemiology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68</w:t>
      </w:r>
      <w:r>
        <w:rPr>
          <w:rFonts w:ascii="Times New Roman" w:cs="Times New Roman" w:eastAsia="Times New Roman" w:hAnsi="Times New Roman"/>
          <w:b w:val="false"/>
          <w:bCs w:val="false"/>
          <w:i w:val="false"/>
          <w:iCs w:val="false"/>
          <w:sz w:val="24"/>
          <w:szCs w:val="24"/>
        </w:rPr>
        <w:t xml:space="preserve">(6), 662–673. https://doi.org/10.1016/j.jclinepi.2015.01.015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Sethi, T., &amp; Ziat, M. (2023). Dark mode vogue: Do light-on-dark displays have measurable benefits to users?.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66</w:t>
      </w:r>
      <w:r>
        <w:rPr>
          <w:rFonts w:ascii="Times New Roman" w:cs="Times New Roman" w:eastAsia="Times New Roman" w:hAnsi="Times New Roman"/>
          <w:b w:val="false"/>
          <w:bCs w:val="false"/>
          <w:i w:val="false"/>
          <w:iCs w:val="false"/>
          <w:sz w:val="24"/>
          <w:szCs w:val="24"/>
        </w:rPr>
        <w:t xml:space="preserve">(12), 1814–1828. https://doi.org/10.1080/00140139.2022.2160879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Sheppard, A. L., &amp; Wolffsohn, J. S. (2018). Digital eye strain: Prevalence, measurement and amelioration. </w:t>
      </w:r>
      <w:r>
        <w:rPr>
          <w:rFonts w:ascii="Times New Roman" w:cs="Times New Roman" w:eastAsia="Times New Roman" w:hAnsi="Times New Roman"/>
          <w:b w:val="false"/>
          <w:bCs w:val="false"/>
          <w:i/>
          <w:iCs/>
          <w:sz w:val="24"/>
          <w:szCs w:val="24"/>
        </w:rPr>
        <w:t xml:space="preserve">BMJ Open 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w:t>
      </w:r>
      <w:r>
        <w:rPr>
          <w:rFonts w:ascii="Times New Roman" w:cs="Times New Roman" w:eastAsia="Times New Roman" w:hAnsi="Times New Roman"/>
          <w:b w:val="false"/>
          <w:bCs w:val="false"/>
          <w:i w:val="false"/>
          <w:iCs w:val="false"/>
          <w:sz w:val="24"/>
          <w:szCs w:val="24"/>
        </w:rPr>
        <w:t xml:space="preserve">(1), e000146. https://doi.org/10.1136/bmjophth-2018-000146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Singh, S., McGuinness, M. B., Anderson, A. J., &amp; Downie, L. E. (2022). Interventions for the management of computer vision syndrome: A systematic review and meta-analysis. </w:t>
      </w:r>
      <w:r>
        <w:rPr>
          <w:rFonts w:ascii="Times New Roman" w:cs="Times New Roman" w:eastAsia="Times New Roman" w:hAnsi="Times New Roman"/>
          <w:b w:val="false"/>
          <w:bCs w:val="false"/>
          <w:i/>
          <w:iCs/>
          <w:sz w:val="24"/>
          <w:szCs w:val="24"/>
        </w:rPr>
        <w:t xml:space="preserve">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129</w:t>
      </w:r>
      <w:r>
        <w:rPr>
          <w:rFonts w:ascii="Times New Roman" w:cs="Times New Roman" w:eastAsia="Times New Roman" w:hAnsi="Times New Roman"/>
          <w:b w:val="false"/>
          <w:bCs w:val="false"/>
          <w:i w:val="false"/>
          <w:iCs w:val="false"/>
          <w:sz w:val="24"/>
          <w:szCs w:val="24"/>
        </w:rPr>
        <w:t xml:space="preserve">(10), 1192–1215. https://doi.org/10.1016/j.ophtha.2022.05.009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Soukupová, T., &amp; Čech, J. (2016). Real-time eye blink detection using facial landmarks. In </w:t>
      </w:r>
      <w:r>
        <w:rPr>
          <w:rFonts w:ascii="Times New Roman" w:cs="Times New Roman" w:eastAsia="Times New Roman" w:hAnsi="Times New Roman"/>
          <w:b w:val="false"/>
          <w:bCs w:val="false"/>
          <w:i/>
          <w:iCs/>
          <w:sz w:val="24"/>
          <w:szCs w:val="24"/>
        </w:rPr>
        <w:t xml:space="preserve">Proceedings of the 21st Computer Vision Winter Workshop</w:t>
      </w:r>
      <w:r>
        <w:rPr>
          <w:rFonts w:ascii="Times New Roman" w:cs="Times New Roman" w:eastAsia="Times New Roman" w:hAnsi="Times New Roman"/>
          <w:b w:val="false"/>
          <w:bCs w:val="false"/>
          <w:i w:val="false"/>
          <w:iCs w:val="false"/>
          <w:sz w:val="24"/>
          <w:szCs w:val="24"/>
        </w:rPr>
        <w:t xml:space="preserve"> (pp. 1–8). Rimske Toplice, Slovenia.</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Tian, P., Xu, G., Han, C., Zheng, X., Zhang, K., Du, C., Wei, F., &amp; Zhang, S. (2022). Effects of paradigm color and screen brightness on visual fatigue in light environment of night based on eye tracker and EEG acquisition equipment.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(11), 4082. https://doi.org/10.3390/s22114082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Warm, J. S., Parasuraman, R., &amp; Matthews, G. (2008). Vigilance requires hard mental work and is stressful.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(3), 433–441. https://doi.org/10.1518/001872008X312152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World Wide Web Consortium. (2023). Web content accessibility guidelines (WCAG) 2.2. https://www.w3.org/TR/WCAG22/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Xie, X., Song, F., Liu, Y., Wang, S., &amp; Yu, D. (2021). Study on the effects of display color mode and luminance contrast on visual fatigue.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w:t>
      </w:r>
      <w:r>
        <w:rPr>
          <w:rFonts w:ascii="Times New Roman" w:cs="Times New Roman" w:eastAsia="Times New Roman" w:hAnsi="Times New Roman"/>
          <w:b w:val="false"/>
          <w:bCs w:val="false"/>
          <w:i w:val="false"/>
          <w:iCs w:val="false"/>
          <w:sz w:val="24"/>
          <w:szCs w:val="24"/>
        </w:rPr>
        <w:t xml:space="preserve">, 35915–35923. https://doi.org/10.1109/ACCESS.2021.3061770</w:t>
      </w:r>
    </w:p>
    <w:p>
      <w:pPr>
        <w:pBdr>
          <w:bottom w:val="single" w:color="AAAAAA" w:sz="6" w:space="1"/>
        </w:pBdr>
        <w:spacing w:after="40" w:before="0"/>
      </w:pPr>
      <w:r>
        <w:rPr>
          <w:rFonts w:ascii="Times New Roman" w:cs="Times New Roman" w:eastAsia="Times New Roman" w:hAnsi="Times New Roman"/>
          <w:sz w:val="24"/>
          <w:szCs w:val="24"/>
        </w:rPr>
        <w:t xml:space="preserve"/>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Date: ……………………………                     Signature of Scholar</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134"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40" w:before="140" w:line="36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40" w:before="100" w:line="360"/>
    </w:pPr>
    <w:rPr>
      <w:rFonts w:ascii="Times New Roman" w:cs="Times New Roman" w:eastAsia="Times New Roman" w:hAnsi="Times New Roman"/>
      <w:b/>
      <w:bCs/>
      <w:color w:val="000000"/>
      <w:sz w:val="27"/>
      <w:szCs w:val="27"/>
    </w:rPr>
  </w:style>
  <w:style w:type="paragraph" w:styleId="Heading3">
    <w:name w:val="Heading 3"/>
    <w:basedOn w:val="Normal"/>
    <w:next w:val="Normal"/>
    <w:qFormat/>
    <w:pPr>
      <w:spacing w:after="40" w:before="100" w:line="360"/>
    </w:pPr>
    <w:rPr>
      <w:rFonts w:ascii="Times New Roman" w:cs="Times New Roman" w:eastAsia="Times New Roman" w:hAnsi="Times New Roman"/>
      <w:b/>
      <w:bCs/>
      <w:color w:val="000000"/>
      <w:sz w:val="25"/>
      <w:szCs w:val="25"/>
    </w:rPr>
  </w:style>
  <w:style w:type="paragraph" w:styleId="Heading4">
    <w:name w:val="Heading 4"/>
    <w:basedOn w:val="Normal"/>
    <w:next w:val="Normal"/>
    <w:qFormat/>
    <w:pPr>
      <w:spacing w:after="40" w:before="100" w:line="360"/>
    </w:pPr>
    <w:rPr>
      <w:rFonts w:ascii="Times New Roman" w:cs="Times New Roman" w:eastAsia="Times New Roman" w:hAnsi="Times New Roman"/>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Ergonomics of Visual Perception — PhD Synopsis</dc:title>
  <dc:creator>Gyandeep Nath</dc:creator>
  <dc:description>PhD synopsis submitted to Assam down town University</dc:description>
  <cp:lastModifiedBy>Un-named</cp:lastModifiedBy>
  <cp:revision>1</cp:revision>
  <dcterms:created xsi:type="dcterms:W3CDTF">2026-08-23T06:36:38.010Z</dcterms:created>
  <dcterms:modified xsi:type="dcterms:W3CDTF">2026-08-23T06:36:38.010Z</dcterms:modified>
</cp:coreProperties>
</file>

<file path=docProps/custom.xml><?xml version="1.0" encoding="utf-8"?>
<Properties xmlns="http://schemas.openxmlformats.org/officeDocument/2006/custom-properties" xmlns:vt="http://schemas.openxmlformats.org/officeDocument/2006/docPropsVTypes"/>
</file>