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Unlike a printed page, a screen emits its own light, and almost every property of what it shows can be altered in software. Four such properties are used throughout. Display polarity describes which element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is dark text on a light background,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one, popularly "dark mode". Text colour is the hue of the letters. Luminance is the light the screen emits, and luminance contrast the brightness difference between letters and background — the property that decides whether text is easy to resolve, and not the same thing as colour difference.</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 dry or gritty eyes, blurred vision, slow refocusing, headache and neck ache — grouped as computer vision syndrome or, interchangeably, digital eye strain. Pooled across 103 cross-sectional studies and 66,577 participants, prevalence is 69.0 per cent (95% CI 62.3–75.3), rising to 76.1 per cent among university students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These symptoms arise by two routes, and separating them is what makes them measurable (Sheppard &amp; Wolffsohn, 2018). The first is focusing effort — accommodation and vergence sustained at near — which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is not measured here. The second, and the one that is, concerns the ocular surface. A blink spreads fresh tear fluid across it and draws an oily secretion from the lid margins over that fluid, which slows evaporation. Screen work reduces blink frequency and raises the proportion of blinks in which the lids approach but do not meet — incomplete blinks — leaving part of the surface unwetted,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It is therefore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not its frequency, that this study treats as primary. Mechanistic review attributes display-associated dry eye principally to impaired blinking rather than to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best-replicated finding in this literature is the positive polarity advantage: reading is better for dark text on a light field than for light text on a dark one, and the accepted explanation runs through the pupil (Figure 1.1). Text colour has been studied far less, and any manipulation of it also manipulates luminance contrast, so an apparent effect of colour may be an effect of contrast unless the two are measured separately. Ambient light drives pupil size independently of the display and so acts on the same mechanism; it is held constant here rather than manipulated. All three, and the reasons for controlling the third, are reviewed in Chapter 2.</w:t>
      </w:r>
    </w:p>
    <w:p>
      <w:pPr>
        <w:spacing w:after="140" w:line="340"/>
        <w:jc w:val="both"/>
      </w:pPr>
      <w:r>
        <w:rPr>
          <w:rFonts w:ascii="Times New Roman" w:cs="Times New Roman" w:eastAsia="Times New Roman" w:hAnsi="Times New Roman"/>
          <w:b/>
          <w:bCs/>
          <w:i w:val="false"/>
          <w:iCs w:val="false"/>
          <w:sz w:val="24"/>
          <w:szCs w:val="24"/>
        </w:rPr>
        <w:t xml:space="preserve">Figure 1.1 — The pupil-mediated account of the positive polarity advantage.</w:t>
      </w:r>
    </w:p>
    <w:p>
      <w:pPr>
        <w:spacing w:after="140" w:before="120"/>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33525"/>
                    </a:xfrm>
                    <a:prstGeom prst="rect">
                      <a:avLst/>
                    </a:prstGeom>
                  </pic:spPr>
                </pic:pic>
              </a:graphicData>
            </a:graphic>
          </wp:inline>
        </w:drawing>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no therapy examined across 45 randomised controlled trials and 4,497 participants — blue-blocking lenses included — reached high-certainty evidence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displayed stimulus is upstream of the visual load, costs nothing to change and can be deployed universally, yet is the least investigated: no located study has estimated how polarity and text colour interact, separated hue from luminance contrast, or measured a validated symptom instrument alongside the ocular marker most specific to this condition (Section 2.8). Blink completeness has moreover required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 clinician, designer or standards body therefore has no evidence base for advising how a tablet should be configured for prolonged reading.</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five text colours are chosen so that the arithmetic of contrast does experimental work. WCAG contrast falls with the text's relative luminance on a white field and rises with it on a black one, so the rank order of the chromatic conditions is exactly inverted between polarities (Table 3.3), while the achromatic pair — both 21.00:1 — varies polarity with contrast held constant. The polarity-by-colour interaction can therefore separate contrast-mediated effects from residual, hue-specific ones, and that separation matters: the ordering Fan and colleagues (2024) reported under negative polarity, red worst and yellow best, is what contrast alone predicts for those hues on black, and a single-polarity design cannot exclude it.</w:t>
      </w:r>
    </w:p>
    <w:p>
      <w:pPr>
        <w:spacing w:after="140" w:line="340"/>
        <w:jc w:val="both"/>
      </w:pPr>
      <w:r>
        <w:rPr>
          <w:rFonts w:ascii="Times New Roman" w:cs="Times New Roman" w:eastAsia="Times New Roman" w:hAnsi="Times New Roman"/>
          <w:b w:val="false"/>
          <w:bCs w:val="false"/>
          <w:i w:val="false"/>
          <w:iCs w:val="false"/>
          <w:sz w:val="24"/>
          <w:szCs w:val="24"/>
        </w:rPr>
        <w:t xml:space="preserve">Validating an automated measure of blink completeness would additionally remove the annotation bottleneck that has kept this literature small. The findings bear on interface design, on accessibility standards whose contrast criterion does not account for polarity (World Wide Web Consortium, 2023), and on optometric advice (Section 4.2).</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300 lux.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them does. The four hypotheses below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negative polarity costs more under dim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illumination being held constant, and is retained in Section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contrast ordering reverses between polarities (Table 3.3), contrast mediation predicts a matching reversal of the colour ordering and a residual hue effect predicts a consistent one,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acts through two parallel routes — optical and ocular-surface — which feed a common set of manifest outcomes. Table 1.1 sets them out and Figure 1.2 draws them; the cross-cutting influences in its final row are measured and modelled rather than assumed away.</w:t>
      </w:r>
    </w:p>
    <w:p>
      <w:pPr>
        <w:spacing w:after="140" w:line="340"/>
        <w:jc w:val="both"/>
      </w:pPr>
      <w:r>
        <w:rPr>
          <w:rFonts w:ascii="Times New Roman" w:cs="Times New Roman" w:eastAsia="Times New Roman" w:hAnsi="Times New Roman"/>
          <w:b/>
          <w:bCs/>
          <w:i w:val="false"/>
          <w:iCs w:val="false"/>
          <w:sz w:val="24"/>
          <w:szCs w:val="24"/>
        </w:rPr>
        <w:t xml:space="preserve">Figure 1.2 — The two pathways from display configuration to measured outcome.</w:t>
      </w:r>
    </w:p>
    <w:p>
      <w:pPr>
        <w:spacing w:after="140" w:before="120"/>
        <w:jc w:val="center"/>
      </w:pPr>
      <w:r>
        <w:drawing>
          <wp:inline distT="0" distB="0" distL="0" distR="0">
            <wp:extent cx="4000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9875"/>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2023; 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082"/>
        <w:gridCol w:w="2125"/>
        <w:gridCol w:w="2019"/>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08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12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20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 21</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65"/>
        <w:gridCol w:w="700"/>
        <w:gridCol w:w="700"/>
        <w:gridCol w:w="1771"/>
        <w:gridCol w:w="2592"/>
        <w:gridCol w:w="179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7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5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Section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Section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380"/>
        <w:gridCol w:w="2379"/>
        <w:gridCol w:w="1467"/>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8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3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46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That work establishes the signal and the detection of blink </w:t>
      </w:r>
      <w:r>
        <w:rPr>
          <w:rFonts w:ascii="Times New Roman" w:cs="Times New Roman" w:eastAsia="Times New Roman" w:hAnsi="Times New Roman"/>
          <w:b w:val="false"/>
          <w:bCs w:val="false"/>
          <w:i/>
          <w:iCs/>
          <w:sz w:val="24"/>
          <w:szCs w:val="24"/>
        </w:rPr>
        <w:t xml:space="preserve">events</w:t>
      </w:r>
      <w:r>
        <w:rPr>
          <w:rFonts w:ascii="Times New Roman" w:cs="Times New Roman" w:eastAsia="Times New Roman" w:hAnsi="Times New Roman"/>
          <w:b w:val="false"/>
          <w:bCs w:val="false"/>
          <w:i w:val="false"/>
          <w:iCs w:val="false"/>
          <w:sz w:val="24"/>
          <w:szCs w:val="24"/>
        </w:rPr>
        <w:t xml:space="preserve">; it does not classify a blink as incomplete. Extending it to the depth of closure — the quantity the clinical literature has obtained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 is this study's own step, and is why the classifier is validated against manual annotation rather than assumed (Section 3.5).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(Section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5811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(Section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08"/>
        <w:gridCol w:w="700"/>
        <w:gridCol w:w="700"/>
        <w:gridCol w:w="1317"/>
        <w:gridCol w:w="1044"/>
        <w:gridCol w:w="2315"/>
        <w:gridCol w:w="2042"/>
      </w:tblGrid>
      <w:tr>
        <w:trPr>
          <w:tblHeader/>
        </w:trPr>
        <w:tc>
          <w:tcPr>
            <w:tcW w:type="dxa" w:w="9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31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Conditions per participant</w:t>
            </w:r>
          </w:p>
        </w:tc>
        <w:tc>
          <w:tcPr>
            <w:tcW w:type="dxa" w:w="10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Total condition-runs</w:t>
            </w:r>
          </w:p>
        </w:tc>
        <w:tc>
          <w:tcPr>
            <w:tcW w:type="dxa" w:w="23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Ocular measure</w:t>
            </w:r>
          </w:p>
        </w:tc>
        <w:tc>
          <w:tcPr>
            <w:tcW w:type="dxa" w:w="20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Display parameter manipulated</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24</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280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Accommodation, pupil</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42</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75</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amplitude</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dynamism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patterns, tear film</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medium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10</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 blink rate, IBI, 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90775"/>
                    </a:xfrm>
                    <a:prstGeom prst="rect">
                      <a:avLst/>
                    </a:prstGeom>
                  </pic:spPr>
                </pic:pic>
              </a:graphicData>
            </a:graphic>
          </wp:inline>
        </w:drawing>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097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3.6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and among the first estimates of their interaction on fatigue outcomes — establishing whether the positive polarity advantage extends from brief legibility tasks to prolonged reading and ocular-surface outcomes. Because the contrast ordering of the colours reverses across polarity, a crossover interaction would support contrast mediation while a preserved ordering would indicate residual hue-specific effects, with red the candidate exception. The study will further identify the configurations that minimise and maximise fatigue, indicate whether a polarity-blind contrast criterion predicts measured readability, and report the automated blink measure's agreement with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is a preventive measure that costs nothing and can be deployed at population scale for a condition affecting roughly seven in ten screen users. The findings give an empirically grounded specification of text presentation and dark-mode implementation for reading applications, e-readers and operating-system themes; they bear on accessibility standards by indicating whether polarity must enter a contrast criterion; and they inform the advice optometrists give patients, an area in which practitioners are documented to lack quality evidence.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is not fully orthogonal to luminance contrast, pigments differing intrinsically in luminance, nor to mean display luminance, white rather than mean luminance being held constant;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advantage disappears when overall luminance is equalised, so what is estimated here is polarity with its attendant luminance. Contrast is measured and modelled, but causal attribution is constrained.</w:t>
      </w:r>
    </w:p>
    <w:p>
      <w:pPr>
        <w:spacing w:after="140" w:line="340"/>
        <w:jc w:val="both"/>
      </w:pPr>
      <w:r>
        <w:rPr>
          <w:rFonts w:ascii="Times New Roman" w:cs="Times New Roman" w:eastAsia="Times New Roman" w:hAnsi="Times New Roman"/>
          <w:b w:val="false"/>
          <w:bCs w:val="false"/>
          <w:i w:val="false"/>
          <w:iCs w:val="false"/>
          <w:sz w:val="24"/>
          <w:szCs w:val="24"/>
        </w:rPr>
        <w:t xml:space="preserve">Camera metrology is screening-grade: coarser and slower than infrared eye tracking, limited to gaze zones, gated on achieved frame rate, and blind to accommodation, which places accommodative outcomes outside this scope. Precision within a condition is bounded by the blinks it captures, giving a condition-level standard error near 0.06, so the power figures in Table 3.1 are upper bounds and blink counts are exported with every ratio. The manipulation cannot be blinded, leaving expectation effects on subjective ratings possible; generic fatigue and boredom are counterbalanced and modelled rather than eliminated; the NASA Task Load Index, administered once per sitting, is a descriptive session-level index rather than a contrast; and PERCLOS is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forfeits the polarity-by-room-light interaction — the form the popular claim about dark mode actually takes — places night-time reading outside scope, and prevents this study speaking to Sethi and Ziat (2023), who located the cognitive cost of negative polarity in younger adults specifically under dim conditions. The reason is measurement rather than convenience: at low illuminance the light reaching the face is dominated by the display, so camera-derived blink measures would have carried an artefact aligned with the primary independent variable (Section 2.4). The narrowing is real, and the findings hold at a single display-to-ambient ratio.</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are further specific to the device, display technology, luminance range and population studied: adults aged 18 to 35 with normal or corrected vision and no colour-vision deficiency. Presbyopic, paediatric and colour-vision-deficient populations, in whom polarity effects may differ,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performance in one instrumented protocol, it is intended to provide quantified, standards-relevant evidence on display configuration for prolonged reading, and a measurement approach that may reduce reliance on manual annotation.</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3ea49603036eb6ebe81f409cc68d9293bf2ff3.png"/><Relationship Id="rId8" Type="http://schemas.openxmlformats.org/officeDocument/2006/relationships/image" Target="media/0fe2ffdee13ccb4ec40724e0ae336b3559a1e42e.png"/><Relationship Id="rId9" Type="http://schemas.openxmlformats.org/officeDocument/2006/relationships/image" Target="media/d9072fa6b9f39e320171d4fa6a8f5f4a04b1488b.png"/><Relationship Id="rId10" Type="http://schemas.openxmlformats.org/officeDocument/2006/relationships/image" Target="media/9fe57f3c0ea9e0e0ab60525f722f55dd96e58ad7.png"/><Relationship Id="rId11" Type="http://schemas.openxmlformats.org/officeDocument/2006/relationships/image" Target="media/1d8bd1a15b684e8130e2c5c4874946e774849bf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2026-09-09T07:18:17.133Z</dcterms:created>
  <dcterms:modified xsi:type="dcterms:W3CDTF">2026-09-09T07:18:17.133Z</dcterms:modified>
</cp:coreProperties>
</file>

<file path=docProps/custom.xml><?xml version="1.0" encoding="utf-8"?>
<Properties xmlns="http://schemas.openxmlformats.org/officeDocument/2006/custom-properties" xmlns:vt="http://schemas.openxmlformats.org/officeDocument/2006/docPropsVTypes"/>
</file>