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40"/>
        <w:jc w:val="both"/>
      </w:pPr>
      <w:r>
        <w:rPr>
          <w:rFonts w:ascii="Times New Roman" w:cs="Times New Roman" w:eastAsia="Times New Roman" w:hAnsi="Times New Roman"/>
          <w:b w:val="false"/>
          <w:bCs w:val="false"/>
          <w:i w:val="false"/>
          <w:iCs w:val="false"/>
          <w:sz w:val="24"/>
          <w:szCs w:val="24"/>
        </w:rPr>
        <w:t xml:space="preserve">EFFECTS OF DISPLAY POLARITY AND TEXT COLOUR ON VISUAL FATIGUE, OCULAR BEHAVIOUR AND TASK PERFORMANCE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140" w:line="340"/>
        <w:jc w:val="both"/>
      </w:pPr>
      <w:r>
        <w:rPr>
          <w:rFonts w:ascii="Times New Roman" w:cs="Times New Roman" w:eastAsia="Times New Roman" w:hAnsi="Times New Roman"/>
          <w:b w:val="false"/>
          <w:bCs w:val="false"/>
          <w:i w:val="false"/>
          <w:iCs w:val="false"/>
          <w:sz w:val="24"/>
          <w:szCs w:val="24"/>
        </w:rPr>
        <w:t xml:space="preserve">DEGREE OF DOCTOR OF PHILOSOPHY</w:t>
      </w:r>
    </w:p>
    <w:p>
      <w:pPr>
        <w:spacing w:after="140" w:line="340"/>
        <w:jc w:val="both"/>
      </w:pPr>
      <w:r>
        <w:rPr>
          <w:rFonts w:ascii="Times New Roman" w:cs="Times New Roman" w:eastAsia="Times New Roman" w:hAnsi="Times New Roman"/>
          <w:b w:val="false"/>
          <w:bCs w:val="false"/>
          <w:i w:val="false"/>
          <w:iCs w:val="false"/>
          <w:sz w:val="24"/>
          <w:szCs w:val="24"/>
        </w:rPr>
        <w:t xml:space="preserve">in</w:t>
      </w:r>
    </w:p>
    <w:p>
      <w:pPr>
        <w:spacing w:after="140" w:line="340"/>
        <w:jc w:val="both"/>
      </w:pPr>
      <w:r>
        <w:rPr>
          <w:rFonts w:ascii="Times New Roman" w:cs="Times New Roman" w:eastAsia="Times New Roman" w:hAnsi="Times New Roman"/>
          <w:b w:val="false"/>
          <w:bCs w:val="false"/>
          <w:i w:val="false"/>
          <w:iCs w:val="false"/>
          <w:sz w:val="24"/>
          <w:szCs w:val="24"/>
        </w:rPr>
        <w:t xml:space="preserve">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By</w:t>
      </w:r>
    </w:p>
    <w:p>
      <w:pPr>
        <w:spacing w:after="140" w:line="340"/>
        <w:jc w:val="both"/>
      </w:pPr>
      <w:r>
        <w:rPr>
          <w:rFonts w:ascii="Times New Roman" w:cs="Times New Roman" w:eastAsia="Times New Roman" w:hAnsi="Times New Roman"/>
          <w:b w:val="false"/>
          <w:bCs w:val="false"/>
          <w:i w:val="false"/>
          <w:iCs w:val="false"/>
          <w:sz w:val="24"/>
          <w:szCs w:val="24"/>
        </w:rPr>
        <w:t xml:space="preserve">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Registration No. ………………………………………</w:t>
      </w:r>
    </w:p>
    <w:p>
      <w:pPr>
        <w:spacing w:after="140" w:line="340"/>
        <w:jc w:val="both"/>
      </w:pPr>
      <w:r>
        <w:rPr>
          <w:rFonts w:ascii="Times New Roman" w:cs="Times New Roman" w:eastAsia="Times New Roman" w:hAnsi="Times New Roman"/>
          <w:b w:val="false"/>
          <w:bCs w:val="false"/>
          <w:i w:val="false"/>
          <w:iCs w:val="false"/>
          <w:sz w:val="24"/>
          <w:szCs w:val="24"/>
        </w:rPr>
        <w:t xml:space="preserve">Assam down town University</w:t>
      </w:r>
    </w:p>
    <w:p>
      <w:pPr>
        <w:spacing w:after="140" w:line="340"/>
        <w:jc w:val="both"/>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40"/>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jc w:val="both"/>
      </w:pPr>
      <w:r>
        <w:rPr>
          <w:rFonts w:ascii="Times New Roman" w:cs="Times New Roman" w:eastAsia="Times New Roman" w:hAnsi="Times New Roman"/>
          <w:b w:val="false"/>
          <w:bCs w:val="false"/>
          <w:i w:val="false"/>
          <w:iCs w:val="false"/>
          <w:sz w:val="24"/>
          <w:szCs w:val="24"/>
        </w:rPr>
        <w:t xml:space="preserve">Most reading now happens on a screen. Unlike a printed page, a screen emits its own light, and almost every property of what it shows can be altered in software. Four such properties are used throughout. Display polarity describes which element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is dark text on a light background,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light text on a dark one, popularly "dark mode". Text colour is the hue of the letters. Luminance is the light the screen emits, and luminance contrast the brightness difference between letters and background — the property that decides whether text is easy to resolve, and not the same thing as colour difference.</w:t>
      </w:r>
    </w:p>
    <w:p>
      <w:pPr>
        <w:spacing w:after="140" w:line="34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 dry or gritty eyes, blurred vision, slow refocusing, headache and neck ache — grouped as computer vision syndrome or, interchangeably, digital eye strain. Pooled across 103 cross-sectional studies and 66,577 participants, prevalence is 69.0 per cent (95% CI 62.3–75.3), rising to 76.1 per cent among university students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jc w:val="both"/>
      </w:pPr>
      <w:r>
        <w:rPr>
          <w:rFonts w:ascii="Times New Roman" w:cs="Times New Roman" w:eastAsia="Times New Roman" w:hAnsi="Times New Roman"/>
          <w:b w:val="false"/>
          <w:bCs w:val="false"/>
          <w:i w:val="false"/>
          <w:iCs w:val="false"/>
          <w:sz w:val="24"/>
          <w:szCs w:val="24"/>
        </w:rPr>
        <w:t xml:space="preserve">These symptoms arise by two routes, and separating them is what makes them measurable (Sheppard &amp; Wolffsohn, 2018). The first is focusing effort — accommodation and vergence sustained at near — which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is not measured here. The second, and the one that is, concerns the ocular surface. A blink spreads fresh tear fluid across it and draws an oily secretion from the lid margins over that fluid, which slows evaporation. Screen work reduces blink frequency and raises the proportion of blinks in which the lids approach but do not meet — incomplete blinks — leaving part of the surface unwetted,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It is therefore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not its frequency, that this study treats as primary. Mechanistic review attributes display-associated dry eye principally to impaired blinking rather than to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best-replicated finding in this literature is the positive polarity advantage: reading is better for dark text on a light field than for light text on a dark one, and the accepted explanation runs through the pupil (Figure 1.1). Text colour has been studied far less, and any manipulation of it also manipulates luminance contrast, so an apparent effect of colour may be an effect of contrast unless the two are measured separately. Ambient light drives pupil size independently of the display and so acts on the same mechanism; it is held constant here rather than manipulated. All three, and the reasons for controlling the third, are reviewed in Chapter 2.</w:t>
      </w:r>
    </w:p>
    <w:p>
      <w:pPr>
        <w:spacing w:after="140" w:line="340"/>
        <w:jc w:val="both"/>
      </w:pPr>
      <w:r>
        <w:rPr>
          <w:rFonts w:ascii="Times New Roman" w:cs="Times New Roman" w:eastAsia="Times New Roman" w:hAnsi="Times New Roman"/>
          <w:b/>
          <w:bCs/>
          <w:i w:val="false"/>
          <w:iCs w:val="false"/>
          <w:sz w:val="24"/>
          <w:szCs w:val="24"/>
        </w:rPr>
        <w:t xml:space="preserve">Figure 1.1 — The pupil-mediated account of the positive polarity advantage.</w:t>
      </w:r>
    </w:p>
    <w:p>
      <w:pPr>
        <w:spacing w:after="140" w:before="120"/>
        <w:jc w:val="center"/>
      </w:pPr>
      <w:r>
        <w:drawing>
          <wp:inline distT="0" distB="0" distL="0" distR="0">
            <wp:extent cx="4000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533525"/>
                    </a:xfrm>
                    <a:prstGeom prst="rect">
                      <a:avLst/>
                    </a:prstGeom>
                  </pic:spPr>
                </pic:pic>
              </a:graphicData>
            </a:graphic>
          </wp:inline>
        </w:drawing>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jc w:val="both"/>
      </w:pPr>
      <w:r>
        <w:rPr>
          <w:rFonts w:ascii="Times New Roman" w:cs="Times New Roman" w:eastAsia="Times New Roman" w:hAnsi="Times New Roman"/>
          <w:b w:val="false"/>
          <w:bCs w:val="false"/>
          <w:i w:val="false"/>
          <w:iCs w:val="false"/>
          <w:sz w:val="24"/>
          <w:szCs w:val="24"/>
        </w:rPr>
        <w:t xml:space="preserve">Roughly seven in ten screen users report symptoms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no therapy examined across 45 randomised controlled trials and 4,497 participants — blue-blocking lenses included — reached high-certainty evidence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displayed stimulus is upstream of the visual load, costs nothing to change and can be deployed universally, yet is the least investigated: no located study has estimated how polarity and text colour interact, separated hue from luminance contrast, or measured a validated symptom instrument alongside the ocular marker most specific to this condition (Section 2.8). Blink completeness has moreover required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 clinician, designer or standards body therefore has no evidence base for advising how a tablet should be configured for prolonged reading.</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five text colours are chosen so that the arithmetic of contrast does experimental work. WCAG contrast falls with the text's relative luminance on a white field and rises with it on a black one, so the rank order of the chromatic conditions is exactly inverted between polarities (Table 3.3), while the achromatic pair — both 21.00:1 — varies polarity with contrast held constant. The polarity-by-colour interaction can therefore separate contrast-mediated effects from residual, hue-specific ones, and that separation matters: the ordering Fan and colleagues (2024) reported under negative polarity, red worst and yellow best, is what contrast alone predicts for those hues on black, and a single-polarity design cannot exclude it.</w:t>
      </w:r>
    </w:p>
    <w:p>
      <w:pPr>
        <w:spacing w:after="140" w:line="340"/>
        <w:jc w:val="both"/>
      </w:pPr>
      <w:r>
        <w:rPr>
          <w:rFonts w:ascii="Times New Roman" w:cs="Times New Roman" w:eastAsia="Times New Roman" w:hAnsi="Times New Roman"/>
          <w:b w:val="false"/>
          <w:bCs w:val="false"/>
          <w:i w:val="false"/>
          <w:iCs w:val="false"/>
          <w:sz w:val="24"/>
          <w:szCs w:val="24"/>
        </w:rPr>
        <w:t xml:space="preserve">Validating an automated measure of blink completeness would additionally remove the annotation bottleneck that has kept this literature small. The findings bear on interface design, on accessibility standards whose contrast criterion does not account for polarity (World Wide Web Consortium, 2023), and on optometric advice (Section 4.2).</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jc w:val="both"/>
      </w:pPr>
      <w:r>
        <w:rPr>
          <w:rFonts w:ascii="Times New Roman" w:cs="Times New Roman" w:eastAsia="Times New Roman" w:hAnsi="Times New Roman"/>
          <w:b/>
          <w:bCs/>
          <w:i w:val="false"/>
          <w:iCs w:val="false"/>
          <w:sz w:val="24"/>
          <w:szCs w:val="24"/>
        </w:rPr>
        <w:t xml:space="preserve">Primary objectives</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jc w:val="both"/>
      </w:pPr>
      <w:r>
        <w:rPr>
          <w:rFonts w:ascii="Times New Roman" w:cs="Times New Roman" w:eastAsia="Times New Roman" w:hAnsi="Times New Roman"/>
          <w:b/>
          <w:bCs/>
          <w:i w:val="false"/>
          <w:iCs w:val="false"/>
          <w:sz w:val="24"/>
          <w:szCs w:val="24"/>
        </w:rPr>
        <w:t xml:space="preserve">Methodological objective</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300 lux. </w:t>
      </w: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them does. The four hypotheses below are linked to the objectives.</w:t>
      </w:r>
    </w:p>
    <w:p>
      <w:pPr>
        <w:spacing w:after="140" w:line="34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negative polarity costs more under dim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illumination being held constant, and is retained in Section 4.3 as a question this design deliberately forgoes.</w:t>
      </w:r>
    </w:p>
    <w:p>
      <w:pPr>
        <w:spacing w:after="140" w:line="34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contrast ordering reverses between polarities (Table 3.3), contrast mediation predicts a matching reversal of the colour ordering and a residual hue effect predicts a consistent one,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4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acts through two parallel routes — optical and ocular-surface — which feed a common set of manifest outcomes. Table 1.1 sets them out and Figure 1.2 draws them; the cross-cutting influences in its final row are measured and modelled rather than assumed away.</w:t>
      </w:r>
    </w:p>
    <w:p>
      <w:pPr>
        <w:spacing w:after="140" w:line="340"/>
        <w:jc w:val="both"/>
      </w:pPr>
      <w:r>
        <w:rPr>
          <w:rFonts w:ascii="Times New Roman" w:cs="Times New Roman" w:eastAsia="Times New Roman" w:hAnsi="Times New Roman"/>
          <w:b/>
          <w:bCs/>
          <w:i w:val="false"/>
          <w:iCs w:val="false"/>
          <w:sz w:val="24"/>
          <w:szCs w:val="24"/>
        </w:rPr>
        <w:t xml:space="preserve">Figure 1.2 — The two pathways from display configuration to measured outcome.</w:t>
      </w:r>
    </w:p>
    <w:p>
      <w:pPr>
        <w:spacing w:after="140" w:before="120"/>
        <w:jc w:val="center"/>
      </w:pPr>
      <w:r>
        <w:drawing>
          <wp:inline distT="0" distB="0" distL="0" distR="0">
            <wp:extent cx="4000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09875"/>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227"/>
        <w:gridCol w:w="994"/>
        <w:gridCol w:w="975"/>
        <w:gridCol w:w="1556"/>
        <w:gridCol w:w="1786"/>
        <w:gridCol w:w="178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Pathway</w:t>
            </w:r>
          </w:p>
        </w:tc>
        <w:tc>
          <w:tcPr>
            <w:tcW w:type="dxa" w:w="122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Antecedent (independent variable)</w:t>
            </w:r>
          </w:p>
        </w:tc>
        <w:tc>
          <w:tcPr>
            <w:tcW w:type="dxa" w:w="99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Proximal mechanism</w:t>
            </w:r>
          </w:p>
        </w:tc>
        <w:tc>
          <w:tcPr>
            <w:tcW w:type="dxa" w:w="97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Mediating state</w:t>
            </w:r>
          </w:p>
        </w:tc>
        <w:tc>
          <w:tcPr>
            <w:tcW w:type="dxa" w:w="155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Symptom cluster</w:t>
            </w:r>
          </w:p>
        </w:tc>
        <w:tc>
          <w:tcPr>
            <w:tcW w:type="dxa" w:w="17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Measured outcome (P = primary, S = secondary)</w:t>
            </w:r>
          </w:p>
        </w:tc>
        <w:tc>
          <w:tcPr>
            <w:tcW w:type="dxa" w:w="178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Evidence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Optical / refractive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luminance and polarity; ambient illuminance</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 diameter → aberration and depth of focus</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Retinal image quality; accommodative demand</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Accommodative/vergence (blur, focusing difficulty, headache, transient myopia)</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rate (S); comprehension (S); visual search (S); perceived clarity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2017; Jiménez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2020; Piepenbrock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2014a, 2014b; Redondo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2025)</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Luminance contrast; chromaticity; visual and cognitive demand</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Reduced blink rate; increased incomplete blinking</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Exposed evaporative area; tear-film stability</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 (dryness, burning, irritation)</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 CVS-Q change (key S); blink rate, inter-blink interval, VAS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2015; Fjaervoll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Hirota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 Kamøy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Portello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Cross-cutting</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Time on task; sleepiness; disengagement; participant factors</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Resource depletion; arousal state; habituation</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Sustained-attention capacity; response criterion</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RT variability and lapses (S); PERCLOS (covariate); engagement flags (quality control)</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(Abe, 2023; Abe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 Jackson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2016; Warm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082"/>
        <w:gridCol w:w="2125"/>
        <w:gridCol w:w="2019"/>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08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12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201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C.,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 21</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Sengsoon &amp; Intaruk</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Randomised crossover; light vs dark mode on a tablet, immediate effects</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difference in subjective visual fatigue between modes; critical flicker frequency and dry-eye symptoms did differ, and both modes worsened all three measures</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Female participants only; short exposure; no text-colour factor; no blink measurement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241"/>
        <w:gridCol w:w="2240"/>
        <w:gridCol w:w="174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24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24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4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colour contrast vs luminance contrast (red-on-green)</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contrast cannot compensate for absent luminance contrast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chromatic pair; short task</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Binocular open-field autorefractometry; 14 text–background colour combinations, 2-min passages</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modulated accommodative and pupillary dynamics; low-contrast pairs rated less legible; reading speed unaffected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2-min exposure; no symptom-level outcome; lab instrumentation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and Likert scales; 2 colour modes × 6 luminance-contrast ratios at night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mode raised blink rate and pupil accommodation, yet light mode was rated less fatiguing and preferred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Objective–subjective dissociation unexplained; 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tracker and EEG; paradigm colour × screen brightness in a dark environment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reduced fatigue; blue preferred to red; no EEG colour effect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paradigm stimuli;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during reading; ambient illumination × text colour, negative polarity only</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 most fatiguing, yellow least; performance better with yellow and white</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 hue confounded with contrast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4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65"/>
        <w:gridCol w:w="700"/>
        <w:gridCol w:w="700"/>
        <w:gridCol w:w="1771"/>
        <w:gridCol w:w="2592"/>
        <w:gridCol w:w="179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6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7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Illumination manipulated</w:t>
            </w:r>
          </w:p>
        </w:tc>
        <w:tc>
          <w:tcPr>
            <w:tcW w:type="dxa" w:w="259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9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Near-dark vs daylight-like</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140" w:line="340"/>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Section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Section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4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380"/>
        <w:gridCol w:w="2379"/>
        <w:gridCol w:w="1467"/>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8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 and task</w:t>
            </w:r>
          </w:p>
        </w:tc>
        <w:tc>
          <w:tcPr>
            <w:tcW w:type="dxa" w:w="237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46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That work establishes the signal and the detection of blink </w:t>
      </w:r>
      <w:r>
        <w:rPr>
          <w:rFonts w:ascii="Times New Roman" w:cs="Times New Roman" w:eastAsia="Times New Roman" w:hAnsi="Times New Roman"/>
          <w:b w:val="false"/>
          <w:bCs w:val="false"/>
          <w:i/>
          <w:iCs/>
          <w:sz w:val="24"/>
          <w:szCs w:val="24"/>
        </w:rPr>
        <w:t xml:space="preserve">events</w:t>
      </w:r>
      <w:r>
        <w:rPr>
          <w:rFonts w:ascii="Times New Roman" w:cs="Times New Roman" w:eastAsia="Times New Roman" w:hAnsi="Times New Roman"/>
          <w:b w:val="false"/>
          <w:bCs w:val="false"/>
          <w:i w:val="false"/>
          <w:iCs w:val="false"/>
          <w:sz w:val="24"/>
          <w:szCs w:val="24"/>
        </w:rPr>
        <w:t xml:space="preserve">; it does not classify a blink as incomplete. Extending it to the depth of closure — the quantity the clinical literature has obtained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 is this study's own step, and is why the classifier is validated against manual annotation rather than assumed (Section 3.5). Validity differs by target: camera-based gaze estimation is lower in accuracy and sampling rate than infrared tracking and is defensible only for coarse zone classification, whereas blink measures are proportion-based and need temporal rather than spatial precision. Because a blink is complete within a few hundred milliseconds, duration-based metrics become unreliable at low sampling rates, and the achieved frame rate is therefore recorded per condition and gates the duration-based tiers,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most recent direct test of the polarity question on a tablet is instructive here: Sengsoon and Intaruk (2025) randomised thirty users between light and dark mode and found </w:t>
      </w:r>
      <w:r>
        <w:rPr>
          <w:rFonts w:ascii="Times New Roman" w:cs="Times New Roman" w:eastAsia="Times New Roman" w:hAnsi="Times New Roman"/>
          <w:b/>
          <w:bCs/>
          <w:i w:val="false"/>
          <w:iCs w:val="false"/>
          <w:sz w:val="24"/>
          <w:szCs w:val="24"/>
        </w:rPr>
        <w:t xml:space="preserve">no</w:t>
      </w:r>
      <w:r>
        <w:rPr>
          <w:rFonts w:ascii="Times New Roman" w:cs="Times New Roman" w:eastAsia="Times New Roman" w:hAnsi="Times New Roman"/>
          <w:b w:val="false"/>
          <w:bCs w:val="false"/>
          <w:i w:val="false"/>
          <w:iCs w:val="false"/>
          <w:sz w:val="24"/>
          <w:szCs w:val="24"/>
        </w:rPr>
        <w:t xml:space="preserve"> difference in subjective visual fatigue, while critical flicker frequency and dry-eye symptoms did differ — a dissociation between what participants report and what can be measured on them. Their design carried no text-colour factor, no blink measurement and a short exposure, so the null on the subjective scale is as likely to reflect the sensitivity of the outcome as the absence of an effect, and no automated implementation was found, in the literature located, to have been validated against manual annotation, so the measure does not scale.</w:t>
      </w:r>
    </w:p>
    <w:p>
      <w:pPr>
        <w:spacing w:after="120" w:line="320"/>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(Section 3.4). Each participant contributes ten condition-runs and serves as their own control. Ten reading passages cover the ten runs, so each is read exactly once and no practice effect requires adjustment.</w:t>
      </w:r>
    </w:p>
    <w:p>
      <w:pPr>
        <w:spacing w:after="140" w:line="340"/>
        <w:jc w:val="both"/>
      </w:pPr>
      <w:r>
        <w:rPr>
          <w:rFonts w:ascii="Times New Roman" w:cs="Times New Roman" w:eastAsia="Times New Roman" w:hAnsi="Times New Roman"/>
          <w:b/>
          <w:bCs/>
          <w:i w:val="false"/>
          <w:iCs w:val="false"/>
          <w:sz w:val="24"/>
          <w:szCs w:val="24"/>
        </w:rPr>
        <w:t xml:space="preserve">Figure 3.1 — The design: what one participant does.</w:t>
      </w:r>
    </w:p>
    <w:p>
      <w:pPr>
        <w:spacing w:after="140" w:before="120"/>
        <w:jc w:val="center"/>
      </w:pPr>
      <w:r>
        <w:drawing>
          <wp:inline distT="0" distB="0" distL="0" distR="0">
            <wp:extent cx="4000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581150"/>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Figure 3.2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4313"/>
        <w:gridCol w:w="4313"/>
      </w:tblGrid>
      <w:tr>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(Section 3.8), and was set by simulation rather than by a formula assuming independent observations. Precision on the primary outcome follows the number of condition-runs, not participants: 130 participants give 1,300 runs.</w:t>
      </w:r>
    </w:p>
    <w:p>
      <w:pPr>
        <w:spacing w:after="140" w:line="340"/>
        <w:jc w:val="both"/>
      </w:pPr>
      <w:r>
        <w:rPr>
          <w:rFonts w:ascii="Times New Roman" w:cs="Times New Roman" w:eastAsia="Times New Roman" w:hAnsi="Times New Roman"/>
          <w:b/>
          <w:bCs/>
          <w:i w:val="false"/>
          <w:iCs w:val="false"/>
          <w:sz w:val="24"/>
          <w:szCs w:val="24"/>
        </w:rPr>
        <w:t xml:space="preserve">Table 3.1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40"/>
        <w:jc w:val="both"/>
      </w:pPr>
      <w:r>
        <w:rPr>
          <w:rFonts w:ascii="Times New Roman" w:cs="Times New Roman" w:eastAsia="Times New Roman" w:hAnsi="Times New Roman"/>
          <w:b/>
          <w:bCs/>
          <w:i w:val="false"/>
          <w:iCs w:val="false"/>
          <w:sz w:val="24"/>
          <w:szCs w:val="24"/>
        </w:rPr>
        <w:t xml:space="preserve">Table 3.2 — The proposed design against the published studies from which its measures are drawn.</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08"/>
        <w:gridCol w:w="700"/>
        <w:gridCol w:w="700"/>
        <w:gridCol w:w="1317"/>
        <w:gridCol w:w="1044"/>
        <w:gridCol w:w="2315"/>
        <w:gridCol w:w="2042"/>
      </w:tblGrid>
      <w:tr>
        <w:trPr>
          <w:tblHeader/>
        </w:trPr>
        <w:tc>
          <w:tcPr>
            <w:tcW w:type="dxa" w:w="90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31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Conditions per participant</w:t>
            </w:r>
          </w:p>
        </w:tc>
        <w:tc>
          <w:tcPr>
            <w:tcW w:type="dxa" w:w="104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Total condition-runs</w:t>
            </w:r>
          </w:p>
        </w:tc>
        <w:tc>
          <w:tcPr>
            <w:tcW w:type="dxa" w:w="231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Ocular measure</w:t>
            </w:r>
          </w:p>
        </w:tc>
        <w:tc>
          <w:tcPr>
            <w:tcW w:type="dxa" w:w="204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Display parameter manipulated</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tear break-up</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24</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280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Accommodation, pupil</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Text–background colour</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42</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75</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amplitude</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Task dynamism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patterns, tear film</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Ambient light × screen brightness</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medium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Proposed study</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10</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Incomplete-blink ratio, blink rate, IBI, 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Polarity × colour, illumination controlled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Precision on the primary outcome follows the number of condition-runs rather than the number of participants, and no located study combines a sample of this size with per-condition ocular measurement under a manipulated display parameter.</w:t>
      </w:r>
    </w:p>
    <w:p>
      <w:pPr>
        <w:spacing w:after="140" w:line="340"/>
        <w:jc w:val="both"/>
      </w:pPr>
      <w:r>
        <w:rPr>
          <w:rFonts w:ascii="Times New Roman" w:cs="Times New Roman" w:eastAsia="Times New Roman" w:hAnsi="Times New Roman"/>
          <w:b/>
          <w:bCs/>
          <w:i w:val="false"/>
          <w:iCs w:val="false"/>
          <w:sz w:val="24"/>
          <w:szCs w:val="24"/>
        </w:rPr>
        <w:t xml:space="preserve">Figure 3.3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40"/>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40"/>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46"/>
        <w:gridCol w:w="700"/>
        <w:gridCol w:w="1471"/>
        <w:gridCol w:w="1077"/>
        <w:gridCol w:w="1339"/>
        <w:gridCol w:w="1339"/>
        <w:gridCol w:w="1077"/>
        <w:gridCol w:w="1077"/>
      </w:tblGrid>
      <w:tr>
        <w:trPr>
          <w:tblHeader/>
        </w:trPr>
        <w:tc>
          <w:tcPr>
            <w:tcW w:type="dxa" w:w="94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4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jc w:val="both"/>
      </w:pPr>
      <w:r>
        <w:rPr>
          <w:rFonts w:ascii="Times New Roman" w:cs="Times New Roman" w:eastAsia="Times New Roman" w:hAnsi="Times New Roman"/>
          <w:b/>
          <w:bCs/>
          <w:i w:val="false"/>
          <w:iCs w:val="false"/>
          <w:sz w:val="24"/>
          <w:szCs w:val="24"/>
        </w:rPr>
        <w:t xml:space="preserve">Figure 3.4 — Why the colour ordering must reverse between polarities, and what that tests.</w:t>
      </w:r>
    </w:p>
    <w:p>
      <w:pPr>
        <w:spacing w:after="14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90775"/>
                    </a:xfrm>
                    <a:prstGeom prst="rect">
                      <a:avLst/>
                    </a:prstGeom>
                  </pic:spPr>
                </pic:pic>
              </a:graphicData>
            </a:graphic>
          </wp:inline>
        </w:drawing>
      </w:r>
    </w:p>
    <w:p>
      <w:pPr>
        <w:spacing w:after="140" w:line="340"/>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40"/>
        <w:jc w:val="both"/>
      </w:pPr>
      <w:r>
        <w:rPr>
          <w:rFonts w:ascii="Times New Roman" w:cs="Times New Roman" w:eastAsia="Times New Roman" w:hAnsi="Times New Roman"/>
          <w:b w:val="false"/>
          <w:bCs w:val="false"/>
          <w:i w:val="false"/>
          <w:iCs w:val="false"/>
          <w:sz w:val="24"/>
          <w:szCs w:val="24"/>
        </w:rPr>
        <w:t xml:space="preserve">The level was fixed on photometric grounds rather than by reference to a lighting standard: published guidance for work with self-luminous displays places ambient illuminance around this range, but the specific figures could not be verified against the standards themselves and are therefore not cited.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40"/>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40"/>
        <w:jc w:val="both"/>
      </w:pPr>
      <w:r>
        <w:rPr>
          <w:rFonts w:ascii="Times New Roman" w:cs="Times New Roman" w:eastAsia="Times New Roman" w:hAnsi="Times New Roman"/>
          <w:b/>
          <w:bCs/>
          <w:i w:val="false"/>
          <w:iCs w:val="false"/>
          <w:sz w:val="24"/>
          <w:szCs w:val="24"/>
        </w:rPr>
        <w:t xml:space="preserve">Figure 3.5 — How a blink is classified, and what makes one incomplete.</w:t>
      </w:r>
    </w:p>
    <w:p>
      <w:pPr>
        <w:spacing w:after="140" w:before="120"/>
        <w:jc w:val="center"/>
      </w:pPr>
      <w:r>
        <w:drawing>
          <wp:inline distT="0" distB="0" distL="0" distR="0">
            <wp:extent cx="4000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809750"/>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40"/>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the conventional threshold for substantial agreement, and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40"/>
        <w:jc w:val="both"/>
      </w:pPr>
      <w:r>
        <w:rPr>
          <w:rFonts w:ascii="Times New Roman" w:cs="Times New Roman" w:eastAsia="Times New Roman" w:hAnsi="Times New Roman"/>
          <w:b/>
          <w:bCs/>
          <w:i w:val="false"/>
          <w:iCs w:val="false"/>
          <w:sz w:val="24"/>
          <w:szCs w:val="24"/>
        </w:rPr>
        <w:t xml:space="preserve">Figure 3.6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5"/>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2875"/>
        <w:gridCol w:w="2875"/>
        <w:gridCol w:w="2875"/>
      </w:tblGrid>
      <w:tr>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40"/>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40"/>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40"/>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40"/>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and text colour on subjective visual fatigue, ocular behaviour, cognitive workload and task performance, and among the first estimates of their interaction on fatigue outcomes — establishing whether the positive polarity advantage extends from brief legibility tasks to prolonged reading and ocular-surface outcomes. Because the contrast ordering of the colours reverses across polarity, a crossover interaction would support contrast mediation while a preserved ordering would indicate residual hue-specific effects, with red the candidate exception. The study will further identify the configurations that minimise and maximise fatigue, indicate whether a polarity-blind contrast criterion predicts measured readability, and report the automated blink measure's agreement with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is a preventive measure that costs nothing and can be deployed at population scale for a condition affecting roughly seven in ten screen users. The findings give an empirically grounded specification of text presentation and dark-mode implementation for reading applications, e-readers and operating-system themes; they bear on accessibility standards by indicating whether polarity must enter a contrast criterion; and they inform the advice optometrists give patients, an area in which practitioners are documented to lack quality evidence.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jc w:val="both"/>
      </w:pPr>
      <w:r>
        <w:rPr>
          <w:rFonts w:ascii="Times New Roman" w:cs="Times New Roman" w:eastAsia="Times New Roman" w:hAnsi="Times New Roman"/>
          <w:b w:val="false"/>
          <w:bCs w:val="false"/>
          <w:i w:val="false"/>
          <w:iCs w:val="false"/>
          <w:sz w:val="24"/>
          <w:szCs w:val="24"/>
        </w:rPr>
        <w:t xml:space="preserve">Polarity is not fully orthogonal to luminance contrast, pigments differing intrinsically in luminance, nor to mean display luminance, white rather than mean luminance being held constant;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advantage disappears when overall luminance is equalised, so what is estimated here is polarity with its attendant luminance. Contrast is measured and modelled, but causal attribution is constrained.</w:t>
      </w:r>
    </w:p>
    <w:p>
      <w:pPr>
        <w:spacing w:after="140" w:line="340"/>
        <w:jc w:val="both"/>
      </w:pPr>
      <w:r>
        <w:rPr>
          <w:rFonts w:ascii="Times New Roman" w:cs="Times New Roman" w:eastAsia="Times New Roman" w:hAnsi="Times New Roman"/>
          <w:b w:val="false"/>
          <w:bCs w:val="false"/>
          <w:i w:val="false"/>
          <w:iCs w:val="false"/>
          <w:sz w:val="24"/>
          <w:szCs w:val="24"/>
        </w:rPr>
        <w:t xml:space="preserve">Camera metrology is screening-grade: coarser and slower than infrared eye tracking, limited to gaze zones, gated on achieved frame rate, and blind to accommodation, which places accommodative outcomes outside this scope. Precision within a condition is bounded by the blinks it captures, giving a condition-level standard error near 0.06, so the power figures in Table 3.1 are upper bounds and blink counts are exported with every ratio. The manipulation cannot be blinded, leaving expectation effects on subjective ratings possible; generic fatigue and boredom are counterbalanced and modelled rather than eliminated; the NASA Task Load Index, administered once per sitting, is a descriptive session-level index rather than a contrast; and PERCLOS is insensitive to moderate drowsiness.</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illumination constant forfeits the polarity-by-room-light interaction — the form the popular claim about dark mode actually takes — places night-time reading outside scope, and prevents this study speaking to Sethi and Ziat (2023), who located the cognitive cost of negative polarity in younger adults specifically under dim conditions. The reason is measurement rather than convenience: at low illuminance the light reaching the face is dominated by the display, so camera-derived blink measures would have carried an artefact aligned with the primary independent variable (Section 2.4). The narrowing is real, and the findings hold at a single display-to-ambient ratio.</w:t>
      </w:r>
    </w:p>
    <w:p>
      <w:pPr>
        <w:spacing w:after="140" w:line="340"/>
        <w:jc w:val="both"/>
      </w:pPr>
      <w:r>
        <w:rPr>
          <w:rFonts w:ascii="Times New Roman" w:cs="Times New Roman" w:eastAsia="Times New Roman" w:hAnsi="Times New Roman"/>
          <w:b w:val="false"/>
          <w:bCs w:val="false"/>
          <w:i w:val="false"/>
          <w:iCs w:val="false"/>
          <w:sz w:val="24"/>
          <w:szCs w:val="24"/>
        </w:rPr>
        <w:t xml:space="preserve">Findings are further specific to the device, display technology, luminance range and population studied: adults aged 18 to 35 with normal or corrected vision and no colour-vision deficiency. Presbyopic, paediatric and colour-vision-deficient populations, in whom polarity effects may differ,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performance in one instrumented protocol, it is intended to provide quantified, standards-relevant evidence on display configuration for prolonged reading, and a measurement approach that may reduce reliance on manual annotation.</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40" w:line="340"/>
        <w:jc w:val="both"/>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140" w:line="340"/>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40" w:line="340"/>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40" w:line="340"/>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40" w:line="340"/>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40" w:line="340"/>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40" w:line="340"/>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40" w:line="340"/>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40" w:line="340"/>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40" w:line="340"/>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40" w:line="340"/>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(pp. 139–183). North-Holland.</w:t>
      </w:r>
    </w:p>
    <w:p>
      <w:pPr>
        <w:spacing w:after="140" w:line="340"/>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40" w:line="340"/>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40" w:line="340"/>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40" w:line="340"/>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40" w:line="340"/>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40" w:line="340"/>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40" w:line="340"/>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40" w:line="340"/>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40" w:line="340"/>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40" w:line="340"/>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40" w:line="340"/>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40" w:line="340"/>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40" w:line="340"/>
        <w:jc w:val="both"/>
      </w:pPr>
      <w:r>
        <w:rPr>
          <w:rFonts w:ascii="Times New Roman" w:cs="Times New Roman" w:eastAsia="Times New Roman" w:hAnsi="Times New Roman"/>
          <w:b w:val="false"/>
          <w:bCs w:val="false"/>
          <w:i w:val="false"/>
          <w:iCs w:val="false"/>
          <w:sz w:val="24"/>
          <w:szCs w:val="24"/>
        </w:rPr>
        <w:t xml:space="preserve">Sengsoon, P., &amp; Intaruk, R. (2025). Immediate effects of light mode and dark mode features on visual fatigue in tablet users. </w:t>
      </w:r>
      <w:r>
        <w:rPr>
          <w:rFonts w:ascii="Times New Roman" w:cs="Times New Roman" w:eastAsia="Times New Roman" w:hAnsi="Times New Roman"/>
          <w:b w:val="false"/>
          <w:bCs w:val="false"/>
          <w:i/>
          <w:iCs/>
          <w:sz w:val="24"/>
          <w:szCs w:val="24"/>
        </w:rPr>
        <w:t xml:space="preserve">International Journal of Environmental Research and Public Health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(4), 609. https://doi.org/10.3390/ijerph22040609</w:t>
      </w:r>
    </w:p>
    <w:p>
      <w:pPr>
        <w:spacing w:after="140" w:line="340"/>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40" w:line="340"/>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40" w:line="340"/>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40" w:line="340"/>
        <w:jc w:val="both"/>
      </w:pPr>
      <w:r>
        <w:rPr>
          <w:rFonts w:ascii="Times New Roman" w:cs="Times New Roman" w:eastAsia="Times New Roman" w:hAnsi="Times New Roman"/>
          <w:b w:val="false"/>
          <w:bCs w:val="false"/>
          <w:i w:val="false"/>
          <w:iCs w:val="false"/>
          <w:sz w:val="24"/>
          <w:szCs w:val="24"/>
        </w:rPr>
        <w:t xml:space="preserve">Soukupová, T., &amp; Čech, J. (2016). </w:t>
      </w:r>
      <w:r>
        <w:rPr>
          <w:rFonts w:ascii="Times New Roman" w:cs="Times New Roman" w:eastAsia="Times New Roman" w:hAnsi="Times New Roman"/>
          <w:b w:val="false"/>
          <w:bCs w:val="false"/>
          <w:i/>
          <w:iCs/>
          <w:sz w:val="24"/>
          <w:szCs w:val="24"/>
        </w:rPr>
        <w:t xml:space="preserve">Real-time eye blink detection using facial landmarks</w:t>
      </w:r>
      <w:r>
        <w:rPr>
          <w:rFonts w:ascii="Times New Roman" w:cs="Times New Roman" w:eastAsia="Times New Roman" w:hAnsi="Times New Roman"/>
          <w:b w:val="false"/>
          <w:bCs w:val="false"/>
          <w:i w:val="false"/>
          <w:iCs w:val="false"/>
          <w:sz w:val="24"/>
          <w:szCs w:val="24"/>
        </w:rPr>
        <w:t xml:space="preserve"> [Paper presentation]. 21st Computer Vision Winter Workshop, Rimske Toplice, Slovenia.</w:t>
      </w:r>
    </w:p>
    <w:p>
      <w:pPr>
        <w:spacing w:after="140" w:line="340"/>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40" w:line="340"/>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40" w:line="340"/>
        <w:jc w:val="both"/>
      </w:pPr>
      <w:r>
        <w:rPr>
          <w:rFonts w:ascii="Times New Roman" w:cs="Times New Roman" w:eastAsia="Times New Roman" w:hAnsi="Times New Roman"/>
          <w:b w:val="false"/>
          <w:bCs w:val="false"/>
          <w:i w:val="false"/>
          <w:iCs w:val="false"/>
          <w:sz w:val="24"/>
          <w:szCs w:val="24"/>
        </w:rPr>
        <w:t xml:space="preserve">World Wide Web Consortium. (2023, October 5).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140" w:line="340"/>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Date: ……………………………                     Signature of Scholar</w:t>
      </w:r>
    </w:p>
    <w:p>
      <w:pPr>
        <w:spacing w:after="140" w:line="340"/>
        <w:jc w:val="both"/>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40" w:line="340"/>
        <w:jc w:val="both"/>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3ea49603036eb6ebe81f409cc68d9293bf2ff3.png"/><Relationship Id="rId8" Type="http://schemas.openxmlformats.org/officeDocument/2006/relationships/image" Target="media/0fe2ffdee13ccb4ec40724e0ae336b3559a1e42e.png"/><Relationship Id="rId9" Type="http://schemas.openxmlformats.org/officeDocument/2006/relationships/image" Target="media/d9072fa6b9f39e320171d4fa6a8f5f4a04b1488b.png"/><Relationship Id="rId10" Type="http://schemas.openxmlformats.org/officeDocument/2006/relationships/image" Target="media/9fe57f3c0ea9e0e0ab60525f722f55dd96e58ad7.png"/><Relationship Id="rId11" Type="http://schemas.openxmlformats.org/officeDocument/2006/relationships/image" Target="media/1d8bd1a15b684e8130e2c5c4874946e774849bf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2026-09-08T04:25:51.803Z</dcterms:created>
  <dcterms:modified xsi:type="dcterms:W3CDTF">2026-09-08T04:25:51.803Z</dcterms:modified>
</cp:coreProperties>
</file>

<file path=docProps/custom.xml><?xml version="1.0" encoding="utf-8"?>
<Properties xmlns="http://schemas.openxmlformats.org/officeDocument/2006/custom-properties" xmlns:vt="http://schemas.openxmlformats.org/officeDocument/2006/docPropsVTypes"/>
</file>