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line="360"/>
        <w:jc w:val="center"/>
      </w:pPr>
      <w:r>
        <w:rPr>
          <w:rFonts w:ascii="Times New Roman" w:cs="Times New Roman" w:eastAsia="Times New Roman" w:hAnsi="Times New Roman"/>
          <w:b/>
          <w:bCs/>
          <w:i w:val="false"/>
          <w:iCs w:val="false"/>
          <w:sz w:val="28"/>
          <w:szCs w:val="28"/>
        </w:rPr>
        <w:t xml:space="preserve">ERGONOMICS OF VISUAL PERCEPTION: EFFECTS OF DISPLAY POLARITY, TEXT COLOUR AND AMBIENT ILLUMINATION ON VISUAL FATIGUE, OCULAR BEHAVIOUR AND TASK PERFORMANCE</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200" w:line="360"/>
        <w:jc w:val="center"/>
      </w:pPr>
      <w:r>
        <w:rPr>
          <w:rFonts w:ascii="Times New Roman" w:cs="Times New Roman" w:eastAsia="Times New Roman" w:hAnsi="Times New Roman"/>
          <w:b/>
          <w:bCs/>
          <w:i w:val="false"/>
          <w:iCs w:val="false"/>
          <w:sz w:val="24"/>
          <w:szCs w:val="24"/>
        </w:rPr>
        <w:t xml:space="preserve">DEGREE OF DOCTOR OF PHILOSOPHY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in</w:t>
      </w:r>
    </w:p>
    <w:p>
      <w:pPr>
        <w:spacing w:after="200" w:before="200" w:line="360"/>
        <w:jc w:val="center"/>
      </w:pPr>
      <w:r>
        <w:rPr>
          <w:rFonts w:ascii="Times New Roman" w:cs="Times New Roman" w:eastAsia="Times New Roman" w:hAnsi="Times New Roman"/>
          <w:b/>
          <w:bCs/>
          <w:i w:val="false"/>
          <w:iCs w:val="false"/>
          <w:sz w:val="24"/>
          <w:szCs w:val="24"/>
        </w:rPr>
        <w:t xml:space="preserve">OPTOMETRY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By</w:t>
      </w:r>
    </w:p>
    <w:p>
      <w:pPr>
        <w:spacing w:after="200" w:before="200" w:line="360"/>
        <w:jc w:val="center"/>
      </w:pPr>
      <w:r>
        <w:rPr>
          <w:rFonts w:ascii="Times New Roman" w:cs="Times New Roman" w:eastAsia="Times New Roman" w:hAnsi="Times New Roman"/>
          <w:b/>
          <w:bCs/>
          <w:i w:val="false"/>
          <w:iCs w:val="false"/>
          <w:sz w:val="24"/>
          <w:szCs w:val="24"/>
        </w:rPr>
        <w:t xml:space="preserve">GYANDEEP NATH</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60" w:before="160" w:line="360"/>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60" w:before="160" w:line="360"/>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60" w:before="160" w:line="360"/>
      </w:pPr>
      <w:r>
        <w:rPr>
          <w:rFonts w:ascii="Times New Roman" w:cs="Times New Roman" w:eastAsia="Times New Roman" w:hAnsi="Times New Roman"/>
          <w:b w:val="false"/>
          <w:bCs w:val="false"/>
          <w:i w:val="false"/>
          <w:iCs w:val="false"/>
          <w:sz w:val="24"/>
          <w:szCs w:val="24"/>
        </w:rPr>
        <w:t xml:space="preserve">Department/Discipline : Optometry</w:t>
      </w:r>
    </w:p>
    <w:p>
      <w:pPr>
        <w:spacing w:after="160" w:before="160" w:line="360"/>
      </w:pPr>
      <w:r>
        <w:rPr>
          <w:rFonts w:ascii="Times New Roman" w:cs="Times New Roman" w:eastAsia="Times New Roman" w:hAnsi="Times New Roman"/>
          <w:b w:val="false"/>
          <w:bCs w:val="false"/>
          <w:i w:val="false"/>
          <w:iCs w:val="false"/>
          <w:sz w:val="24"/>
          <w:szCs w:val="24"/>
        </w:rPr>
        <w:t xml:space="preserve">Batch/session : …………………………………………………</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1: INTRODUCTION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1.1 Background</w:t>
      </w:r>
    </w:p>
    <w:p>
      <w:pPr>
        <w:spacing w:after="0" w:line="360"/>
        <w:jc w:val="both"/>
      </w:pPr>
      <w:r>
        <w:rPr>
          <w:rFonts w:ascii="Times New Roman" w:cs="Times New Roman" w:eastAsia="Times New Roman" w:hAnsi="Times New Roman"/>
          <w:b w:val="false"/>
          <w:bCs w:val="false"/>
          <w:i w:val="false"/>
          <w:iCs w:val="false"/>
          <w:sz w:val="24"/>
          <w:szCs w:val="24"/>
        </w:rPr>
        <w:t xml:space="preserve">Reading has moved off paper and onto screens. Tablets in particular now serve for study, work and leisure reading, often for several unbroken hours. A printed page reflects whatever light falls on it and cannot be altered once it leaves the press. A screen emits its own light, and almost every property of what it shows can be changed in software. Three of those properties are manipulated in this study, and a fourth governs all three.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Display polarity describes which of the two elements is lighter. Positive polarity places dark text on a light background, the arrangement of a printed book; negative polarity places light text on a dark background and is known popularly as dark mode. Text colour, or chromaticity, is the hue of the letters, which need not be black or white. Ambient illumination is the light of the room in which the screen is read. Governing all three is luminance contrast, the difference in brightness between letters and background. Luminance contrast determines whether text can be resolved comfortably, and it is not the same thing as colour difference: two hues may look very different from one another and still be difficult to read in combination.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Designers set these properties when they build an application, and users reset them every time they switch a theme. The choices are therefore made at very large scale, yet the evidence on what combinations of them do during prolonged reading is thin.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Prolonged screen reading carries a recognised pattern of discomfort. The eyes feel dry, tired, sore or gritty; vision blurs or takes a moment to refocus after looking up; headache and neck or shoulder ache follow long sessions. Where these complaints occur together and can be attributed to display use, they are grouped under one label. Two names remain in circulation for the same entity, computer vision syndrome and digital eye strain. This document uses digital eye strain for the condition, reserving computer vision syndrome for places where the source literature or a named instrument uses it.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condition is common. A systematic review and meta-analysis of 103 cross-sectional studies covering 66,577 participants placed pooled prevalence at 69.0 per cent (95% CI 62.3 to 75.3), rising to 76.1 per cent among university students, with individual estimates spanning 12.1 to 97.3 per cent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That spread is itself informative, since case definitions across the primary studies are not standardised.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1.2 Biophysiological basis</w:t>
      </w:r>
    </w:p>
    <w:p>
      <w:pPr>
        <w:spacing w:after="0" w:line="360"/>
        <w:jc w:val="both"/>
      </w:pPr>
      <w:r>
        <w:rPr>
          <w:rFonts w:ascii="Times New Roman" w:cs="Times New Roman" w:eastAsia="Times New Roman" w:hAnsi="Times New Roman"/>
          <w:b w:val="false"/>
          <w:bCs w:val="false"/>
          <w:i w:val="false"/>
          <w:iCs w:val="false"/>
          <w:sz w:val="24"/>
          <w:szCs w:val="24"/>
        </w:rPr>
        <w:t xml:space="preserve">Not all of these symptoms arise the same way, and separating them is what makes them measurable. Two mechanisms are involved (Sheppard &amp; Wolffsohn, 2018).</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first is a matter of focusing. Reading at arm's length requires the lens of the eye to change shape, which is accommodation, while both eyes turn inward so that the two images fuse, which is vergence. Sustaining either for long is effortful. The accumulated effort shows up as difficulty focusing, blurred vision, near-work-induced transient myopia and headache.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second concerns the ocular surface, kept smooth by a thin tear film that is renewed whenever the eyelids close fully. Where that renewal is interrupted the surface dries, producing dryness, burning and irritation. This second mechanism is the one the present study measures most directly.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blink spreads fresh tear fluid across the surface and draws an oily secretion from the lid margins over the top of it, slowing evaporation. Concentrated screen work interferes with both actions. It lowers how often people blink, and it raises the proportion of blinks in which the lids approach one another without meeting. Blinks of that kind are termed incomplete. An incomplete blink leaves part of the surface unwetted, so the tear film breaks up sooner and the surface enters the inflammatory cycle of dry eye disease (K.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For that reason the completeness of blinking, rather than its frequency, is the ocular measure treated here as primary. A review of the candidate mechanisms attributes display-associated dry eye principally to impaired blinking and finds insufficient support for parasympathetic or blue-light contributions (K.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accommodative route does respond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but the present study does not measure accommodative responses directly. That pathway is reviewed as mechanistic context and is not tested.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1.3 The three display properties under study</w:t>
      </w:r>
    </w:p>
    <w:p>
      <w:pPr>
        <w:spacing w:after="0" w:line="360"/>
        <w:jc w:val="both"/>
      </w:pPr>
      <w:r>
        <w:rPr>
          <w:rFonts w:ascii="Times New Roman" w:cs="Times New Roman" w:eastAsia="Times New Roman" w:hAnsi="Times New Roman"/>
          <w:b w:val="false"/>
          <w:bCs w:val="false"/>
          <w:i w:val="false"/>
          <w:iCs w:val="false"/>
          <w:sz w:val="24"/>
          <w:szCs w:val="24"/>
        </w:rPr>
        <w:t xml:space="preserve">Having defined the display properties in Section 1.1 and the two symptom mechanisms in Section 1.2, the question that follows is how the former act on the latter. Chapter 2 examines the evidence for each in turn; what follows here is the shape of the argument.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most reliably replicated finding concerns polarity and is known as the positive polarity advantage: reading is better for dark text on a light field than for light text on a dark one. The accepted explanation runs through the pupil. A positive-polarity screen is mostly white and so emits more light; the pupil constricts in response; a smaller pupil admits light through the optically cleaner centre of the lens and holds a wider range of distances in focus; and the retinal image is sharper as a result (Buchner &amp; Baumgartner, 2007;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On this account the advantage is a matter of how much light the screen puts out, not of colour preference.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Text colour has attracted far less attention, and no located study has evaluated it in combination with polarity while measuring fatigue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Any manipulation of text colour is also a manipulation of luminance contrast, because chromatic pigments differ intrinsically in relative luminance and because chromatic contrast cannot substitute for luminance contrast (Buchner &amp; Baumgartner, 2007). An apparent effect of colour may therefore be an effect of contrast unless the two are measured apart. Ambient light adds veiling luminance and drives pupil size independently of the display, so it acts on the same mechanism from the other side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2: REVIEW OF LITERATURE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2.1 Burden, risk factors and measurement</w:t>
      </w:r>
    </w:p>
    <w:p>
      <w:pPr>
        <w:spacing w:after="0" w:line="360"/>
        <w:jc w:val="both"/>
      </w:pPr>
      <w:r>
        <w:rPr>
          <w:rFonts w:ascii="Times New Roman" w:cs="Times New Roman" w:eastAsia="Times New Roman" w:hAnsi="Times New Roman"/>
          <w:b w:val="false"/>
          <w:bCs w:val="false"/>
          <w:i w:val="false"/>
          <w:iCs w:val="false"/>
          <w:sz w:val="24"/>
          <w:szCs w:val="24"/>
        </w:rPr>
        <w:t xml:space="preserve">The pooled prevalence of 69.0 per cent quoted in Chapter 1 conceals considerable heterogeneity, part of which is traceable to inconsistent case definition. Prevalence was higher in studies that did not use the Computer Vision Syndrome Questionnaire, at 75.4 per cent, which suggests that ad hoc symptom checklists inflate the figure and that a validated instrument with a defined cut-off is the safer choice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Among display users specifically, definite or probable dry eye disease has been reported between 26 and 70 per cent, with as little as one to two hours of daily exposure already showing an association (H.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comprehensive review covering the same period records pre-pandemic estimates spanning 5 to 65 per cent and reports that prevalence among children rose to 50 to 60 per cent once digital learning became the norm, with recent-onset esotropia and vergence anomalies entering the symptom spectrum alongside the established ocular complaints (Kaur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Reviews converge on a familiar list of risk factors: exposure beyond four to five hours daily, uncorrected refractive error, accommodative and vergence anomalies, altered blinking, close working distance, small font size, adverse lighting and contact-lens wear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Preventive measures that act at different points of the dry-eye cycle may be complementary rather than competing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2.2 Display polarity, text colour and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The three properties manipulated in this study have been investigated to very unequal depths. Table 2.1 sets out the studies that manipulated at least one of them, and four statements can be drawn from that body of work. In the table, findings are marked primary where they bear directly on the question posed here, and secondary where they supply supporting or contextual evidence.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positive polarity advantage is consistent across paradigms, tasks and display technologies. Proofreading, pupillometry, adaptive-staircase psychophysics, lexical decision, eye tracking and visual-ergonomic optimisation all favour dark text on a light field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2017; C. Lin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Sethi &amp; Ziat, 2023).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That corpus is nevertheless narrow in precisely the way this study is broad. Its paradigms are short and threshold-limited, its stimuli almost entirely achromatic, and none of the studies measures blinking, validated symptoms or fatigue accumulated over an hour. An advantage in legibility does not license an inference about visual fatigue, although popular argument about dark mode routinely makes that inference in both directions.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Third, the literature manipulating text chromaticity is small, and no located study has crossed colour with polarity while measuring fatigue. Exposure in these studies is brief, so duration is a plausible moderator of the discrepancy between one study that found no effect on reading speed over two-minute passages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another that found clear effects on fatigue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More consequentially, none of them separates hue from luminance contrast. Because chromatic pigments differ in relative luminance, a fixed colour set rendered on light and on dark fields produces unequal and polarity-asymmetric contrasts, so contrast is an inseparable covarying property of any colour manipulation and has to be modelled (Buchner &amp; Baumgartner, 2007). Xie and colleagues (2021) add a complication that bears directly on the present design: their objective and subjective indices pointed in opposite directions, dark mode improving blink measures while light mode was preferred and rated less fatiguing.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Fourth, ambient illumination modulates both the legibility cost of negative polarity and the fatigue cost of coloured text under it, which is consistent with a pupil-mediated account in which room light and display polarity trade against one another. The evidence is not uniform. The proofreading advantage was independent of ambient lighting in one experiment (Buchner &amp; Baumgartner, 2007) whereas threshold legibility showed a clear interaction in another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 pattern more suggestive of a threshold-like relationship than of smooth scaling, and one that requires illumination to be measured rather than described. The same trade appears from the display side, since lowering screen brightness in a dark room reduced fatigue (Tian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which implicates the ratio of display to ambient luminance rather than either term alone. The most directly relevant study found that reading in a dark room from a bright screen produced the greatest tear-film destabilisation, the highest incomplete-blink rate and the highest subjective fatigue score, with incomplete blinking rising over time in every condition (M. Lin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spacing w:after="0" w:line="360"/>
        <w:ind w:firstLine="360"/>
        <w:jc w:val="both"/>
      </w:pPr>
      <w:r>
        <w:rPr>
          <w:rFonts w:ascii="Times New Roman" w:cs="Times New Roman" w:eastAsia="Times New Roman" w:hAnsi="Times New Roman"/>
          <w:b/>
          <w:bCs/>
          <w:i w:val="false"/>
          <w:iCs w:val="false"/>
          <w:sz w:val="24"/>
          <w:szCs w:val="24"/>
        </w:rPr>
        <w:t xml:space="preserve">Table 2.1.</w:t>
      </w:r>
      <w:r>
        <w:rPr>
          <w:rFonts w:ascii="Times New Roman" w:cs="Times New Roman" w:eastAsia="Times New Roman" w:hAnsi="Times New Roman"/>
          <w:b w:val="false"/>
          <w:bCs w:val="false"/>
          <w:i w:val="false"/>
          <w:iCs w:val="false"/>
          <w:sz w:val="24"/>
          <w:szCs w:val="24"/>
        </w:rPr>
        <w:t xml:space="preserve"> Studies manipulating display polarity, text colour or ambient illumination.** N denotes reported sample size; NR = not reported in the retrieved record. Finding type indicates relevance to the present research question.</w:t>
      </w:r>
    </w:p>
    <w:p>
      <w:pPr>
        <w:sectPr>
          <w:pgSz w:w="11906" w:h="16838" w:orient="portrait"/>
          <w:pgMar w:top="1440" w:right="1134" w:bottom="1440" w:left="1701" w:header="708" w:footer="708" w:gutter="0"/>
          <w:pgNumType/>
          <w:docGrid w:linePitch="360"/>
        </w:sectPr>
      </w:pPr>
    </w:p>
    <w:tbl>
      <w:tblPr>
        <w:tblW w:type="dxa" w:w="14003"/>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170"/>
        <w:gridCol w:w="698"/>
        <w:gridCol w:w="650"/>
        <w:gridCol w:w="2801"/>
        <w:gridCol w:w="4272"/>
        <w:gridCol w:w="698"/>
        <w:gridCol w:w="3064"/>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117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9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280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Parameter manipulated</w:t>
            </w:r>
          </w:p>
        </w:tc>
        <w:tc>
          <w:tcPr>
            <w:tcW w:type="dxa" w:w="427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69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Finding type</w:t>
            </w:r>
          </w:p>
        </w:tc>
        <w:tc>
          <w:tcPr>
            <w:tcW w:type="dxa" w:w="306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Buchner &amp; Baumgartner</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illumination, chromaticity</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advantage held irrespective of ambient lighting; colour contrast could not compensate for absent luminance contrast</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Proofreading only; no ocular or symptom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Piepenbrock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2014a, 2014b</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pupil size; character size</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Smaller pupils and better proofreading under positive polarity; the advantage grew linearly as characters shrank</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 text; brief exposure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Typeface, polarity, size, age</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Black-on-white more legible than white-on-black; typeface interacted with age</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Secondary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Glance reading; threshold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illumination, letter size</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Thresholds worst for negative polarity under near-dark light; raising illumination or switching polarity restored legibility</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fatigue or ocular-surface outcomes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Jiménez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14 text-background colour pairs</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modulated accommodative and pupillary dynamics; reading speed unaffected; low-contrast pairs rated least legible</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Two-minute exposure; no symptom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Xie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mode and luminance contrast at night</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mode raised blink rate, yet light mode was preferred and rated less fatiguing</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Objective-subjective dissociation unexplained</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Tian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Stimulus colour and screen brightness in darkness</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Low screen brightness reduced subjective fatigue; blue preferred to red; no colour effect on EEG indices</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Secondary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Non-reading stimuli; below 3 lux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Sethi &amp; Ziat</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environment, age, task</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Higher cognitive load under negative polarity, conditional on age and lighting</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ocular-surface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Fan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Illumination and text colour under negative polarity</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 most fatiguing and yellow least; higher illumination reduced fatigue, by an amount that varied with text colour</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Single polarity; hue confounded with contrast</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 Lin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luminance and polarity at 300 lux</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Positive polarity preferable; optimum luminance 153 cd/m²</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Desktop head-up display; achromatic; office lighting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 Lin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Room and screen brightness, 30-minute reading</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room with bright screen most destabilised the tear film and raised incomplete blinking; incomplete-blink frequency correlated with fatigue score</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Smartphone; polarity not manipulated</w:t>
            </w:r>
          </w:p>
        </w:tc>
      </w:tr>
    </w:tbl>
    <w:p>
      <w:pPr>
        <w:spacing w:after="40" w:line="120"/>
      </w:pPr>
      <w:r>
        <w:rPr>
          <w:sz w:val="8"/>
          <w:szCs w:val="8"/>
        </w:rPr>
        <w:t xml:space="preserve"/>
      </w:r>
    </w:p>
    <w:p>
      <w:pPr>
        <w:sectPr>
          <w:pgSz w:w="16838" w:h="11906" w:orient="portrait"/>
          <w:pgMar w:top="1440" w:right="1134" w:bottom="1440" w:left="1701" w:header="708" w:footer="708" w:gutter="0"/>
          <w:pgNumType/>
          <w:docGrid w:linePitch="360"/>
        </w:sectPr>
      </w:pP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2.3 Ocular behaviour as an objective marker</w:t>
      </w:r>
    </w:p>
    <w:p>
      <w:pPr>
        <w:spacing w:after="0" w:line="36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this field (H.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of the available blink indices the proportion that fail to close fully has the strongest claim to specificity. Three findings summarised in Table 2.2 together forbid reading blink rate as a simple index of fatigue.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Rate falls during reading irrespective of the medium, and only electronic reading raises the proportion of incomplete blinks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it also falls with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with non-invasive break-up time dropping from 8.62 to 4.33 seconds at thirty minutes and recovering as incomplete blinking declined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Raising blink rate experimentally from 11.6 to 23.5 blinks per minute produced no change in symptom score, whereas the percentage of incomplete blinks correlated with symptoms at p = 0.002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Two further observations follow from the same table. Every study in it relied on manual frame-by-frame coding or on dedicated hardware, which is why the samples run from eleven to fifty. And none of them manipulated display polarity or text colour, so the marker with the strongest claim to specificity has never been used as the outcome of the manipulation most likely to move it.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PERCLOS, the proportion of time for which the eyes are more than 80 per cent closed, is among the most validated indices for passive detection of drowsiness (Abe, 2023) and correlates with vigilance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under moderate drowsiness dictates its role here as a covariate for sleepiness rather than as a measure of visual fatigue.</w:t>
      </w:r>
    </w:p>
    <w:p>
      <w:pPr>
        <w:spacing w:after="0" w:line="360"/>
        <w:ind w:firstLine="360"/>
        <w:jc w:val="both"/>
      </w:pPr>
      <w:r>
        <w:rPr>
          <w:rFonts w:ascii="Times New Roman" w:cs="Times New Roman" w:eastAsia="Times New Roman" w:hAnsi="Times New Roman"/>
          <w:b/>
          <w:bCs/>
          <w:i w:val="false"/>
          <w:iCs w:val="false"/>
          <w:sz w:val="24"/>
          <w:szCs w:val="24"/>
        </w:rPr>
        <w:t xml:space="preserve">Table 2.2.</w:t>
      </w:r>
      <w:r>
        <w:rPr>
          <w:rFonts w:ascii="Times New Roman" w:cs="Times New Roman" w:eastAsia="Times New Roman" w:hAnsi="Times New Roman"/>
          <w:b w:val="false"/>
          <w:bCs w:val="false"/>
          <w:i w:val="false"/>
          <w:iCs w:val="false"/>
          <w:sz w:val="24"/>
          <w:szCs w:val="24"/>
        </w:rPr>
        <w:t xml:space="preserve"> Studies of ocular behaviour as an objective marker.**</w:t>
      </w:r>
    </w:p>
    <w:p>
      <w:pPr>
        <w:sectPr>
          <w:pgSz w:w="11906" w:h="16838" w:orient="portrait"/>
          <w:pgMar w:top="1440" w:right="1134" w:bottom="1440" w:left="1701" w:header="708" w:footer="708" w:gutter="0"/>
          <w:pgNumType/>
          <w:docGrid w:linePitch="360"/>
        </w:sectPr>
      </w:pPr>
    </w:p>
    <w:tbl>
      <w:tblPr>
        <w:tblW w:type="dxa" w:w="14003"/>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922"/>
        <w:gridCol w:w="650"/>
        <w:gridCol w:w="650"/>
        <w:gridCol w:w="3311"/>
        <w:gridCol w:w="4533"/>
        <w:gridCol w:w="755"/>
        <w:gridCol w:w="2532"/>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92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331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 and task</w:t>
            </w:r>
          </w:p>
        </w:tc>
        <w:tc>
          <w:tcPr>
            <w:tcW w:type="dxa" w:w="453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75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Finding type</w:t>
            </w:r>
          </w:p>
        </w:tc>
        <w:tc>
          <w:tcPr>
            <w:tcW w:type="dxa" w:w="253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9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Cardona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25</w:t>
            </w:r>
          </w:p>
        </w:tc>
        <w:tc>
          <w:tcPr>
            <w:tcW w:type="dxa" w:w="331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and amplitude; fast against slow display task</w:t>
            </w:r>
          </w:p>
        </w:tc>
        <w:tc>
          <w:tcPr>
            <w:tcW w:type="dxa" w:w="453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Rate fell to one-third of baseline in the fast task and one-half in the slow task, with more incomplete blinks when dynamic</w:t>
            </w:r>
          </w:p>
        </w:tc>
        <w:tc>
          <w:tcPr>
            <w:tcW w:type="dxa" w:w="75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Secondary</w:t>
            </w:r>
          </w:p>
        </w:tc>
        <w:tc>
          <w:tcPr>
            <w:tcW w:type="dxa" w:w="253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Game task rather than reading; manual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Portello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w:t>
            </w:r>
          </w:p>
        </w:tc>
        <w:tc>
          <w:tcPr>
            <w:tcW w:type="dxa" w:w="331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and completeness; 15-minute reading</w:t>
            </w:r>
          </w:p>
        </w:tc>
        <w:tc>
          <w:tcPr>
            <w:tcW w:type="dxa" w:w="453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 blinks 0.9 to 56.5 per cent (mean 16.1); symptom score correlated with the incomplete percentage at p = 0.002</w:t>
            </w:r>
          </w:p>
        </w:tc>
        <w:tc>
          <w:tcPr>
            <w:tcW w:type="dxa" w:w="75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253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Single condition; small sample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9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Hirota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331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composition and tear break-up; 60-minute task</w:t>
            </w:r>
          </w:p>
        </w:tc>
        <w:tc>
          <w:tcPr>
            <w:tcW w:type="dxa" w:w="453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Break-up time fell 8.62 to 4.33 s by 30 min and recovered as incomplete blinking declined</w:t>
            </w:r>
          </w:p>
        </w:tc>
        <w:tc>
          <w:tcPr>
            <w:tcW w:type="dxa" w:w="75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253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Very small sample; single condition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9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50</w:t>
            </w:r>
          </w:p>
        </w:tc>
        <w:tc>
          <w:tcPr>
            <w:tcW w:type="dxa" w:w="331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completeness; six print and screen conditions</w:t>
            </w:r>
          </w:p>
        </w:tc>
        <w:tc>
          <w:tcPr>
            <w:tcW w:type="dxa" w:w="453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All reading lowered blink rate; incomplete blinks rose only on electronic platforms</w:t>
            </w:r>
          </w:p>
        </w:tc>
        <w:tc>
          <w:tcPr>
            <w:tcW w:type="dxa" w:w="75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253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parameters held fixed</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9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Jackson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w:t>
            </w:r>
          </w:p>
        </w:tc>
        <w:tc>
          <w:tcPr>
            <w:tcW w:type="dxa" w:w="331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simulated driving after 24-hour sleep deprivation</w:t>
            </w:r>
          </w:p>
        </w:tc>
        <w:tc>
          <w:tcPr>
            <w:tcW w:type="dxa" w:w="453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correlated with vigilance variability (r = 0.68)</w:t>
            </w:r>
          </w:p>
        </w:tc>
        <w:tc>
          <w:tcPr>
            <w:tcW w:type="dxa" w:w="75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Secondary</w:t>
            </w:r>
          </w:p>
        </w:tc>
        <w:tc>
          <w:tcPr>
            <w:tcW w:type="dxa" w:w="253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Drowsiness rather than visual fatigue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9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 Lin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331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Tear-film indices and blink parameters; 30-minute reading</w:t>
            </w:r>
          </w:p>
        </w:tc>
        <w:tc>
          <w:tcPr>
            <w:tcW w:type="dxa" w:w="453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Incomplete-blink rate rose over time in every group</w:t>
            </w:r>
          </w:p>
        </w:tc>
        <w:tc>
          <w:tcPr>
            <w:tcW w:type="dxa" w:w="75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253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not manipulated</w:t>
            </w:r>
          </w:p>
        </w:tc>
      </w:tr>
    </w:tbl>
    <w:p>
      <w:pPr>
        <w:spacing w:after="40" w:line="120"/>
      </w:pPr>
      <w:r>
        <w:rPr>
          <w:sz w:val="8"/>
          <w:szCs w:val="8"/>
        </w:rPr>
        <w:t xml:space="preserve"/>
      </w:r>
    </w:p>
    <w:p>
      <w:pPr>
        <w:sectPr>
          <w:pgSz w:w="16838" w:h="11906" w:orient="portrait"/>
          <w:pgMar w:top="1440" w:right="1134" w:bottom="1440" w:left="1701" w:header="708" w:footer="708" w:gutter="0"/>
          <w:pgNumType/>
          <w:docGrid w:linePitch="360"/>
        </w:sectPr>
      </w:pP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2.4 Performance, subjective instruments and scalability</w:t>
      </w:r>
    </w:p>
    <w:p>
      <w:pPr>
        <w:spacing w:after="0" w:line="360"/>
        <w:jc w:val="both"/>
      </w:pPr>
      <w:r>
        <w:rPr>
          <w:rFonts w:ascii="Times New Roman" w:cs="Times New Roman" w:eastAsia="Times New Roman" w:hAnsi="Times New Roman"/>
          <w:b w:val="false"/>
          <w:bCs w:val="false"/>
          <w:i w:val="false"/>
          <w:iCs w:val="false"/>
          <w:sz w:val="24"/>
          <w:szCs w:val="24"/>
        </w:rPr>
        <w:t xml:space="preserve">Print retains an advantage over screen for comprehension, moderated by genre and by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That constrains how comprehension ought to be measured, since genre, difficulty and pacing must be held constant, but it does not bear on the hypothesis under test, because a design that stays within one medium removes the medium confound altogether. Prolonged monotonous tasks also produce a vigilance decrement, best accounted for by resource depletion rather than by understimulation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and lapses of attention are among the indices most sensitive to sleep loss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share time on task as a driver and have to be measured together if they are to be told apart.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For subjective measurement the Computer Vision Syndrome Questionnaire assesses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in a sample of 280 workers reported internal consistency of 0.793, temporal stability of 0.847, sensitivity of 78.5 per cent and specificity of 70.7 per cent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(Hart &amp; Staveland, 1988). Review notes that correlations between objective and subjective measures are not always apparent (Sheppard &amp; Wolffsohn, 2018), a discrepancy treated here as an object of study rather than as a nuisance.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Being continuous and normalised, the measure can distinguish partial from complete closure, which automates what the clinical literature has done by hand. Validity differs by target. Camera-based gaze estimation is defensible only for coarse zone classification, whereas blink proportions need temporal rather than spatial precision and stay robust where duration-based metrics fail below roughly 25 frames per second. No published study has validated a camera-based incomplete-blink measure against manual annotation.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2.5 Research gaps</w:t>
      </w:r>
    </w:p>
    <w:p>
      <w:pPr>
        <w:spacing w:after="0" w:line="360"/>
        <w:jc w:val="both"/>
      </w:pPr>
      <w:r>
        <w:rPr>
          <w:rFonts w:ascii="Times New Roman" w:cs="Times New Roman" w:eastAsia="Times New Roman" w:hAnsi="Times New Roman"/>
          <w:b w:val="false"/>
          <w:bCs w:val="false"/>
          <w:i w:val="false"/>
          <w:iCs w:val="false"/>
          <w:sz w:val="24"/>
          <w:szCs w:val="24"/>
        </w:rPr>
        <w:t xml:space="preserve">Six gaps follow from the foregoing and together define the study. The positive polarity advantage is established for brief achromatic legibility tasks but untested for prolonged reading with fatigue accumulation and ocular-surface outcomes. The interaction of polarity with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and hue has nowhere been separated from luminance contrast. No located study reports contrast metrics alongside measured display photometry; the prevailing accessibility standard is polarity-blind (Somers, n.d.; World Wide Web Consortium, 2023); and three-way effects of polarity, colour and illumination remain uncharacterised. Few studies co-register a validated symptom instrument with objective markers in the same condition, and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The incomplete-blink ratio has not been tested as the outcome of a display manipulation despite its specificity, and no automated implementation has been validated against manual annotation, so the measure does not scale. Individual differences in habitual display preference, exposure and lighting environment are seldom modelled as moderators, and tablet-specific protocols of any ecological validity are scarce.</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3: RATIONALE AND RESEARCH QUESTION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3.1 Statement of the problem</w:t>
      </w:r>
    </w:p>
    <w:p>
      <w:pPr>
        <w:spacing w:after="0" w:line="360"/>
        <w:jc w:val="both"/>
      </w:pPr>
      <w:r>
        <w:rPr>
          <w:rFonts w:ascii="Times New Roman" w:cs="Times New Roman" w:eastAsia="Times New Roman" w:hAnsi="Times New Roman"/>
          <w:b w:val="false"/>
          <w:bCs w:val="false"/>
          <w:i w:val="false"/>
          <w:iCs w:val="false"/>
          <w:sz w:val="24"/>
          <w:szCs w:val="24"/>
        </w:rPr>
        <w:t xml:space="preserve">The gaps set out at the close of Chapter 2 converge on a single practical difficulty. Roughly seven in ten screen users report symptoms of digital eye strain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the remedies promoted most heavily for it lack trial support. A meta-analysis of 45 randomised controlled trials involving 4,497 participants found no high-certainty evidence for any therapy examined, blue-blocking lenses included, and only low-certainty benefit for oral omega-3 in dry-eye symptoms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A review restricted to younger users reached the same conclusion on blue-blocking filters and recommended ergonomic optimisation and shorter exposure instead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properties of the displayed stimulus sit upstream of the visual load, cost nothing to change and can be deployed universally, yet they remain the least investigated part of the problem. Work on polarity is confined to brief, threshold-limited tasks using achromatic text; work on text colour is limited either to short exposures without symptom outcomes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or to a single polarity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 study has estimated how polarity and text colour interact, separated hue from luminance contrast, crossed either with ambient illumination, or measured a validated symptom instrument alongside the ocular marker most specific to the condition. Because blink completeness has been scored by hand, frame by frame, the literature is confined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clinician, a designer or a standards body therefore has no evidence base from which to advise how a tablet should be configured for prolonged reading, or how that configuration ought to change with the light in which it is used.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3.2 Rationale of the study</w:t>
      </w:r>
    </w:p>
    <w:p>
      <w:pPr>
        <w:spacing w:after="0" w:line="360"/>
        <w:jc w:val="both"/>
      </w:pPr>
      <w:r>
        <w:rPr>
          <w:rFonts w:ascii="Times New Roman" w:cs="Times New Roman" w:eastAsia="Times New Roman" w:hAnsi="Times New Roman"/>
          <w:b w:val="false"/>
          <w:bCs w:val="false"/>
          <w:i w:val="false"/>
          <w:iCs w:val="false"/>
          <w:sz w:val="24"/>
          <w:szCs w:val="24"/>
        </w:rPr>
        <w:t xml:space="preserve">The study takes up a determinant of visual health that is common, freely modifiable and poorly evidenced, and it does so with a design capable of answering a question the existing literature cannot.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design turns on an arithmetical property of contrast. Because the accessibility contrast ratio on a white field falls as the relative luminance of the text rises, while the ratio on a black field rises with it, the rank order of the chromatic conditions is exactly inverted between the two polarities, as Table 4.4 shows. Blue and red sit high in contrast on white but fall below the accessibility minimum on black, and yellow and green behave in the opposite way. The achromatic pair is the anchor: black on white and white on black both yield 21.00:1, so that one pair varies polarity while holding luminance contrast constant. The polarity-by-colour interaction can therefore be used to model contrast-mediated effects and to distinguish them from residual, hue-specific ones. The separation is statistical rather than experimental, since hue and luminance contrast cannot be orthogonalised within a fixed colour set, and it is interpreted with that limit in view.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reported red as most fatiguing and yellow as least under negative polarity, which is precisely what luminance contrast alone would predict for those hues on a black background; a single-polarity design cannot tell the two explanations apart.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Manipulating ambient light between sessions tests the polarity effect where it matters behaviourally, because devices are used extensively at night and in dim domestic settings, and it is there that negative polarity is predicted to cost most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M. Lin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Validating an automated measure of blink completeness would lift the annotation bottleneck that has kept this literature small. The findings bear on interface design, on accessibility standards whose contrast criterion takes no account of polarity (Somers, n.d.; World Wide Web Consortium, 2023), on public health guidance, and on the advice optometrists give patients in an area where practitioners are documented to lack quality evidence (Sheppard &amp; Wolffsohn, 2018).</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3.3 Aim</w:t>
      </w:r>
    </w:p>
    <w:p>
      <w:pPr>
        <w:spacing w:after="0" w:line="360"/>
        <w:jc w:val="both"/>
      </w:pPr>
      <w:r>
        <w:rPr>
          <w:rFonts w:ascii="Times New Roman" w:cs="Times New Roman" w:eastAsia="Times New Roman" w:hAnsi="Times New Roman"/>
          <w:b w:val="false"/>
          <w:bCs w:val="false"/>
          <w:i w:val="false"/>
          <w:iCs w:val="false"/>
          <w:sz w:val="24"/>
          <w:szCs w:val="24"/>
        </w:rPr>
        <w:t xml:space="preserve">To determine the effects and interactions of display polarity, text colour and ambient illumination on visual fatigue, ocular behaviour and visual task performance during prolonged tablet-based reading, and, as a secondary methodological aim, to evaluate the validity and feasibility of camera-based blink assessment as an objective measure of ocular response.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3.4 Objectives</w:t>
      </w:r>
    </w:p>
    <w:p>
      <w:pPr>
        <w:spacing w:after="0" w:line="360"/>
        <w:jc w:val="both"/>
      </w:pPr>
      <w:r>
        <w:rPr>
          <w:rFonts w:ascii="Times New Roman" w:cs="Times New Roman" w:eastAsia="Times New Roman" w:hAnsi="Times New Roman"/>
          <w:b w:val="false"/>
          <w:bCs w:val="false"/>
          <w:i w:val="false"/>
          <w:iCs w:val="false"/>
          <w:sz w:val="24"/>
          <w:szCs w:val="24"/>
        </w:rPr>
        <w:t xml:space="preserve">Primary objectives</w:t>
      </w:r>
    </w:p>
    <w:p>
      <w:pPr>
        <w:spacing w:after="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text colour and ambient illumination on subjective visual fatigue, ocular behaviour, cognitive workload and task performance during prolonged tablet reading.</w:t>
      </w:r>
    </w:p>
    <w:p>
      <w:pPr>
        <w:spacing w:after="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configuration of polarity, colour and illumination that minimises visual fatigue and maximises task performance, and to examine how participant characteristics moderate these effects.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Methodological objective</w:t>
      </w:r>
    </w:p>
    <w:p>
      <w:pPr>
        <w:spacing w:after="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3.5 Hypotheses</w:t>
      </w:r>
    </w:p>
    <w:p>
      <w:pPr>
        <w:spacing w:after="0" w:line="360"/>
        <w:jc w:val="both"/>
      </w:pPr>
      <w:r>
        <w:rPr>
          <w:rFonts w:ascii="Times New Roman" w:cs="Times New Roman" w:eastAsia="Times New Roman" w:hAnsi="Times New Roman"/>
          <w:b w:val="false"/>
          <w:bCs w:val="false"/>
          <w:i w:val="false"/>
          <w:iCs w:val="false"/>
          <w:sz w:val="24"/>
          <w:szCs w:val="24"/>
        </w:rPr>
        <w:t xml:space="preserve">Null hypothesis (H0). Display polarity, text colour and ambient illumination, individually or in combination, have no significant effect on visual fatigue, ocular behaviour or visual task performance during prolonged tablet reading.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Alternative hypothesis (H1). At least one of these factors, individually or in combination, significantly affects these outcomes. Four directional hypotheses follow from the objectives.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H1a, main effects (Objective 1). Positive polarity, higher luminance contrast and higher ambient illumination are each associated with a lower incomplete-blink ratio, lower subjective visual fatigue and better task performance.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H1b, interactions (Objective 1). The effect of text colour depends on polarity, and the cost of negative polarity is greater under dim than under moderate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H1c, contrast mediation (Objective 2). Colour-related variance is largely accounted for by luminance contrast. Because the computed contrast ordering reverses between the two polarities, a contrast-mediated effect predicts a corresponding reversal of the colour ordering across polarity, whereas a residual hue-specific effect predicts a consistent ordering, with red the candidate exception identified in advance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H1d, moderation (Objective 3). Habitual display-mode preference, habitual screen exposure, typical ambient-lighting environment and digital literacy moderate the magnitude of these effects.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3.6 Conceptual framework</w:t>
      </w:r>
    </w:p>
    <w:p>
      <w:pPr>
        <w:spacing w:after="0" w:line="360"/>
        <w:jc w:val="both"/>
      </w:pPr>
      <w:r>
        <w:rPr>
          <w:rFonts w:ascii="Times New Roman" w:cs="Times New Roman" w:eastAsia="Times New Roman" w:hAnsi="Times New Roman"/>
          <w:b w:val="false"/>
          <w:bCs w:val="false"/>
          <w:i w:val="false"/>
          <w:iCs w:val="false"/>
          <w:sz w:val="24"/>
          <w:szCs w:val="24"/>
        </w:rPr>
        <w:t xml:space="preserve">Display configuration and ambient illuminance act on the measured outcomes through two proximal mechanisms, shown in Figure 3.1.</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Along the optical route, display and room luminance together determine pupil diameter, which governs aberration and depth of focus and so sets retinal image quality and accommodative demand. This route is expressed in accommodative and vergence symptoms and is measured through reading rate, comprehension, visual search and perceived clarity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Along the ocular-surface route, visual and cognitive demand suppress blink rate and raise incomplete blinking, which exposes evaporative area and destabilises the tear film. This route is expressed in dryness, burning and irritation, and is measured by the incomplete-blink ratio, the primary outcome, together with change in the Computer Vision Syndrome Questionnaire score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K.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Cutting across both routes, time on task depletes sustained-attention capacity and is counterbalanced and modelled rather than eliminated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Sleepiness, indexed by PERCLOS, and disengagement are treated as measured confounders (Abe, 2023;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and participant characteristics modulate susceptibility throughout.</w:t>
      </w:r>
    </w:p>
    <w:p>
      <w:pPr>
        <w:spacing w:after="0" w:line="360"/>
        <w:ind w:firstLine="360"/>
        <w:jc w:val="both"/>
      </w:pPr>
      <w:r>
        <w:rPr>
          <w:rFonts w:ascii="Times New Roman" w:cs="Times New Roman" w:eastAsia="Times New Roman" w:hAnsi="Times New Roman"/>
          <w:b/>
          <w:bCs/>
          <w:i w:val="false"/>
          <w:iCs w:val="false"/>
          <w:sz w:val="24"/>
          <w:szCs w:val="24"/>
        </w:rPr>
        <w:t xml:space="preserve">Figure 3.1.</w:t>
      </w:r>
      <w:r>
        <w:rPr>
          <w:rFonts w:ascii="Times New Roman" w:cs="Times New Roman" w:eastAsia="Times New Roman" w:hAnsi="Times New Roman"/>
          <w:b w:val="false"/>
          <w:bCs w:val="false"/>
          <w:i w:val="false"/>
          <w:iCs w:val="false"/>
          <w:sz w:val="24"/>
          <w:szCs w:val="24"/>
        </w:rPr>
        <w:t xml:space="preserve"> Conceptual model of the two pathways from display configuration to measured outcome.**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3023"/>
        <w:gridCol w:w="3023"/>
        <w:gridCol w:w="3025"/>
      </w:tblGrid>
      <w:tr>
        <w:tc>
          <w:tcPr>
            <w:tcW w:type="dxa" w:w="3023"/>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Display polarity</w:t>
            </w:r>
          </w:p>
        </w:tc>
        <w:tc>
          <w:tcPr>
            <w:tcW w:type="dxa" w:w="3023"/>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Text colour</w:t>
            </w:r>
          </w:p>
        </w:tc>
        <w:tc>
          <w:tcPr>
            <w:tcW w:type="dxa" w:w="3025"/>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Ambient illumination</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Luminance contrast and total light reaching the eye</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4535"/>
        <w:gridCol w:w="4536"/>
      </w:tblGrid>
      <w:tr>
        <w:tc>
          <w:tcPr>
            <w:tcW w:type="dxa" w:w="4535"/>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Optical route: pupil size, depth of focus, retinal image quality</w:t>
            </w:r>
          </w:p>
        </w:tc>
        <w:tc>
          <w:tcPr>
            <w:tcW w:type="dxa" w:w="4536"/>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Ocular-surface route: blink rate and blink completeness</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4535"/>
        <w:gridCol w:w="4536"/>
      </w:tblGrid>
      <w:tr>
        <w:tc>
          <w:tcPr>
            <w:tcW w:type="dxa" w:w="4535"/>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Reading rate, comprehension, visual search, perceived clarity (secondary outcomes)</w:t>
            </w:r>
          </w:p>
        </w:tc>
        <w:tc>
          <w:tcPr>
            <w:tcW w:type="dxa" w:w="4536"/>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Incomplete-blink ratio (primary outcome) and CVS-Q change (key secondary)</w:t>
            </w:r>
          </w:p>
        </w:tc>
      </w:tr>
    </w:tbl>
    <w:p>
      <w:pPr>
        <w:spacing w:after="60" w:line="120"/>
      </w:pPr>
      <w:r>
        <w:rPr>
          <w:sz w:val="8"/>
          <w:szCs w:val="8"/>
        </w:rPr>
        <w:t xml:space="preserve"/>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4: MATERIALS AND METHODS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4.1 Study design</w:t>
      </w:r>
    </w:p>
    <w:p>
      <w:pPr>
        <w:spacing w:after="0" w:line="360"/>
        <w:jc w:val="both"/>
      </w:pPr>
      <w:r>
        <w:rPr>
          <w:rFonts w:ascii="Times New Roman" w:cs="Times New Roman" w:eastAsia="Times New Roman" w:hAnsi="Times New Roman"/>
          <w:b w:val="false"/>
          <w:bCs w:val="false"/>
          <w:i w:val="false"/>
          <w:iCs w:val="false"/>
          <w:sz w:val="24"/>
          <w:szCs w:val="24"/>
        </w:rPr>
        <w:t xml:space="preserve">The study uses a repeated-measures crossover design of the split-plot type. Display polarity, at two levels, and text colour, at five, are manipulated within session; ambient illumination, at two levels, is manipulated at session level, each participant receiving both levels in counterbalanced order. All three factors are therefore within-participant, with illumination acting as the whole-plot factor and polarity and text colour as sub-plot factors.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Polarity and colour together give ten display conditions. Each is administered under both illumination levels, so every participant contributes twenty condition-runs. Illumination is varied between sessions rather than within, because a fully crossed within-session design would be unmanageable in one sitting and because room light cannot be switched without re-adaptation. The two sessions are separated by 48 to 72 hours. Figure 4.1 sets out the sequence of phases.</w:t>
      </w:r>
    </w:p>
    <w:p>
      <w:pPr>
        <w:spacing w:after="0" w:line="360"/>
        <w:ind w:firstLine="360"/>
        <w:jc w:val="both"/>
      </w:pPr>
      <w:r>
        <w:rPr>
          <w:rFonts w:ascii="Times New Roman" w:cs="Times New Roman" w:eastAsia="Times New Roman" w:hAnsi="Times New Roman"/>
          <w:b/>
          <w:bCs/>
          <w:i w:val="false"/>
          <w:iCs w:val="false"/>
          <w:sz w:val="24"/>
          <w:szCs w:val="24"/>
        </w:rPr>
        <w:t xml:space="preserve">Figure 4.1.</w:t>
      </w:r>
      <w:r>
        <w:rPr>
          <w:rFonts w:ascii="Times New Roman" w:cs="Times New Roman" w:eastAsia="Times New Roman" w:hAnsi="Times New Roman"/>
          <w:b w:val="false"/>
          <w:bCs w:val="false"/>
          <w:i w:val="false"/>
          <w:iCs w:val="false"/>
          <w:sz w:val="24"/>
          <w:szCs w:val="24"/>
        </w:rPr>
        <w:t xml:space="preserve"> Flow of the proposed study.**</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Phase I. Ethics approval, instrument development and pilot, photometric characterisation of the tablet</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Phase II. Recruitment (about 180 approached), screening, consent (n = 145), baseline profiling</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Phase III. Session 1: ten display conditions under illumination level A, in Williams order</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Phase IV. Session 2 after 48 to 72 hours: the same ten conditions under illumination level B</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Phase V. Automated ocular metrics, quality-control gating, manual-annotation validation sub-study</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Phase VI. Mixed-effects analysis (target n = 130, 2,600 condition-runs) and design recommendations</w:t>
            </w:r>
          </w:p>
        </w:tc>
      </w:tr>
    </w:tbl>
    <w:p>
      <w:pPr>
        <w:spacing w:after="6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4.2 Setting, participants and sampling</w:t>
      </w:r>
    </w:p>
    <w:p>
      <w:pPr>
        <w:spacing w:after="0" w:line="360"/>
        <w:jc w:val="both"/>
      </w:pPr>
      <w:r>
        <w:rPr>
          <w:rFonts w:ascii="Times New Roman" w:cs="Times New Roman" w:eastAsia="Times New Roman" w:hAnsi="Times New Roman"/>
          <w:b w:val="false"/>
          <w:bCs w:val="false"/>
          <w:i w:val="false"/>
          <w:iCs w:val="false"/>
          <w:sz w:val="24"/>
          <w:szCs w:val="24"/>
        </w:rPr>
        <w:t xml:space="preserve">The study will be conducted in a controlled laboratory room at Assam down town University in which ambient illuminance can be held constant and daylight excluded. Data collection is expected to run for approximately 24 months following ethics approval and piloting.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Recruitment uses non-probability purposive sampling, with consecutive enrolment of eligible volunteers from the university and its associated institutions, so that cognitive, visual and digital-exposure characteristics stay reasonably homogeneous and the within-subject contrasts are not diluted by uncontrolled heterogeneity. The findings are accordingly not intended to estimate population prevalence, and generalisation beyond comparable young-adult screen users is made with caution. Infinite-population formulae of the form n = Z²pq/e² do not apply, since this is a controlled repeated-measures experiment in which each participant serves as their own control.</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target is 130 participants aged 18 to 35 for analysis, with 145 enrolled to allow for attrition. The figure is a multiple of ten, which the counterbalancing scheme described in Section 4.7 requires for complete balance, and it follows from a simulation-based power analysis conducted by the investigator rather than from a formula that assumes independent observations. The design has two units of replication. Within-participant contrasts, which carry Objectives 1 and 2 and both the primary and key secondary outcomes, are efficient because each participant contributes twenty condition-runs. Between-participant moderation, which is Objective 3, is far more demanding. Table 4.1 gives the simulated power. The binding constraint is the polarity-by-colour interaction central to Objective 2: reaching 80 per cent power for that interaction at a within-participant effect size (dz) of 0.25 requires approximately 128 participants, and moderate between-participant moderation of 0.50 SD requires approximately 127, so a sample of 130 satisfies both while giving better than 90 per cent power for the polarity main effect. Detecting small moderation of 0.40 SD would require approximately 200 participants, so moderation of that magnitude is declared exploratory in advance and will be reported with confidence intervals rather than as a confirmatory test.</w:t>
      </w:r>
    </w:p>
    <w:p>
      <w:pPr>
        <w:spacing w:after="0" w:line="360"/>
        <w:ind w:firstLine="360"/>
        <w:jc w:val="both"/>
      </w:pPr>
      <w:r>
        <w:rPr>
          <w:rFonts w:ascii="Times New Roman" w:cs="Times New Roman" w:eastAsia="Times New Roman" w:hAnsi="Times New Roman"/>
          <w:b/>
          <w:bCs/>
          <w:i w:val="false"/>
          <w:iCs w:val="false"/>
          <w:sz w:val="24"/>
          <w:szCs w:val="24"/>
        </w:rPr>
        <w:t xml:space="preserve">Table 4.1.</w:t>
      </w:r>
      <w:r>
        <w:rPr>
          <w:rFonts w:ascii="Times New Roman" w:cs="Times New Roman" w:eastAsia="Times New Roman" w:hAnsi="Times New Roman"/>
          <w:b w:val="false"/>
          <w:bCs w:val="false"/>
          <w:i w:val="false"/>
          <w:iCs w:val="false"/>
          <w:sz w:val="24"/>
          <w:szCs w:val="24"/>
        </w:rPr>
        <w:t xml:space="preserve"> Simulation-based power (20,000 replications per cell, two-sided alpha of 0.05).**</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537"/>
        <w:gridCol w:w="1313"/>
        <w:gridCol w:w="716"/>
        <w:gridCol w:w="835"/>
        <w:gridCol w:w="835"/>
        <w:gridCol w:w="835"/>
      </w:tblGrid>
      <w:tr>
        <w:trPr>
          <w:tblHeader/>
        </w:trPr>
        <w:tc>
          <w:tcPr>
            <w:tcW w:type="dxa" w:w="453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Analysis</w:t>
            </w:r>
          </w:p>
        </w:tc>
        <w:tc>
          <w:tcPr>
            <w:tcW w:type="dxa" w:w="131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Effect size</w:t>
            </w:r>
          </w:p>
        </w:tc>
        <w:tc>
          <w:tcPr>
            <w:tcW w:type="dxa" w:w="71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60</w:t>
            </w:r>
          </w:p>
        </w:tc>
        <w:tc>
          <w:tcPr>
            <w:tcW w:type="dxa" w:w="8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100</w:t>
            </w:r>
          </w:p>
        </w:tc>
        <w:tc>
          <w:tcPr>
            <w:tcW w:type="dxa" w:w="8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130</w:t>
            </w:r>
          </w:p>
        </w:tc>
        <w:tc>
          <w:tcPr>
            <w:tcW w:type="dxa" w:w="8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200</w:t>
            </w:r>
          </w:p>
        </w:tc>
      </w:tr>
      <w:tr>
        <w:tc>
          <w:tcPr>
            <w:tcW w:type="dxa" w:w="45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main effect</w:t>
            </w:r>
          </w:p>
        </w:tc>
        <w:tc>
          <w:tcPr>
            <w:tcW w:type="dxa" w:w="13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dz = 0.40</w:t>
            </w:r>
          </w:p>
        </w:tc>
        <w:tc>
          <w:tcPr>
            <w:tcW w:type="dxa" w:w="71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86%</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98%</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&gt;99%</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&gt;99%</w:t>
            </w:r>
          </w:p>
        </w:tc>
      </w:tr>
      <w:tr>
        <w:tc>
          <w:tcPr>
            <w:tcW w:type="dxa" w:w="45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main effect</w:t>
            </w:r>
          </w:p>
        </w:tc>
        <w:tc>
          <w:tcPr>
            <w:tcW w:type="dxa" w:w="13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dz = 0.30</w:t>
            </w:r>
          </w:p>
        </w:tc>
        <w:tc>
          <w:tcPr>
            <w:tcW w:type="dxa" w:w="71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84%</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92%</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99%</w:t>
            </w:r>
          </w:p>
        </w:tc>
      </w:tr>
      <w:tr>
        <w:tc>
          <w:tcPr>
            <w:tcW w:type="dxa" w:w="45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by colour interaction</w:t>
            </w:r>
          </w:p>
        </w:tc>
        <w:tc>
          <w:tcPr>
            <w:tcW w:type="dxa" w:w="13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dz = 0.25</w:t>
            </w:r>
          </w:p>
        </w:tc>
        <w:tc>
          <w:tcPr>
            <w:tcW w:type="dxa" w:w="71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47%</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71%</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81%</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94%</w:t>
            </w:r>
          </w:p>
        </w:tc>
      </w:tr>
      <w:tr>
        <w:tc>
          <w:tcPr>
            <w:tcW w:type="dxa" w:w="45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large</w:t>
            </w:r>
          </w:p>
        </w:tc>
        <w:tc>
          <w:tcPr>
            <w:tcW w:type="dxa" w:w="13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0.60 SD</w:t>
            </w:r>
          </w:p>
        </w:tc>
        <w:tc>
          <w:tcPr>
            <w:tcW w:type="dxa" w:w="71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84%</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92%</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99%</w:t>
            </w:r>
          </w:p>
        </w:tc>
      </w:tr>
      <w:tr>
        <w:tc>
          <w:tcPr>
            <w:tcW w:type="dxa" w:w="45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moderate</w:t>
            </w:r>
          </w:p>
        </w:tc>
        <w:tc>
          <w:tcPr>
            <w:tcW w:type="dxa" w:w="13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0.50 SD</w:t>
            </w:r>
          </w:p>
        </w:tc>
        <w:tc>
          <w:tcPr>
            <w:tcW w:type="dxa" w:w="71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48%</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70%</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81%</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94%</w:t>
            </w:r>
          </w:p>
        </w:tc>
      </w:tr>
      <w:tr>
        <w:tc>
          <w:tcPr>
            <w:tcW w:type="dxa" w:w="45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small</w:t>
            </w:r>
          </w:p>
        </w:tc>
        <w:tc>
          <w:tcPr>
            <w:tcW w:type="dxa" w:w="13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0.40 SD</w:t>
            </w:r>
          </w:p>
        </w:tc>
        <w:tc>
          <w:tcPr>
            <w:tcW w:type="dxa" w:w="71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34%</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51%</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80%</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sample of 130 is smaller than those typical of between-participant survey research, but the quantity governing precision here is the number of condition-runs rather than the number of participants, and on that quantity the proposed design is substantially larger than the studies from which its measures are drawn. Those studies, set against the present design in Table 4.2, enrolled between 11 and 50 participants and obtained between 11 and 300 condition-runs in total, the largest being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at 300 and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at 280. The proposed 130 participants at 20 runs each yield 2,600 condition-runs, roughly nine times the largest comparable study. None of these studies combined a sample of this size with per-condition ocular measurement under a manipulated display parameter, and none manipulated polarity, text colour and ambient illumination together: where a display parameter was manipulated at all it was a single one, and the studies that measured blink composition most carefully manipulated no display property whatever.</w:t>
      </w:r>
    </w:p>
    <w:p>
      <w:pPr>
        <w:spacing w:after="0" w:line="360"/>
        <w:ind w:firstLine="360"/>
        <w:jc w:val="both"/>
      </w:pPr>
      <w:r>
        <w:rPr>
          <w:rFonts w:ascii="Times New Roman" w:cs="Times New Roman" w:eastAsia="Times New Roman" w:hAnsi="Times New Roman"/>
          <w:b/>
          <w:bCs/>
          <w:i w:val="false"/>
          <w:iCs w:val="false"/>
          <w:sz w:val="24"/>
          <w:szCs w:val="24"/>
        </w:rPr>
        <w:t xml:space="preserve">Table 4.2.</w:t>
      </w:r>
      <w:r>
        <w:rPr>
          <w:rFonts w:ascii="Times New Roman" w:cs="Times New Roman" w:eastAsia="Times New Roman" w:hAnsi="Times New Roman"/>
          <w:b w:val="false"/>
          <w:bCs w:val="false"/>
          <w:i w:val="false"/>
          <w:iCs w:val="false"/>
          <w:sz w:val="24"/>
          <w:szCs w:val="24"/>
        </w:rPr>
        <w:t xml:space="preserve"> The proposed design set against the published studies from which its measures are drawn.**</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772"/>
        <w:gridCol w:w="650"/>
        <w:gridCol w:w="650"/>
        <w:gridCol w:w="1272"/>
        <w:gridCol w:w="999"/>
        <w:gridCol w:w="3046"/>
        <w:gridCol w:w="1682"/>
      </w:tblGrid>
      <w:tr>
        <w:trPr>
          <w:tblHeader/>
        </w:trPr>
        <w:tc>
          <w:tcPr>
            <w:tcW w:type="dxa" w:w="77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127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Conditions per participant</w:t>
            </w:r>
          </w:p>
        </w:tc>
        <w:tc>
          <w:tcPr>
            <w:tcW w:type="dxa" w:w="99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Total condition-runs</w:t>
            </w:r>
          </w:p>
        </w:tc>
        <w:tc>
          <w:tcPr>
            <w:tcW w:type="dxa" w:w="304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Ocular measure</w:t>
            </w:r>
          </w:p>
        </w:tc>
        <w:tc>
          <w:tcPr>
            <w:tcW w:type="dxa" w:w="168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Display parameter manipulated</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Hirota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composition, tear break-up</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Jackson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24</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Jiménez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14</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280</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Accommodation, pupil</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Text-background colour</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Portello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42</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completeness</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Cardona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25</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75</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amplitude</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Task dynamism</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 Lin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120</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patterns, tear film</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Ambient light and screen brightness</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50</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300</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completeness</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medium</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Proposed study</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Proposed</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130</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20</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2,600</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Incomplete-blink ratio, blink rate, inter-blink interval, PERCLOS</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Polarity, colour and illumination</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Participants must be young adults with normal or corrected acuity and substantial habitual screen exposure, and free of any ocular, systemic, neurological or psychiatric condition, medication or optical state that would independently affect the tear film, accommodation, colour discrimination or reading. The criteria are applied at screening in the operational form given in Table 4.3.</w:t>
      </w:r>
    </w:p>
    <w:p>
      <w:pPr>
        <w:spacing w:after="0" w:line="360"/>
        <w:ind w:firstLine="360"/>
        <w:jc w:val="both"/>
      </w:pPr>
      <w:r>
        <w:rPr>
          <w:rFonts w:ascii="Times New Roman" w:cs="Times New Roman" w:eastAsia="Times New Roman" w:hAnsi="Times New Roman"/>
          <w:b/>
          <w:bCs/>
          <w:i w:val="false"/>
          <w:iCs w:val="false"/>
          <w:sz w:val="24"/>
          <w:szCs w:val="24"/>
        </w:rPr>
        <w:t xml:space="preserve">Table 4.3.</w:t>
      </w:r>
      <w:r>
        <w:rPr>
          <w:rFonts w:ascii="Times New Roman" w:cs="Times New Roman" w:eastAsia="Times New Roman" w:hAnsi="Times New Roman"/>
          <w:b w:val="false"/>
          <w:bCs w:val="false"/>
          <w:i w:val="false"/>
          <w:iCs w:val="false"/>
          <w:sz w:val="24"/>
          <w:szCs w:val="24"/>
        </w:rPr>
        <w:t xml:space="preserve"> Eligibility criteria.**</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536"/>
        <w:gridCol w:w="4535"/>
      </w:tblGrid>
      <w:tr>
        <w:trPr>
          <w:tblHeader/>
        </w:trPr>
        <w:tc>
          <w:tcPr>
            <w:tcW w:type="dxa" w:w="453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Inclusion</w:t>
            </w:r>
          </w:p>
        </w:tc>
        <w:tc>
          <w:tcPr>
            <w:tcW w:type="dxa" w:w="45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Exclusion</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Age 18 to 35 years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Refractive error beyond ±3.00 D</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Distance visual acuity 6/6 or better, with or without correction</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Manifest binocular vision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Habitual screen use of at least four hours daily</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Colour-vision deficiency on screening</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known ocular, systemic or neurological illness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History of photosensitivity or migraine</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Able to give written informed consent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Medication affecting vision, accommodation or tear film</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Available for two sessions 48 to 72 hours apart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Diagnosed learning or psychiatric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further inclusion criteria</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Contact-lens wear on test days; ocular surgery within six months</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Screening comprises visual acuity, non-cycloplegic refraction, cover test, near point of convergence and Ishihara colour-vision screening presented on the study display. Presenting the plates on a display rather than in the booklet is defensible: sensitivity was 94.4 per cent and specificity 82.4 per cent on a calibrated monitor, and 96.0 and 94.7 per cent on a smartphone, with no significant difference between modes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and a multicentre evaluation of a display-based colour-vision screener reported sensitivity of 1.00 and specificity of 0.99 against the Colour Assessment and Diagnosis test (Evans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Screening is an aid rather than a diagnosis, and its outcomes are recorded as covariates. A profiling questionnaire covering habitual display-mode preference, screen exposure, lighting environment, digital literacy, hours since waking and recent caffeine intake supplies the moderators for Objective 3 and the sleepiness covariates.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4.3 Display conditions and photometric characterisation</w:t>
      </w:r>
    </w:p>
    <w:p>
      <w:pPr>
        <w:spacing w:after="0" w:line="360"/>
        <w:jc w:val="both"/>
      </w:pPr>
      <w:r>
        <w:rPr>
          <w:rFonts w:ascii="Times New Roman" w:cs="Times New Roman" w:eastAsia="Times New Roman" w:hAnsi="Times New Roman"/>
          <w:b w:val="false"/>
          <w:bCs w:val="false"/>
          <w:i w:val="false"/>
          <w:iCs w:val="false"/>
          <w:sz w:val="24"/>
          <w:szCs w:val="24"/>
        </w:rPr>
        <w:t xml:space="preserve">All conditions are presented on a single fixed tablet at a viewing distance of 50 to 60 cm, with brightness fixed, automatic brightness and any blue-light filter disabled, and the screen cleaned before each session. Display white-point luminance is measured photometrically and recorded per session, with a working target of 120 to 150 cd/m². That target is informed by the optimum of 153 cd/m² determined under 300 lux (C. Lin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and scaled for the lower domestic illuminance used here. Typography, line height and margins are fixed across conditions, so polarity and colour are the only stimulus properties that vary. Contrast is computed from linearised sRGB relative luminance following the accessibility standard (World Wide Web Consortium, 2023).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Four properties of the resulting matrix, tabulated in Table 4.4, matter for the analysis. The contrast ordering is inverted between the polarities, and this is arithmetic rather than design, since contrast on a white field falls as the text lightens while contrast on a black field rises. The achromatic pair is contrast-matched at 21.00:1 and gives the cleanest test of polarity, being an experimental rather than a statistical control and the one comparison in which a polarity effect cannot be attributed to contrast. Conditions falling below the accessibility minimum are balanced two per polarity, so polarity is not confounded with accessibility compliance. Michelson contrast is uninformative under negative polarity, because a pure black background sets the minimum luminance to zero and the metric saturates at 1.000 for every colour; the accessibility contrast ratio, supported by measured photometry, therefore serves as the analytic contrast variable.</w:t>
      </w:r>
    </w:p>
    <w:p>
      <w:pPr>
        <w:spacing w:after="0" w:line="360"/>
        <w:ind w:firstLine="360"/>
        <w:jc w:val="both"/>
      </w:pPr>
      <w:r>
        <w:rPr>
          <w:rFonts w:ascii="Times New Roman" w:cs="Times New Roman" w:eastAsia="Times New Roman" w:hAnsi="Times New Roman"/>
          <w:b/>
          <w:bCs/>
          <w:i w:val="false"/>
          <w:iCs w:val="false"/>
          <w:sz w:val="24"/>
          <w:szCs w:val="24"/>
        </w:rPr>
        <w:t xml:space="preserve">Table 4.4.</w:t>
      </w:r>
      <w:r>
        <w:rPr>
          <w:rFonts w:ascii="Times New Roman" w:cs="Times New Roman" w:eastAsia="Times New Roman" w:hAnsi="Times New Roman"/>
          <w:b w:val="false"/>
          <w:bCs w:val="false"/>
          <w:i w:val="false"/>
          <w:iCs w:val="false"/>
          <w:sz w:val="24"/>
          <w:szCs w:val="24"/>
        </w:rPr>
        <w:t xml:space="preserve"> The ten display conditions with computed contrast.** Ratios are calculated from linearised sRGB relative luminance (World Wide Web Consortium, 2023) and will be confirmed against measured display photometry.</w:t>
      </w:r>
    </w:p>
    <w:p>
      <w:pPr>
        <w:sectPr>
          <w:pgSz w:w="11906" w:h="16838" w:orient="portrait"/>
          <w:pgMar w:top="1440" w:right="1134" w:bottom="1440" w:left="1701" w:header="708" w:footer="708" w:gutter="0"/>
          <w:pgNumType/>
          <w:docGrid w:linePitch="360"/>
        </w:sectPr>
      </w:pPr>
    </w:p>
    <w:tbl>
      <w:tblPr>
        <w:tblW w:type="dxa" w:w="14003"/>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788"/>
        <w:gridCol w:w="2159"/>
        <w:gridCol w:w="1571"/>
        <w:gridCol w:w="1963"/>
        <w:gridCol w:w="1963"/>
        <w:gridCol w:w="1571"/>
        <w:gridCol w:w="1767"/>
        <w:gridCol w:w="1571"/>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78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Code</w:t>
            </w:r>
          </w:p>
        </w:tc>
        <w:tc>
          <w:tcPr>
            <w:tcW w:type="dxa" w:w="215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Text colour</w:t>
            </w:r>
          </w:p>
        </w:tc>
        <w:tc>
          <w:tcPr>
            <w:tcW w:type="dxa" w:w="157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Text hex</w:t>
            </w:r>
          </w:p>
        </w:tc>
        <w:tc>
          <w:tcPr>
            <w:tcW w:type="dxa" w:w="196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Background</w:t>
            </w:r>
          </w:p>
        </w:tc>
        <w:tc>
          <w:tcPr>
            <w:tcW w:type="dxa" w:w="196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WCAG ratio</w:t>
            </w:r>
          </w:p>
        </w:tc>
        <w:tc>
          <w:tcPr>
            <w:tcW w:type="dxa" w:w="157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Level</w:t>
            </w:r>
          </w:p>
        </w:tc>
        <w:tc>
          <w:tcPr>
            <w:tcW w:type="dxa" w:w="176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Michelson</w:t>
            </w:r>
          </w:p>
        </w:tc>
        <w:tc>
          <w:tcPr>
            <w:tcW w:type="dxa" w:w="157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Below AA</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P1</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21.00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P2</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Blue</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#1E4ED8</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6.70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0.807</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P3</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#C81E1E</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5.74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0.765</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P4</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Yellow</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#C9A400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2.39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Fail</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0.439</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P5</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Green</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#00A651</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3.19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0.564</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N1</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21.00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N2</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Blue</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#1E4ED8</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3.14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N3</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#C81E1E</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3.66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N4</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Yellow</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#C9A400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8.79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N5</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Green</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#00A651</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6.57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bl>
    <w:p>
      <w:pPr>
        <w:spacing w:after="40" w:line="120"/>
      </w:pPr>
      <w:r>
        <w:rPr>
          <w:sz w:val="8"/>
          <w:szCs w:val="8"/>
        </w:rPr>
        <w:t xml:space="preserve"/>
      </w:r>
    </w:p>
    <w:p>
      <w:pPr>
        <w:sectPr>
          <w:pgSz w:w="16838" w:h="11906" w:orient="portrait"/>
          <w:pgMar w:top="1440" w:right="1134" w:bottom="1440" w:left="1701" w:header="708" w:footer="708" w:gutter="0"/>
          <w:pgNumType/>
          <w:docGrid w:linePitch="360"/>
        </w:sectPr>
      </w:pP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4.4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Illuminance is set and verified at the participant's eye position and at the display plane with a calibrated lux meter, and is logged at the start, middle and end of each session. The dim level targets approximately 10 lux, representing night-time and low-light domestic use. The moderate level targets approximately 150 lux, representing general indoor domestic lighting, and is set deliberately below the 300 to 500 lux specified for offices and classrooms in the Indian interior-illumination code (Bureau of Indian Standards, 2009). Two levels rather than a graded series were chosen so that illumination could be crossed with all ten display conditions within a feasible protocol. The values fall either side of the range at which negative-polarity penalties have been reported to emerge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and differ by approximately one log unit, which makes a pupillary difference physiologically plausible. Because display white luminance is held constant, the ratio of display to ambient luminance, the quantity the polarity account implicates, differs by design between sessions. Correlated colour temperature and light-source type are held constant, so illuminance is the only photometric property of the room that varies.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4.5 Instrumentation and outcome measures</w:t>
      </w:r>
    </w:p>
    <w:p>
      <w:pPr>
        <w:spacing w:after="0" w:line="360"/>
        <w:jc w:val="both"/>
      </w:pPr>
      <w:r>
        <w:rPr>
          <w:rFonts w:ascii="Times New Roman" w:cs="Times New Roman" w:eastAsia="Times New Roman" w:hAnsi="Times New Roman"/>
          <w:b w:val="false"/>
          <w:bCs w:val="false"/>
          <w:i w:val="false"/>
          <w:iCs w:val="false"/>
          <w:sz w:val="24"/>
          <w:szCs w:val="24"/>
        </w:rPr>
        <w:t xml:space="preserve">A purpose-built, offline-capable tablet application administers the protocol. It presents the ten conditions with locked colour values and a neutral grey adaptation field between them, and runs the tasks with frame-accurate onset timestamping and hardware-timestamped responses.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Ocular measurement uses camera-based facial-landmark tracking. The eye aspect ratio is computed for each processed frame, and blink events are classified by depth of closure as complete or incomplete against a baseline established for that participant at calibration. A blink is registered when the ratio falls below a fixed fraction of baseline and is classified as incomplete when the lids descend without achieving full apposition. The classification thresholds are provisional and will be finalised against manually annotated video before the main analysis is run. A pre-specified subsample of participants will contribute synchronised video, coded frame by frame by two annotators masked to condition and to algorithm output, so that agreement between the automated classifier and the adjudicated manual standard can be reported. Camera processing runs entirely on the device, and quality-control indices such as achieved sampling rate and face-presence ratio are recorded alongside every measure rather than discarded.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primary outcome is the incomplete-blink ratio during the reading task, analysed per condition. The principal secondary outcome is change in the Computer Vision Syndrome Questionnaire score from session baseline. Remaining measures are secondary or exploratory, and PERCLOS, head pose, face-presence ratio and achieved sampling rate serve as covariates or data-quality indices rather than as outcomes. Confirmatory inference is confined to the primary outcome. Independent variables are display polarity, text colour and ambient illumination; covariates comprise serial position, illumination order, session index, measured ambient illuminance and display luminance, computed contrast metrics, PERCLOS, achieved sampling rate, refractive and binocular status, and the profiling variables. The dependent measures are grouped by domain in Table 4.5.</w:t>
      </w:r>
    </w:p>
    <w:p>
      <w:pPr>
        <w:spacing w:after="0" w:line="360"/>
        <w:ind w:firstLine="360"/>
        <w:jc w:val="both"/>
      </w:pPr>
      <w:r>
        <w:rPr>
          <w:rFonts w:ascii="Times New Roman" w:cs="Times New Roman" w:eastAsia="Times New Roman" w:hAnsi="Times New Roman"/>
          <w:b/>
          <w:bCs/>
          <w:i w:val="false"/>
          <w:iCs w:val="false"/>
          <w:sz w:val="24"/>
          <w:szCs w:val="24"/>
        </w:rPr>
        <w:t xml:space="preserve">Table 4.5.</w:t>
      </w:r>
      <w:r>
        <w:rPr>
          <w:rFonts w:ascii="Times New Roman" w:cs="Times New Roman" w:eastAsia="Times New Roman" w:hAnsi="Times New Roman"/>
          <w:b w:val="false"/>
          <w:bCs w:val="false"/>
          <w:i w:val="false"/>
          <w:iCs w:val="false"/>
          <w:sz w:val="24"/>
          <w:szCs w:val="24"/>
        </w:rPr>
        <w:t xml:space="preserve"> Dependent variables by domain.**</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352"/>
        <w:gridCol w:w="6719"/>
      </w:tblGrid>
      <w:tr>
        <w:trPr>
          <w:tblHeader/>
        </w:trPr>
        <w:tc>
          <w:tcPr>
            <w:tcW w:type="dxa" w:w="235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Domain</w:t>
            </w:r>
          </w:p>
        </w:tc>
        <w:tc>
          <w:tcPr>
            <w:tcW w:type="dxa" w:w="671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Measures</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Ocular behaviour (objective)</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Incomplete-blink ratio (primary); blink rate; inter-blink interval and its variability</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Drowsiness and data quality</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and long-closure events; head pose and stability; face-presence ratio; achieved sampling rate</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Subjective fatigue</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CVS-Q score and change from baseline, the key secondary outcome (Seguí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2015); five-item visual-fatigue visual analogue scale per condition</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Perceived display quality</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comfort and text clarity per condition</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Cognitive workload</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NASA Task Load Index, six dimensions, once per session (Hart &amp; Staveland, 1988)</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Task performance (objective)</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rate; comprehension accuracy and response time; visual-search accuracy and efficiency; reaction-time mean, variability, lapse rate, sensitivity (d-prime) and criterion</w:t>
            </w:r>
          </w:p>
        </w:tc>
      </w:tr>
    </w:tbl>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4.6 Procedure</w:t>
      </w:r>
    </w:p>
    <w:p>
      <w:pPr>
        <w:spacing w:after="0" w:line="360"/>
        <w:jc w:val="both"/>
      </w:pPr>
      <w:r>
        <w:rPr>
          <w:rFonts w:ascii="Times New Roman" w:cs="Times New Roman" w:eastAsia="Times New Roman" w:hAnsi="Times New Roman"/>
          <w:b w:val="false"/>
          <w:bCs w:val="false"/>
          <w:i w:val="false"/>
          <w:iCs w:val="false"/>
          <w:sz w:val="24"/>
          <w:szCs w:val="24"/>
        </w:rPr>
        <w:t xml:space="preserve">Each session opens with setup, seating and calibration, followed by a baseline CVS-Q and fatigue rating. It closes with the CVS-Q repeated and the NASA Task Load Index administered once, as a session-level index of cumulative workload.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ten conditions within a session follow a fixed internal sequence. A neutral grey adaptation field precedes each condition, extended when polarity switches. The participant then reads a standardised passage in the active condition, which is the exposure window for the ocular metrics, and answers comprehension items on it. Ratings of display comfort, text clarity and visual fatigue are taken immediately afterwards, followed by a timed visual-search task and a go/no-go reaction-time task presented on the active background.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Passages are matched for genre, length and readability, and passage assignment is counterbalanced independently of condition, so passage difficulty stays orthogonal to display condition. A self-paced rest break follows every two conditions. No performance feedback is given, so effort is not differentially modulated across conditions. The reaction-time target is achromatic and defined relative to the active background, black on light fields and white on dark ones, with the chromatic set serving as distractors; target contrast is therefore maximal and identical in both polarities, and no hue coincides with the text-colour manipulation.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protocol simulation run by the investigator over 2,000 synthetic participants, using reading rates drawn from the published distribution for adult non-fiction reading together with the timing constants of the instrument itself, estimates a median sitting of approximately 75 to 93 minutes depending on passage length, with the ninety-fifth percentile below 110 minutes. A pilot of ten participants will nonetheless precede the main study to test tolerability, dropout, data quality and completion time against observed rather than simulated values. If the median session exceeds two hours, or withdrawal or data quality fall short of pre-specified thresholds, each illumination level will be divided into two shorter sittings of five conditions, preserving the counterbalancing scheme and the record of serial position.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4.7 Counterbalancing</w:t>
      </w:r>
    </w:p>
    <w:p>
      <w:pPr>
        <w:spacing w:after="0" w:line="36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are driven by the vigilance decrement and by accumulating fatigue, and first-order carryover arises chiefly from the light-adaptation transient that a polarity switch imposes. A balanced Latin square of the Williams type over the ten conditions addresses both, since each condition occupies each serial position equally often across a complete block and precedes and follows every other condition equally often. Participants are assigned to rows by sequential enrolment index, with complete balance achieved in blocks of ten.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second illumination block advances the row by one, so that a participant does not meet the conditions in the same serial order twice; reusing the row would allow a position effect to masquerade as a condition effect in the same direction in both sessions. Illumination order is counterbalanced orthogonally to the condition row, which requires care, because assigning the order by the parity of the enrolment number alone would not be orthogonal to a row index that is itself the enrolment number modulo ten. Order is therefore alternated by parity and inverted after each completed block, which splits the two orders evenly within every block and pairs each row with both orders across twenty participants.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4.8 Statistical analysis</w:t>
      </w:r>
    </w:p>
    <w:p>
      <w:pPr>
        <w:spacing w:after="0" w:line="360"/>
        <w:jc w:val="both"/>
      </w:pPr>
      <w:r>
        <w:rPr>
          <w:rFonts w:ascii="Times New Roman" w:cs="Times New Roman" w:eastAsia="Times New Roman" w:hAnsi="Times New Roman"/>
          <w:b w:val="false"/>
          <w:bCs w:val="false"/>
          <w:i w:val="false"/>
          <w:iCs w:val="false"/>
          <w:sz w:val="24"/>
          <w:szCs w:val="24"/>
        </w:rPr>
        <w:t xml:space="preserve">The confirmatory analysis is a mixed-effects model of the primary outcome, with fixed effects for polarity, text colour, ambient illumination, their interactions, serial position and illumination order. Because the incomplete-blink ratio is a bounded proportion it will be modelled on the logit scale, or by a beta or binomial mixed model, rather than as an untransformed linear outcome. The random structure follows the split-plot design, with a random intercept for participant and one for session nested within participant. The primary contrast is tested at an alpha of 0.05, and the three-way interaction is treated as exploratory given its lower power.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For Objective 2, two nested model families are compared: one specifying colour as a categorical factor, the other specifying luminance contrast as a continuous predictor with colour retained to capture residual hue effects, so that comparative fit and the size of the residual hue terms quantify the contribution of each. Moderation under Objective 3 is tested by entering the profiling variables as between-participant terms with condition-by-moderator interactions. Agreement between automated and manual blink classification under Objective 4 is analysed as set out in Section 4.5. Ordinal models are used for rating-scale outcomes and binomial mixed models for accuracy outcomes. Sensitivity analyses re-fit the models excluding condition-runs flagged for poor data quality, and with PERCLOS entered as a covariate so that visual fatigue can be separated from sleepiness. Effect sizes with 95 per cent confidence intervals, residual diagnostics and multiplicity control within outcome families are reported throughout.</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4.9 Ethical considerations</w:t>
      </w:r>
    </w:p>
    <w:p>
      <w:pPr>
        <w:spacing w:after="0" w:line="360"/>
        <w:jc w:val="both"/>
      </w:pPr>
      <w:r>
        <w:rPr>
          <w:rFonts w:ascii="Times New Roman" w:cs="Times New Roman" w:eastAsia="Times New Roman" w:hAnsi="Times New Roman"/>
          <w:b w:val="false"/>
          <w:bCs w:val="false"/>
          <w:i w:val="false"/>
          <w:iCs w:val="false"/>
          <w:sz w:val="24"/>
          <w:szCs w:val="24"/>
        </w:rPr>
        <w:t xml:space="preserve">Approval will be obtained from the Institutional Ethics Committee of Assam down town University before recruitment, and written informed consent will be taken. Camera-based measurement is consented separately from participation itself and may be refused without affecting it: a participant who declines contributes every non-camera measure and remains fully enrolled. Participants may withdraw at any time.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By default no image or video leaves the device, since the camera produces numeric measures and the frames are discarded as they are processed. Two purposes require imagery, and each is a further independent grant that defaults to refusal. The first is a photograph at the start and end of a session, documenting seating distance and room lighting so that compliance with the setup is evidenced rather than asserted. The second is a short reading-task video segment from the validation subsample, without which Objective 4 cannot be met, since criterion validity requires material that a human assessor can code frame by frame. Neither grant implies the other, and neither is implied by consent to numeric measurement. The permission in force at capture is stored with each file, and retained media are held apart from the research dataset and can be deleted independently of it.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Identifiable enrolment records are stored separately from the de-identified research dataset and linked only by enrolment code, with access restricted to the researcher and the supervisors. Incidental findings at screening, including reduced acuity, uncorrected refractive error, binocular anomaly or colour-vision deficiency, will be recorded and communicated to the participant with written advice to seek a full optometric or ophthalmological examination. No intervention with therapeutic intent is administered, and exposure durations are comparable to habitual device use.</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5: EXPECTED OUTCOMES AND CONCLUSION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5.1 Rationale revisited and expected outcomes</w:t>
      </w:r>
    </w:p>
    <w:p>
      <w:pPr>
        <w:spacing w:after="0" w:line="360"/>
        <w:jc w:val="both"/>
      </w:pPr>
      <w:r>
        <w:rPr>
          <w:rFonts w:ascii="Times New Roman" w:cs="Times New Roman" w:eastAsia="Times New Roman" w:hAnsi="Times New Roman"/>
          <w:b w:val="false"/>
          <w:bCs w:val="false"/>
          <w:i w:val="false"/>
          <w:iCs w:val="false"/>
          <w:sz w:val="24"/>
          <w:szCs w:val="24"/>
        </w:rPr>
        <w:t xml:space="preserve">The rationale set out in Chapter 3 rests on three claims: that display configuration is a determinant of visual health which is ubiquitous and free to change, that the existing evidence cannot separate the effect of hue from the effect of luminance contrast, and that the ocular marker with the best claim to specificity has never been used as the outcome of a display manipulation. What the study is expected to produce follows from each in turn.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study should yield quantified effects, with confidence intervals, of display polarity, text colour and ambient illumination on subjective visual fatigue, ocular behaviour, cognitive workload and task performance. It should provide among the first estimates of the polarity-by-colour interaction on fatigue outcomes, and should establish whether the positive-polarity advantage extends from brief legibility tasks to hour-scale reading.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Because the contrast ordering of the colours reverses across polarity, the results should indicate how far colour-related effects are mediated by luminance contrast rather than by hue. A crossover interaction would support contrast mediation; a preserved ordering would point to residual hue-specific effects. Contrast is expected to account for most of the colour-related variance, with red the candidate exception. Characterising the polarity-by-illumination interaction should show whether negative polarity is specifically costly under dim domestic lighting, which is where dark mode is most used and most advocated.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study should also identify the configurations that minimise and maximise fatigue, indicate whether a polarity-blind contrast criterion adequately predicts measured readability, and produce both an account of subjective-objective correspondence and an instrument whose agreement with manual annotation has been reported.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5.2 Significance of the study</w:t>
      </w:r>
    </w:p>
    <w:p>
      <w:pPr>
        <w:spacing w:after="0" w:line="36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an empirically grounded specification for text presentation and dark-mode implementation in reading applications, e-readers, e-learning platforms and operating-system themes. They bear on accessibility standards by indicating whether and how polarity must enter a contrast criterion. For occupational and public health, display configuration is a preventive measure that costs nothing and can be deployed at population scale against a condition affecting roughly seven in ten screen users. In education the work informs how tablet-based learning materials should be configured. For optometric practice it supplies actionable device-configuration advice in an area where practitioners are documented to lack quality evidence. Methodologically, a scalable instrument would relieve the annotation bottleneck that has confined this literature to small samples.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5.3 Limitations and delimitations</w:t>
      </w:r>
    </w:p>
    <w:p>
      <w:pPr>
        <w:spacing w:after="0" w:line="36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Measuring and modelling contrast mitigates this, and the crossover is exploited deliberately as a test, but the constraint on independent causal attribution remains.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Camera-based measurement is screening-grade. It is lower in spatial accuracy and sampling rate than infrared eye tracking and cannot measure accommodation, so gaze measures are limited to coarse zones, duration-based blink metrics are gated on the achieved frame rate, and accommodative outcomes fall outside the scope of the study. The precision of the primary outcome within a single condition is bounded by the number of blinks that condition captures, and measurement error attenuates observed effect sizes, so the figures in Table 4.1 are upper bounds on what the design can detect.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manipulation cannot be blinded, because polarity and colour are visible, so expectation effects on subjective ratings cannot be excluded; objective markers, the absence of feedback and counterbalancing mitigate but do not remove them. Sessions accumulate generic fatigue and boredom alongside visual fatigue, and these are counterbalanced, measured and modelled rather than eliminated. Administering the NASA Task Load Index once per session limits workload inference to the illumination contrast. Because illumination is manipulated between sessions, its effect is more exposed to between-session variance in time of day, sleep and circadian phase, although order is counterbalanced and the covariates recorded. PERCLOS, while serving as a sleepiness covariate, is itself insensitive to moderate drowsiness.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in whom polarity effects may differ, lie outside the present scope and are identified as future work.</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5.4 Concluding remarks</w:t>
      </w:r>
    </w:p>
    <w:p>
      <w:pPr>
        <w:spacing w:after="0" w:line="36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polarity with text colour under two ecologically relevant levels of ambient light, and by measuring validated symptoms alongside ocular behaviour, workload and task performance within a single instrumented protocol, it is intended to produce quantified, standards-relevant evidence on how a display should be configured for prolonged reading, and to contribute a measurement approach that may reduce this field's reliance on manual annotation.</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REFERENCES</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Bureau of Indian Standards. (2009). </w:t>
      </w:r>
      <w:r>
        <w:rPr>
          <w:rFonts w:ascii="Times New Roman" w:cs="Times New Roman" w:eastAsia="Times New Roman" w:hAnsi="Times New Roman"/>
          <w:b w:val="false"/>
          <w:bCs w:val="false"/>
          <w:i/>
          <w:iCs/>
          <w:sz w:val="24"/>
          <w:szCs w:val="24"/>
        </w:rPr>
        <w:t xml:space="preserve">IS 3646: Code of practice for interior illumination</w:t>
      </w:r>
      <w:r>
        <w:rPr>
          <w:rFonts w:ascii="Times New Roman" w:cs="Times New Roman" w:eastAsia="Times New Roman" w:hAnsi="Times New Roman"/>
          <w:b w:val="false"/>
          <w:bCs w:val="false"/>
          <w:i w:val="false"/>
          <w:iCs w:val="false"/>
          <w:sz w:val="24"/>
          <w:szCs w:val="24"/>
        </w:rPr>
        <w:t xml:space="preserve">. Bureau of Indian Standards.</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Evans, B. E. W., Rodriguez-Carmona, M., Rauscher, F. G., Llapashtica, E., Koefoed, V. F., Ziemssen, F., Nitsche, R., Farini, A., Baldanzi, E., Gómez-Robledo, L., Douglass, A., Baker, M., Quast, R., Roelcke, S., Ho, S. C. C., &amp; Barbur, J. L. (2025). Multicenter evaluation of the color vision screener test. </w:t>
      </w:r>
      <w:r>
        <w:rPr>
          <w:rFonts w:ascii="Times New Roman" w:cs="Times New Roman" w:eastAsia="Times New Roman" w:hAnsi="Times New Roman"/>
          <w:b w:val="false"/>
          <w:bCs w:val="false"/>
          <w:i/>
          <w:iCs/>
          <w:sz w:val="24"/>
          <w:szCs w:val="24"/>
        </w:rPr>
        <w:t xml:space="preserve">Journal of the Optical Society of America 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42</w:t>
      </w:r>
      <w:r>
        <w:rPr>
          <w:rFonts w:ascii="Times New Roman" w:cs="Times New Roman" w:eastAsia="Times New Roman" w:hAnsi="Times New Roman"/>
          <w:b w:val="false"/>
          <w:bCs w:val="false"/>
          <w:i w:val="false"/>
          <w:iCs w:val="false"/>
          <w:sz w:val="24"/>
          <w:szCs w:val="24"/>
        </w:rPr>
        <w:t xml:space="preserve">(5), B190–B198. https://doi.org/10.1364/JOSAA.544985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Fjaervoll, H., Fjaervoll, K., Magno, M., Moschowits, E., Vehof, J., Dartt, D. A., &amp; Utheim, T. P. (2022). The association between visual display terminal use and dry eye: A review.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(4), 357–375. https://doi.org/10.1111/aos.15049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(Advances in Psychology, Vol. 52, pp. 139–183). North-Holland.</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Lin, M., Zheng, X., He, C., Li, M., Lu, F., &amp; Hu, L.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&amp; Anterior Eye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49</w:t>
      </w:r>
      <w:r>
        <w:rPr>
          <w:rFonts w:ascii="Times New Roman" w:cs="Times New Roman" w:eastAsia="Times New Roman" w:hAnsi="Times New Roman"/>
          <w:b w:val="false"/>
          <w:bCs w:val="false"/>
          <w:i w:val="false"/>
          <w:iCs w:val="false"/>
          <w:sz w:val="24"/>
          <w:szCs w:val="24"/>
        </w:rPr>
        <w:t xml:space="preserve">(1), 102515. https://doi.org/10.1016/j.clae.2025.102515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Somers, A. (n.d.). </w:t>
      </w:r>
      <w:r>
        <w:rPr>
          <w:rFonts w:ascii="Times New Roman" w:cs="Times New Roman" w:eastAsia="Times New Roman" w:hAnsi="Times New Roman"/>
          <w:b w:val="false"/>
          <w:bCs w:val="false"/>
          <w:i/>
          <w:iCs/>
          <w:sz w:val="24"/>
          <w:szCs w:val="24"/>
        </w:rPr>
        <w:t xml:space="preserve">APCA: The accessible perceptual contrast algorithm</w:t>
      </w:r>
      <w:r>
        <w:rPr>
          <w:rFonts w:ascii="Times New Roman" w:cs="Times New Roman" w:eastAsia="Times New Roman" w:hAnsi="Times New Roman"/>
          <w:b w:val="false"/>
          <w:bCs w:val="false"/>
          <w:i w:val="false"/>
          <w:iCs w:val="false"/>
          <w:sz w:val="24"/>
          <w:szCs w:val="24"/>
        </w:rPr>
        <w:t xml:space="preserve"> [Documentation]. Myndex Research. Retrieved August 24, 2026, from https://git.apcacontrast.com/</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Soukupová, T., &amp; Čech, J. (2016). Real-time eye blink detection using facial landmarks. In </w:t>
      </w:r>
      <w:r>
        <w:rPr>
          <w:rFonts w:ascii="Times New Roman" w:cs="Times New Roman" w:eastAsia="Times New Roman" w:hAnsi="Times New Roman"/>
          <w:b w:val="false"/>
          <w:bCs w:val="false"/>
          <w:i/>
          <w:iCs/>
          <w:sz w:val="24"/>
          <w:szCs w:val="24"/>
        </w:rPr>
        <w:t xml:space="preserve">Proceedings of the 21st Computer Vision Winter Workshop</w:t>
      </w:r>
      <w:r>
        <w:rPr>
          <w:rFonts w:ascii="Times New Roman" w:cs="Times New Roman" w:eastAsia="Times New Roman" w:hAnsi="Times New Roman"/>
          <w:b w:val="false"/>
          <w:bCs w:val="false"/>
          <w:i w:val="false"/>
          <w:iCs w:val="false"/>
          <w:sz w:val="24"/>
          <w:szCs w:val="24"/>
        </w:rPr>
        <w:t xml:space="preserve">. Rimske Toplice, Slovenia.</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World Wide Web Consortium. (2023). </w:t>
      </w:r>
      <w:r>
        <w:rPr>
          <w:rFonts w:ascii="Times New Roman" w:cs="Times New Roman" w:eastAsia="Times New Roman" w:hAnsi="Times New Roman"/>
          <w:b w:val="false"/>
          <w:bCs w:val="false"/>
          <w:i/>
          <w:iCs/>
          <w:sz w:val="24"/>
          <w:szCs w:val="24"/>
        </w:rPr>
        <w:t xml:space="preserve">Web content accessibility guidelines (WCAG) 2.2</w:t>
      </w:r>
      <w:r>
        <w:rPr>
          <w:rFonts w:ascii="Times New Roman" w:cs="Times New Roman" w:eastAsia="Times New Roman" w:hAnsi="Times New Roman"/>
          <w:b w:val="false"/>
          <w:bCs w:val="false"/>
          <w:i w:val="false"/>
          <w:iCs w:val="false"/>
          <w:sz w:val="24"/>
          <w:szCs w:val="24"/>
        </w:rPr>
        <w:t xml:space="preserve">. https://www.w3.org/TR/WCAG22/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40" w:before="0"/>
      </w:pPr>
      <w:r>
        <w:rPr>
          <w:rFonts w:ascii="Times New Roman" w:cs="Times New Roman" w:eastAsia="Times New Roman" w:hAnsi="Times New Roman"/>
          <w:sz w:val="24"/>
          <w:szCs w:val="24"/>
        </w:rPr>
        <w:t xml:space="preserve"/>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Date: ……………………………                     Signature of Scholar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40" w:before="140" w:line="36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40" w:before="100" w:line="360"/>
    </w:pPr>
    <w:rPr>
      <w:rFonts w:ascii="Times New Roman" w:cs="Times New Roman" w:eastAsia="Times New Roman" w:hAnsi="Times New Roman"/>
      <w:b/>
      <w:bCs/>
      <w:color w:val="000000"/>
      <w:sz w:val="27"/>
      <w:szCs w:val="27"/>
    </w:rPr>
  </w:style>
  <w:style w:type="paragraph" w:styleId="Heading3">
    <w:name w:val="Heading 3"/>
    <w:basedOn w:val="Normal"/>
    <w:next w:val="Normal"/>
    <w:qFormat/>
    <w:pPr>
      <w:spacing w:after="40" w:before="100" w:line="360"/>
    </w:pPr>
    <w:rPr>
      <w:rFonts w:ascii="Times New Roman" w:cs="Times New Roman" w:eastAsia="Times New Roman" w:hAnsi="Times New Roman"/>
      <w:b/>
      <w:bCs/>
      <w:color w:val="000000"/>
      <w:sz w:val="25"/>
      <w:szCs w:val="25"/>
    </w:rPr>
  </w:style>
  <w:style w:type="paragraph" w:styleId="Heading4">
    <w:name w:val="Heading 4"/>
    <w:basedOn w:val="Normal"/>
    <w:next w:val="Normal"/>
    <w:qFormat/>
    <w:pPr>
      <w:spacing w:after="40" w:before="100" w:line="360"/>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Ergonomics of Visual Perception — PhD Synopsis</dc:title>
  <dc:creator>Gyandeep Nath</dc:creator>
  <dc:description>PhD synopsis submitted to Assam down town University</dc:description>
  <cp:lastModifiedBy>Un-named</cp:lastModifiedBy>
  <cp:revision>1</cp:revision>
  <dcterms:created xsi:type="dcterms:W3CDTF">2026-08-24T08:32:14.704Z</dcterms:created>
  <dcterms:modified xsi:type="dcterms:W3CDTF">2026-08-24T08:32:14.705Z</dcterms:modified>
</cp:coreProperties>
</file>

<file path=docProps/custom.xml><?xml version="1.0" encoding="utf-8"?>
<Properties xmlns="http://schemas.openxmlformats.org/officeDocument/2006/custom-properties" xmlns:vt="http://schemas.openxmlformats.org/officeDocument/2006/docPropsVTypes"/>
</file>