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line="360"/>
        <w:jc w:val="center"/>
      </w:pPr>
      <w:r>
        <w:rPr>
          <w:rFonts w:ascii="Times New Roman" w:cs="Times New Roman" w:eastAsia="Times New Roman" w:hAnsi="Times New Roman"/>
          <w:b/>
          <w:bCs/>
          <w:i w:val="false"/>
          <w:iCs w:val="false"/>
          <w:sz w:val="28"/>
          <w:szCs w:val="28"/>
        </w:rPr>
        <w:t xml:space="preserve">ERGONOMICS OF VISUAL PERCEPTION: EFFECTS OF DISPLAY POLARITY, TEXT COLOUR AND AMBIENT ILLUMINATION ON VISUAL FATIGUE, OCULAR BEHAVIOUR AND TASK PERFORMANCE</w:t>
      </w:r>
    </w:p>
    <w:p>
      <w:pPr>
        <w:spacing w:after="200" w:before="200" w:line="360"/>
        <w:jc w:val="center"/>
      </w:pPr>
      <w:r>
        <w:rPr>
          <w:rFonts w:ascii="Times New Roman" w:cs="Times New Roman" w:eastAsia="Times New Roman" w:hAnsi="Times New Roman"/>
          <w:b w:val="false"/>
          <w:bCs w:val="false"/>
          <w:i w:val="false"/>
          <w:iCs w:val="false"/>
          <w:sz w:val="24"/>
          <w:szCs w:val="24"/>
        </w:rPr>
        <w:t xml:space="preserve">A Synopsis Submitted in Partial Fulfilment of the Requirements for the</w:t>
      </w:r>
    </w:p>
    <w:p>
      <w:pPr>
        <w:spacing w:after="200" w:before="200" w:line="360"/>
        <w:jc w:val="center"/>
      </w:pPr>
      <w:r>
        <w:rPr>
          <w:rFonts w:ascii="Times New Roman" w:cs="Times New Roman" w:eastAsia="Times New Roman" w:hAnsi="Times New Roman"/>
          <w:b/>
          <w:bCs/>
          <w:i w:val="false"/>
          <w:iCs w:val="false"/>
          <w:sz w:val="24"/>
          <w:szCs w:val="24"/>
        </w:rPr>
        <w:t xml:space="preserve">DEGREE OF DOCTOR OF PHILOSOPHY</w:t>
      </w:r>
    </w:p>
    <w:p>
      <w:pPr>
        <w:spacing w:after="200" w:before="200" w:line="360"/>
        <w:jc w:val="center"/>
      </w:pPr>
      <w:r>
        <w:rPr>
          <w:rFonts w:ascii="Times New Roman" w:cs="Times New Roman" w:eastAsia="Times New Roman" w:hAnsi="Times New Roman"/>
          <w:b w:val="false"/>
          <w:bCs w:val="false"/>
          <w:i w:val="false"/>
          <w:iCs w:val="false"/>
          <w:sz w:val="24"/>
          <w:szCs w:val="24"/>
        </w:rPr>
        <w:t xml:space="preserve">in</w:t>
      </w:r>
    </w:p>
    <w:p>
      <w:pPr>
        <w:spacing w:after="200" w:before="200" w:line="360"/>
        <w:jc w:val="center"/>
      </w:pPr>
      <w:r>
        <w:rPr>
          <w:rFonts w:ascii="Times New Roman" w:cs="Times New Roman" w:eastAsia="Times New Roman" w:hAnsi="Times New Roman"/>
          <w:b/>
          <w:bCs/>
          <w:i w:val="false"/>
          <w:iCs w:val="false"/>
          <w:sz w:val="24"/>
          <w:szCs w:val="24"/>
        </w:rPr>
        <w:t xml:space="preserve">OPTOMETRY</w:t>
      </w:r>
    </w:p>
    <w:p>
      <w:pPr>
        <w:spacing w:after="200" w:before="200" w:line="360"/>
        <w:jc w:val="center"/>
      </w:pPr>
      <w:r>
        <w:rPr>
          <w:rFonts w:ascii="Times New Roman" w:cs="Times New Roman" w:eastAsia="Times New Roman" w:hAnsi="Times New Roman"/>
          <w:b w:val="false"/>
          <w:bCs w:val="false"/>
          <w:i w:val="false"/>
          <w:iCs w:val="false"/>
          <w:sz w:val="24"/>
          <w:szCs w:val="24"/>
        </w:rPr>
        <w:t xml:space="preserve">By</w:t>
      </w:r>
    </w:p>
    <w:p>
      <w:pPr>
        <w:spacing w:after="200" w:before="200" w:line="360"/>
        <w:jc w:val="center"/>
      </w:pPr>
      <w:r>
        <w:rPr>
          <w:rFonts w:ascii="Times New Roman" w:cs="Times New Roman" w:eastAsia="Times New Roman" w:hAnsi="Times New Roman"/>
          <w:b/>
          <w:bCs/>
          <w:i w:val="false"/>
          <w:iCs w:val="false"/>
          <w:sz w:val="24"/>
          <w:szCs w:val="24"/>
        </w:rPr>
        <w:t xml:space="preserve">GYANDEEP NATH</w:t>
      </w:r>
    </w:p>
    <w:p>
      <w:pPr>
        <w:spacing w:after="200" w:before="200" w:line="360"/>
        <w:jc w:val="center"/>
      </w:pPr>
      <w:r>
        <w:rPr>
          <w:rFonts w:ascii="Times New Roman" w:cs="Times New Roman" w:eastAsia="Times New Roman" w:hAnsi="Times New Roman"/>
          <w:b w:val="false"/>
          <w:bCs w:val="false"/>
          <w:i w:val="false"/>
          <w:iCs w:val="false"/>
          <w:sz w:val="24"/>
          <w:szCs w:val="24"/>
        </w:rPr>
        <w:t xml:space="preserve">Registration No. ………………………………………</w:t>
      </w:r>
    </w:p>
    <w:p>
      <w:pPr>
        <w:spacing w:after="200" w:before="200" w:line="360"/>
        <w:jc w:val="center"/>
      </w:pPr>
      <w:r>
        <w:rPr>
          <w:rFonts w:ascii="Times New Roman" w:cs="Times New Roman" w:eastAsia="Times New Roman" w:hAnsi="Times New Roman"/>
          <w:b w:val="false"/>
          <w:bCs w:val="false"/>
          <w:i w:val="false"/>
          <w:iCs w:val="false"/>
          <w:sz w:val="24"/>
          <w:szCs w:val="24"/>
        </w:rPr>
        <w:t xml:space="preserve">Assam down town University</w:t>
      </w:r>
    </w:p>
    <w:p>
      <w:pPr>
        <w:spacing w:after="200" w:before="200" w:line="360"/>
        <w:jc w:val="center"/>
      </w:pPr>
      <w:r>
        <w:rPr>
          <w:rFonts w:ascii="Times New Roman" w:cs="Times New Roman" w:eastAsia="Times New Roman" w:hAnsi="Times New Roman"/>
          <w:b w:val="false"/>
          <w:bCs w:val="false"/>
          <w:i w:val="false"/>
          <w:iCs w:val="false"/>
          <w:sz w:val="24"/>
          <w:szCs w:val="24"/>
        </w:rPr>
        <w:t xml:space="preserve">Panikhaiti, Guwahati-781026, Assam, India</w:t>
      </w:r>
    </w:p>
    <w:p>
      <w:pPr>
        <w:spacing w:after="200" w:before="200" w:line="360"/>
        <w:jc w:val="center"/>
      </w:pPr>
      <w:r>
        <w:rPr>
          <w:rFonts w:ascii="Times New Roman" w:cs="Times New Roman" w:eastAsia="Times New Roman" w:hAnsi="Times New Roman"/>
          <w:b w:val="false"/>
          <w:bCs w:val="false"/>
          <w:i w:val="false"/>
          <w:iCs w:val="false"/>
          <w:sz w:val="24"/>
          <w:szCs w:val="24"/>
        </w:rPr>
        <w:t xml:space="preserve">……………</w:t>
      </w:r>
    </w:p>
    <w:p>
      <w:r>
        <w:br w:type="page"/>
      </w:r>
    </w:p>
    <w:p>
      <w:pPr>
        <w:spacing w:after="160" w:before="160" w:line="360"/>
      </w:pPr>
      <w:r>
        <w:rPr>
          <w:rFonts w:ascii="Times New Roman" w:cs="Times New Roman" w:eastAsia="Times New Roman" w:hAnsi="Times New Roman"/>
          <w:b w:val="false"/>
          <w:bCs w:val="false"/>
          <w:i w:val="false"/>
          <w:iCs w:val="false"/>
          <w:sz w:val="24"/>
          <w:szCs w:val="24"/>
        </w:rPr>
        <w:t xml:space="preserve">Name of the Scholar : Gyandeep Nath</w:t>
      </w:r>
    </w:p>
    <w:p>
      <w:pPr>
        <w:spacing w:after="160" w:before="160" w:line="360"/>
      </w:pPr>
      <w:r>
        <w:rPr>
          <w:rFonts w:ascii="Times New Roman" w:cs="Times New Roman" w:eastAsia="Times New Roman" w:hAnsi="Times New Roman"/>
          <w:b w:val="false"/>
          <w:bCs w:val="false"/>
          <w:i w:val="false"/>
          <w:iCs w:val="false"/>
          <w:sz w:val="24"/>
          <w:szCs w:val="24"/>
        </w:rPr>
        <w:t xml:space="preserve">Faculty of Study : Faculty of Allied and Healthcare Sciences</w:t>
      </w:r>
    </w:p>
    <w:p>
      <w:pPr>
        <w:spacing w:after="160" w:before="160" w:line="360"/>
      </w:pPr>
      <w:r>
        <w:rPr>
          <w:rFonts w:ascii="Times New Roman" w:cs="Times New Roman" w:eastAsia="Times New Roman" w:hAnsi="Times New Roman"/>
          <w:b w:val="false"/>
          <w:bCs w:val="false"/>
          <w:i w:val="false"/>
          <w:iCs w:val="false"/>
          <w:sz w:val="24"/>
          <w:szCs w:val="24"/>
        </w:rPr>
        <w:t xml:space="preserve">Department/Discipline : Optometry</w:t>
      </w:r>
    </w:p>
    <w:p>
      <w:pPr>
        <w:spacing w:after="160" w:before="160" w:line="360"/>
      </w:pPr>
      <w:r>
        <w:rPr>
          <w:rFonts w:ascii="Times New Roman" w:cs="Times New Roman" w:eastAsia="Times New Roman" w:hAnsi="Times New Roman"/>
          <w:b w:val="false"/>
          <w:bCs w:val="false"/>
          <w:i w:val="false"/>
          <w:iCs w:val="false"/>
          <w:sz w:val="24"/>
          <w:szCs w:val="24"/>
        </w:rPr>
        <w:t xml:space="preserve">Batch/session : …………………………………………………</w:t>
      </w:r>
    </w:p>
    <w:p>
      <w:pPr>
        <w:spacing w:after="160" w:before="160" w:line="360"/>
      </w:pPr>
      <w:r>
        <w:rPr>
          <w:rFonts w:ascii="Times New Roman" w:cs="Times New Roman" w:eastAsia="Times New Roman" w:hAnsi="Times New Roman"/>
          <w:b w:val="false"/>
          <w:bCs w:val="false"/>
          <w:i w:val="false"/>
          <w:iCs w:val="false"/>
          <w:sz w:val="24"/>
          <w:szCs w:val="24"/>
        </w:rPr>
        <w:t xml:space="preserve">Name of Supervisor (from AdtU) &amp; affiliation:</w:t>
      </w:r>
    </w:p>
    <w:p>
      <w:pPr>
        <w:spacing w:after="160" w:before="160" w:line="360"/>
      </w:pPr>
      <w:r>
        <w:rPr>
          <w:rFonts w:ascii="Times New Roman" w:cs="Times New Roman" w:eastAsia="Times New Roman" w:hAnsi="Times New Roman"/>
          <w:b w:val="false"/>
          <w:bCs w:val="false"/>
          <w:i w:val="false"/>
          <w:iCs w:val="false"/>
          <w:sz w:val="24"/>
          <w:szCs w:val="24"/>
        </w:rPr>
        <w:t xml:space="preserve">……………………………………………………………………………….</w:t>
      </w:r>
    </w:p>
    <w:p>
      <w:pPr>
        <w:spacing w:after="160" w:before="160" w:line="360"/>
      </w:pPr>
      <w:r>
        <w:rPr>
          <w:rFonts w:ascii="Times New Roman" w:cs="Times New Roman" w:eastAsia="Times New Roman" w:hAnsi="Times New Roman"/>
          <w:b w:val="false"/>
          <w:bCs w:val="false"/>
          <w:i w:val="false"/>
          <w:iCs w:val="false"/>
          <w:sz w:val="24"/>
          <w:szCs w:val="24"/>
        </w:rPr>
        <w:t xml:space="preserve">……………………………………………………………………………….</w:t>
      </w:r>
    </w:p>
    <w:p>
      <w:pPr>
        <w:spacing w:after="160" w:before="160" w:line="360"/>
      </w:pPr>
      <w:r>
        <w:rPr>
          <w:rFonts w:ascii="Times New Roman" w:cs="Times New Roman" w:eastAsia="Times New Roman" w:hAnsi="Times New Roman"/>
          <w:b w:val="false"/>
          <w:bCs w:val="false"/>
          <w:i w:val="false"/>
          <w:iCs w:val="false"/>
          <w:sz w:val="24"/>
          <w:szCs w:val="24"/>
        </w:rPr>
        <w:t xml:space="preserve">Name of Supervisor &amp; affiliation:</w:t>
      </w:r>
    </w:p>
    <w:p>
      <w:pPr>
        <w:spacing w:after="160" w:before="160" w:line="360"/>
      </w:pPr>
      <w:r>
        <w:rPr>
          <w:rFonts w:ascii="Times New Roman" w:cs="Times New Roman" w:eastAsia="Times New Roman" w:hAnsi="Times New Roman"/>
          <w:b w:val="false"/>
          <w:bCs w:val="false"/>
          <w:i w:val="false"/>
          <w:iCs w:val="false"/>
          <w:sz w:val="24"/>
          <w:szCs w:val="24"/>
        </w:rPr>
        <w:t xml:space="preserve">……………………………………………………………………………….</w:t>
      </w:r>
    </w:p>
    <w:p>
      <w:pPr>
        <w:spacing w:after="160" w:before="160" w:line="360"/>
      </w:pPr>
      <w:r>
        <w:rPr>
          <w:rFonts w:ascii="Times New Roman" w:cs="Times New Roman" w:eastAsia="Times New Roman" w:hAnsi="Times New Roman"/>
          <w:b w:val="false"/>
          <w:bCs w:val="false"/>
          <w:i w:val="false"/>
          <w:iCs w:val="false"/>
          <w:sz w:val="24"/>
          <w:szCs w:val="24"/>
        </w:rPr>
        <w:t xml:space="preserve">……………………………………………………………………………….</w:t>
      </w:r>
    </w:p>
    <w:p>
      <w:r>
        <w:br w:type="page"/>
      </w:r>
    </w:p>
    <w:p>
      <w:pPr>
        <w:pStyle w:val="Heading1"/>
        <w:keepNext/>
        <w:spacing w:after="40" w:before="140" w:line="360"/>
        <w:jc w:val="center"/>
      </w:pPr>
      <w:r>
        <w:rPr>
          <w:rFonts w:ascii="Times New Roman" w:cs="Times New Roman" w:eastAsia="Times New Roman" w:hAnsi="Times New Roman"/>
          <w:b/>
          <w:bCs/>
          <w:i w:val="false"/>
          <w:iCs w:val="false"/>
          <w:sz w:val="30"/>
          <w:szCs w:val="30"/>
        </w:rPr>
        <w:t xml:space="preserve">CHAPTER 1: INTRODUCTION</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1.1 Background</w:t>
      </w:r>
    </w:p>
    <w:p>
      <w:pPr>
        <w:spacing w:after="0" w:line="360"/>
        <w:jc w:val="both"/>
      </w:pPr>
      <w:r>
        <w:rPr>
          <w:rFonts w:ascii="Times New Roman" w:cs="Times New Roman" w:eastAsia="Times New Roman" w:hAnsi="Times New Roman"/>
          <w:b w:val="false"/>
          <w:bCs w:val="false"/>
          <w:i w:val="false"/>
          <w:iCs w:val="false"/>
          <w:sz w:val="24"/>
          <w:szCs w:val="24"/>
        </w:rPr>
        <w:t xml:space="preserve">Most reading now happens on a screen rather than on paper. Tablets in particular have become a routine medium for study, work and leisure reading, often for hours at a time.</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difference between the two media is more than a matter of habit. A printed page is passive: it reflects whatever light falls on it, and its appearance is fixed once printed. A screen is active: it produces its own light, and almost every property of what it shows can be altered in software. Four such properties matter for this study, and it is worth defining them plainly before they are used again.</w:t>
      </w:r>
    </w:p>
    <w:p>
      <w:pPr>
        <w:spacing w:after="0" w:line="360"/>
        <w:ind w:firstLine="360"/>
        <w:jc w:val="both"/>
      </w:pPr>
      <w:r>
        <w:rPr>
          <w:rFonts w:ascii="Times New Roman" w:cs="Times New Roman" w:eastAsia="Times New Roman" w:hAnsi="Times New Roman"/>
          <w:b/>
          <w:bCs/>
          <w:i w:val="false"/>
          <w:iCs w:val="false"/>
          <w:sz w:val="24"/>
          <w:szCs w:val="24"/>
        </w:rPr>
        <w:t xml:space="preserve">Display polarity</w:t>
      </w:r>
      <w:r>
        <w:rPr>
          <w:rFonts w:ascii="Times New Roman" w:cs="Times New Roman" w:eastAsia="Times New Roman" w:hAnsi="Times New Roman"/>
          <w:b w:val="false"/>
          <w:bCs w:val="false"/>
          <w:i w:val="false"/>
          <w:iCs w:val="false"/>
          <w:sz w:val="24"/>
          <w:szCs w:val="24"/>
        </w:rPr>
        <w:t xml:space="preserve"> describes which of the two elements is lighter. </w:t>
      </w:r>
      <w:r>
        <w:rPr>
          <w:rFonts w:ascii="Times New Roman" w:cs="Times New Roman" w:eastAsia="Times New Roman" w:hAnsi="Times New Roman"/>
          <w:b w:val="false"/>
          <w:bCs w:val="false"/>
          <w:i/>
          <w:iCs/>
          <w:sz w:val="24"/>
          <w:szCs w:val="24"/>
        </w:rPr>
        <w:t xml:space="preserve">Positive polarity</w:t>
      </w:r>
      <w:r>
        <w:rPr>
          <w:rFonts w:ascii="Times New Roman" w:cs="Times New Roman" w:eastAsia="Times New Roman" w:hAnsi="Times New Roman"/>
          <w:b w:val="false"/>
          <w:bCs w:val="false"/>
          <w:i w:val="false"/>
          <w:iCs w:val="false"/>
          <w:sz w:val="24"/>
          <w:szCs w:val="24"/>
        </w:rPr>
        <w:t xml:space="preserve"> means dark text on a light background, the arrangement of a printed book. </w:t>
      </w:r>
      <w:r>
        <w:rPr>
          <w:rFonts w:ascii="Times New Roman" w:cs="Times New Roman" w:eastAsia="Times New Roman" w:hAnsi="Times New Roman"/>
          <w:b w:val="false"/>
          <w:bCs w:val="false"/>
          <w:i/>
          <w:iCs/>
          <w:sz w:val="24"/>
          <w:szCs w:val="24"/>
        </w:rPr>
        <w:t xml:space="preserve">Negative polarity</w:t>
      </w:r>
      <w:r>
        <w:rPr>
          <w:rFonts w:ascii="Times New Roman" w:cs="Times New Roman" w:eastAsia="Times New Roman" w:hAnsi="Times New Roman"/>
          <w:b w:val="false"/>
          <w:bCs w:val="false"/>
          <w:i w:val="false"/>
          <w:iCs w:val="false"/>
          <w:sz w:val="24"/>
          <w:szCs w:val="24"/>
        </w:rPr>
        <w:t xml:space="preserve"> means light text on a dark background, the arrangement popularly known as "dark mode". </w:t>
      </w:r>
      <w:r>
        <w:rPr>
          <w:rFonts w:ascii="Times New Roman" w:cs="Times New Roman" w:eastAsia="Times New Roman" w:hAnsi="Times New Roman"/>
          <w:b/>
          <w:bCs/>
          <w:i w:val="false"/>
          <w:iCs w:val="false"/>
          <w:sz w:val="24"/>
          <w:szCs w:val="24"/>
        </w:rPr>
        <w:t xml:space="preserve">Text colour</w:t>
      </w:r>
      <w:r>
        <w:rPr>
          <w:rFonts w:ascii="Times New Roman" w:cs="Times New Roman" w:eastAsia="Times New Roman" w:hAnsi="Times New Roman"/>
          <w:b w:val="false"/>
          <w:bCs w:val="false"/>
          <w:i w:val="false"/>
          <w:iCs w:val="false"/>
          <w:sz w:val="24"/>
          <w:szCs w:val="24"/>
        </w:rPr>
        <w:t xml:space="preserve"> (or chromaticity) is the hue of the letters themselves, which need not be black or white. </w:t>
      </w:r>
      <w:r>
        <w:rPr>
          <w:rFonts w:ascii="Times New Roman" w:cs="Times New Roman" w:eastAsia="Times New Roman" w:hAnsi="Times New Roman"/>
          <w:b/>
          <w:bCs/>
          <w:i w:val="false"/>
          <w:iCs w:val="false"/>
          <w:sz w:val="24"/>
          <w:szCs w:val="24"/>
        </w:rPr>
        <w:t xml:space="preserve">Luminance</w:t>
      </w:r>
      <w:r>
        <w:rPr>
          <w:rFonts w:ascii="Times New Roman" w:cs="Times New Roman" w:eastAsia="Times New Roman" w:hAnsi="Times New Roman"/>
          <w:b w:val="false"/>
          <w:bCs w:val="false"/>
          <w:i w:val="false"/>
          <w:iCs w:val="false"/>
          <w:sz w:val="24"/>
          <w:szCs w:val="24"/>
        </w:rPr>
        <w:t xml:space="preserve"> is the amount of light the screen emits. </w:t>
      </w:r>
      <w:r>
        <w:rPr>
          <w:rFonts w:ascii="Times New Roman" w:cs="Times New Roman" w:eastAsia="Times New Roman" w:hAnsi="Times New Roman"/>
          <w:b/>
          <w:bCs/>
          <w:i w:val="false"/>
          <w:iCs w:val="false"/>
          <w:sz w:val="24"/>
          <w:szCs w:val="24"/>
        </w:rPr>
        <w:t xml:space="preserve">Luminance contrast</w:t>
      </w:r>
      <w:r>
        <w:rPr>
          <w:rFonts w:ascii="Times New Roman" w:cs="Times New Roman" w:eastAsia="Times New Roman" w:hAnsi="Times New Roman"/>
          <w:b w:val="false"/>
          <w:bCs w:val="false"/>
          <w:i w:val="false"/>
          <w:iCs w:val="false"/>
          <w:sz w:val="24"/>
          <w:szCs w:val="24"/>
        </w:rPr>
        <w:t xml:space="preserve"> is the difference in brightness between the letters and their background, and it is the property that determines whether text is easy or hard to resolve; it is not the same as colour difference, and two colours can look very different yet still be hard to read against one another.</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These four properties are chosen constantly, by interface designers when they build an application and by users every time they switch a theme. The adoption of dark mode across operating systems and applications is the most visible example. Such choices are therefore made at very large scale, yet evidence regarding the effects of combinations of these parameters during prolonged reading remains limited.</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Prolonged screen reading is associated with a recognised pattern of discomfort. Users report that the eyes feel dry, tired, sore or gritty, that vision blurs or takes a moment to refocus when they look up, and that headaches and neck or shoulder ache follow long sessions. When these complaints occur together and are attributable to display use, they are grouped under a single label. Two names are in circulation for the same entity: </w:t>
      </w:r>
      <w:r>
        <w:rPr>
          <w:rFonts w:ascii="Times New Roman" w:cs="Times New Roman" w:eastAsia="Times New Roman" w:hAnsi="Times New Roman"/>
          <w:b/>
          <w:bCs/>
          <w:i w:val="false"/>
          <w:iCs w:val="false"/>
          <w:sz w:val="24"/>
          <w:szCs w:val="24"/>
        </w:rPr>
        <w:t xml:space="preserve">computer vision syndrome</w:t>
      </w:r>
      <w:r>
        <w:rPr>
          <w:rFonts w:ascii="Times New Roman" w:cs="Times New Roman" w:eastAsia="Times New Roman" w:hAnsi="Times New Roman"/>
          <w:b w:val="false"/>
          <w:bCs w:val="false"/>
          <w:i w:val="false"/>
          <w:iCs w:val="false"/>
          <w:sz w:val="24"/>
          <w:szCs w:val="24"/>
        </w:rPr>
        <w:t xml:space="preserve"> and </w:t>
      </w:r>
      <w:r>
        <w:rPr>
          <w:rFonts w:ascii="Times New Roman" w:cs="Times New Roman" w:eastAsia="Times New Roman" w:hAnsi="Times New Roman"/>
          <w:b/>
          <w:bCs/>
          <w:i w:val="false"/>
          <w:iCs w:val="false"/>
          <w:sz w:val="24"/>
          <w:szCs w:val="24"/>
        </w:rPr>
        <w:t xml:space="preserve">digital eye strain</w:t>
      </w:r>
      <w:r>
        <w:rPr>
          <w:rFonts w:ascii="Times New Roman" w:cs="Times New Roman" w:eastAsia="Times New Roman" w:hAnsi="Times New Roman"/>
          <w:b w:val="false"/>
          <w:bCs w:val="false"/>
          <w:i w:val="false"/>
          <w:iCs w:val="false"/>
          <w:sz w:val="24"/>
          <w:szCs w:val="24"/>
        </w:rPr>
        <w:t xml:space="preserve">. The terms are used almost interchangeably, and this document uses digital eye strain for the condition and computer vision syndrome where the literature or an instrument uses that name.</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condition is common. A systematic review and meta-analysis of 103 cross-sectional studies covering 66,577 participants placed pooled prevalence at 69.0 per cent (95% CI 62.3–75.3), with individual estimates ranging from 12.1 to 97.3 per cent (Ccami-Bernal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Prevalence was higher among women (71.4 versus 61.8 per cent) and university students (76.1 per cent), and reviews report a further rise with remote work and study, reaching 50 to 60 per cent among children (Kaur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Sheppard &amp; Wolffsohn, 2018). The wide spread between studies is itself informative: case definitions remain unstandardised, and the prevalence synthesis closes by calling for one (Ccami-Bernal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1.2 Biophysiological basis</w:t>
      </w:r>
    </w:p>
    <w:p>
      <w:pPr>
        <w:spacing w:after="0" w:line="360"/>
        <w:jc w:val="both"/>
      </w:pPr>
      <w:r>
        <w:rPr>
          <w:rFonts w:ascii="Times New Roman" w:cs="Times New Roman" w:eastAsia="Times New Roman" w:hAnsi="Times New Roman"/>
          <w:b w:val="false"/>
          <w:bCs w:val="false"/>
          <w:i w:val="false"/>
          <w:iCs w:val="false"/>
          <w:sz w:val="24"/>
          <w:szCs w:val="24"/>
        </w:rPr>
        <w:t xml:space="preserve">The symptoms above do not all arise the same way, and separating them is the key to measuring them. Two mechanisms are involved (Sheppard &amp; Wolffsohn, 2018).</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first concerns </w:t>
      </w:r>
      <w:r>
        <w:rPr>
          <w:rFonts w:ascii="Times New Roman" w:cs="Times New Roman" w:eastAsia="Times New Roman" w:hAnsi="Times New Roman"/>
          <w:b/>
          <w:bCs/>
          <w:i w:val="false"/>
          <w:iCs w:val="false"/>
          <w:sz w:val="24"/>
          <w:szCs w:val="24"/>
        </w:rPr>
        <w:t xml:space="preserve">focusing</w:t>
      </w:r>
      <w:r>
        <w:rPr>
          <w:rFonts w:ascii="Times New Roman" w:cs="Times New Roman" w:eastAsia="Times New Roman" w:hAnsi="Times New Roman"/>
          <w:b w:val="false"/>
          <w:bCs w:val="false"/>
          <w:i w:val="false"/>
          <w:iCs w:val="false"/>
          <w:sz w:val="24"/>
          <w:szCs w:val="24"/>
        </w:rPr>
        <w:t xml:space="preserve">. To read at arm's length the eye must bend light more strongly, which it does by changing the shape of its lens; this is called </w:t>
      </w:r>
      <w:r>
        <w:rPr>
          <w:rFonts w:ascii="Times New Roman" w:cs="Times New Roman" w:eastAsia="Times New Roman" w:hAnsi="Times New Roman"/>
          <w:b/>
          <w:bCs/>
          <w:i w:val="false"/>
          <w:iCs w:val="false"/>
          <w:sz w:val="24"/>
          <w:szCs w:val="24"/>
        </w:rPr>
        <w:t xml:space="preserve">accommodation</w:t>
      </w:r>
      <w:r>
        <w:rPr>
          <w:rFonts w:ascii="Times New Roman" w:cs="Times New Roman" w:eastAsia="Times New Roman" w:hAnsi="Times New Roman"/>
          <w:b w:val="false"/>
          <w:bCs w:val="false"/>
          <w:i w:val="false"/>
          <w:iCs w:val="false"/>
          <w:sz w:val="24"/>
          <w:szCs w:val="24"/>
        </w:rPr>
        <w:t xml:space="preserve">. At the same time both eyes must turn slightly inward so that the two images fuse into one, which is called </w:t>
      </w:r>
      <w:r>
        <w:rPr>
          <w:rFonts w:ascii="Times New Roman" w:cs="Times New Roman" w:eastAsia="Times New Roman" w:hAnsi="Times New Roman"/>
          <w:b/>
          <w:bCs/>
          <w:i w:val="false"/>
          <w:iCs w:val="false"/>
          <w:sz w:val="24"/>
          <w:szCs w:val="24"/>
        </w:rPr>
        <w:t xml:space="preserve">vergence</w:t>
      </w:r>
      <w:r>
        <w:rPr>
          <w:rFonts w:ascii="Times New Roman" w:cs="Times New Roman" w:eastAsia="Times New Roman" w:hAnsi="Times New Roman"/>
          <w:b w:val="false"/>
          <w:bCs w:val="false"/>
          <w:i w:val="false"/>
          <w:iCs w:val="false"/>
          <w:sz w:val="24"/>
          <w:szCs w:val="24"/>
        </w:rPr>
        <w:t xml:space="preserve">. Holding both for a long period is effortful, and when that effort accumulates it produces difficulty focusing, blurred vision, a temporary shift towards short-sightedness after close work (</w:t>
      </w:r>
      <w:r>
        <w:rPr>
          <w:rFonts w:ascii="Times New Roman" w:cs="Times New Roman" w:eastAsia="Times New Roman" w:hAnsi="Times New Roman"/>
          <w:b/>
          <w:bCs/>
          <w:i w:val="false"/>
          <w:iCs w:val="false"/>
          <w:sz w:val="24"/>
          <w:szCs w:val="24"/>
        </w:rPr>
        <w:t xml:space="preserve">near-work-induced transient myopia</w:t>
      </w:r>
      <w:r>
        <w:rPr>
          <w:rFonts w:ascii="Times New Roman" w:cs="Times New Roman" w:eastAsia="Times New Roman" w:hAnsi="Times New Roman"/>
          <w:b w:val="false"/>
          <w:bCs w:val="false"/>
          <w:i w:val="false"/>
          <w:iCs w:val="false"/>
          <w:sz w:val="24"/>
          <w:szCs w:val="24"/>
        </w:rPr>
        <w:t xml:space="preserve">) and headache.</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second concerns the </w:t>
      </w:r>
      <w:r>
        <w:rPr>
          <w:rFonts w:ascii="Times New Roman" w:cs="Times New Roman" w:eastAsia="Times New Roman" w:hAnsi="Times New Roman"/>
          <w:b/>
          <w:bCs/>
          <w:i w:val="false"/>
          <w:iCs w:val="false"/>
          <w:sz w:val="24"/>
          <w:szCs w:val="24"/>
        </w:rPr>
        <w:t xml:space="preserve">ocular surface</w:t>
      </w:r>
      <w:r>
        <w:rPr>
          <w:rFonts w:ascii="Times New Roman" w:cs="Times New Roman" w:eastAsia="Times New Roman" w:hAnsi="Times New Roman"/>
          <w:b w:val="false"/>
          <w:bCs w:val="false"/>
          <w:i w:val="false"/>
          <w:iCs w:val="false"/>
          <w:sz w:val="24"/>
          <w:szCs w:val="24"/>
        </w:rPr>
        <w:t xml:space="preserve">, the exposed front of the eye. It is kept smooth and comfortable by a thin </w:t>
      </w:r>
      <w:r>
        <w:rPr>
          <w:rFonts w:ascii="Times New Roman" w:cs="Times New Roman" w:eastAsia="Times New Roman" w:hAnsi="Times New Roman"/>
          <w:b/>
          <w:bCs/>
          <w:i w:val="false"/>
          <w:iCs w:val="false"/>
          <w:sz w:val="24"/>
          <w:szCs w:val="24"/>
        </w:rPr>
        <w:t xml:space="preserve">tear film</w:t>
      </w:r>
      <w:r>
        <w:rPr>
          <w:rFonts w:ascii="Times New Roman" w:cs="Times New Roman" w:eastAsia="Times New Roman" w:hAnsi="Times New Roman"/>
          <w:b w:val="false"/>
          <w:bCs w:val="false"/>
          <w:i w:val="false"/>
          <w:iCs w:val="false"/>
          <w:sz w:val="24"/>
          <w:szCs w:val="24"/>
        </w:rPr>
        <w:t xml:space="preserve">, which is renewed each time the eyelids close fully. When that renewal is disrupted, the surface dries and the result is dryness, burning and irritation. It is this second mechanism that the present study measures most directly.</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ocular-surface route is the better described, and its logic is straightforward. A blink does two things: it spreads fresh tear fluid across the surface, and it draws an oily secretion from glands in the lid margins over that fluid, which slows evaporation. Concentrated screen work interferes with both. It reduces how often people blink, and it increases the proportion of blinks in which the lids approach one another but do not actually meet, which are termed </w:t>
      </w:r>
      <w:r>
        <w:rPr>
          <w:rFonts w:ascii="Times New Roman" w:cs="Times New Roman" w:eastAsia="Times New Roman" w:hAnsi="Times New Roman"/>
          <w:b/>
          <w:bCs/>
          <w:i w:val="false"/>
          <w:iCs w:val="false"/>
          <w:sz w:val="24"/>
          <w:szCs w:val="24"/>
        </w:rPr>
        <w:t xml:space="preserve">incomplete blinks</w:t>
      </w:r>
      <w:r>
        <w:rPr>
          <w:rFonts w:ascii="Times New Roman" w:cs="Times New Roman" w:eastAsia="Times New Roman" w:hAnsi="Times New Roman"/>
          <w:b w:val="false"/>
          <w:bCs w:val="false"/>
          <w:i w:val="false"/>
          <w:iCs w:val="false"/>
          <w:sz w:val="24"/>
          <w:szCs w:val="24"/>
        </w:rPr>
        <w:t xml:space="preserve">. An incomplete blink leaves part of the surface unwetted and unprotected, so the tear film thins and breaks up sooner, and the surface enters the recognised inflammatory cycle of dry eye disease (Fjaervoll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Kamøy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This is why the </w:t>
      </w:r>
      <w:r>
        <w:rPr>
          <w:rFonts w:ascii="Times New Roman" w:cs="Times New Roman" w:eastAsia="Times New Roman" w:hAnsi="Times New Roman"/>
          <w:b w:val="false"/>
          <w:bCs w:val="false"/>
          <w:i/>
          <w:iCs/>
          <w:sz w:val="24"/>
          <w:szCs w:val="24"/>
        </w:rPr>
        <w:t xml:space="preserve">completeness</w:t>
      </w:r>
      <w:r>
        <w:rPr>
          <w:rFonts w:ascii="Times New Roman" w:cs="Times New Roman" w:eastAsia="Times New Roman" w:hAnsi="Times New Roman"/>
          <w:b w:val="false"/>
          <w:bCs w:val="false"/>
          <w:i w:val="false"/>
          <w:iCs w:val="false"/>
          <w:sz w:val="24"/>
          <w:szCs w:val="24"/>
        </w:rPr>
        <w:t xml:space="preserve"> of blinking, and not simply how often it occurs, is the ocular measure this study treats as primary. Mechanistic review attributes display-associated dry eye principally to impaired blinking, finding insufficient support for parasympathetic or blue-light contributions (Fjaervoll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The accommodative route is more heterogeneously evidenced but responds measurably to display parameters (Jiménez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2020; Redondo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Although accommodative and vergence mechanisms are relevant to digital visual fatigue, the present study focuses on ocular-surface behaviour, visual performance and subjective fatigue, and does not measure accommodative responses directly; the accommodative pathway is therefore reviewed as mechanistic context rather than tested.</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1.3 Polarity, text colour and ambient illumination</w:t>
      </w:r>
    </w:p>
    <w:p>
      <w:pPr>
        <w:spacing w:after="0" w:line="360"/>
        <w:jc w:val="both"/>
      </w:pPr>
      <w:r>
        <w:rPr>
          <w:rFonts w:ascii="Times New Roman" w:cs="Times New Roman" w:eastAsia="Times New Roman" w:hAnsi="Times New Roman"/>
          <w:b w:val="false"/>
          <w:bCs w:val="false"/>
          <w:i w:val="false"/>
          <w:iCs w:val="false"/>
          <w:sz w:val="24"/>
          <w:szCs w:val="24"/>
        </w:rPr>
        <w:t xml:space="preserve">Having defined the display properties in §1.1 and the two symptom mechanisms in §1.2, the question is how the former act on the latter. Three properties are considered here, and each is reviewed in detail in Chapter 2.</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most reliably replicated finding concerns polarity and is known as the </w:t>
      </w:r>
      <w:r>
        <w:rPr>
          <w:rFonts w:ascii="Times New Roman" w:cs="Times New Roman" w:eastAsia="Times New Roman" w:hAnsi="Times New Roman"/>
          <w:b/>
          <w:bCs/>
          <w:i w:val="false"/>
          <w:iCs w:val="false"/>
          <w:sz w:val="24"/>
          <w:szCs w:val="24"/>
        </w:rPr>
        <w:t xml:space="preserve">positive polarity advantage</w:t>
      </w:r>
      <w:r>
        <w:rPr>
          <w:rFonts w:ascii="Times New Roman" w:cs="Times New Roman" w:eastAsia="Times New Roman" w:hAnsi="Times New Roman"/>
          <w:b w:val="false"/>
          <w:bCs w:val="false"/>
          <w:i w:val="false"/>
          <w:iCs w:val="false"/>
          <w:sz w:val="24"/>
          <w:szCs w:val="24"/>
        </w:rPr>
        <w:t xml:space="preserve">: reading is better for dark text on a light field than for light text on a dark one. The accepted explanation runs through the pupil. A positive-polarity screen is mostly white, so it emits more light overall; more light entering the eye makes the pupil constrict; a smaller pupil admits light through the central, optically cleaner part of the lens and increases the range of distances held in focus; and the retinal image is consequently sharper (Buchner &amp; Baumgartner, 2007; Piepenbrock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2014a, 2014b). The advantage, in other words, is thought to be a matter of how much light the screen puts out rather than of colour preference. Text colour has been studied far less and, to the best of the available evidence, no study has comprehensively evaluated it in combination with polarity while measuring fatigue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Jiménez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2020). Any manipulation of text colour also manipulates luminance contrast, since chromatic pigments differ intrinsically in relative luminance and chromatic contrast cannot substitute for luminance contrast (Buchner &amp; Baumgartner, 2007), so an apparent effect of colour may be an effect of contrast unless the two are measured separately. Ambient light adds veiling luminance and drives pupil size independently of the display, interacting with the same mechanism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1.4 Statement of the problem</w:t>
      </w:r>
    </w:p>
    <w:p>
      <w:pPr>
        <w:spacing w:after="0" w:line="360"/>
        <w:jc w:val="both"/>
      </w:pPr>
      <w:r>
        <w:rPr>
          <w:rFonts w:ascii="Times New Roman" w:cs="Times New Roman" w:eastAsia="Times New Roman" w:hAnsi="Times New Roman"/>
          <w:b w:val="false"/>
          <w:bCs w:val="false"/>
          <w:i w:val="false"/>
          <w:iCs w:val="false"/>
          <w:sz w:val="24"/>
          <w:szCs w:val="24"/>
        </w:rPr>
        <w:t xml:space="preserve">Roughly seven in ten screen users report symptoms of digital eye strain (Ccami-Bernal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yet the remedies most heavily promoted for it lack trial support. A systematic review and meta-analysis of 45 randomised controlled trials involving 4,497 participants found no high-certainty evidence for any therapy examined, including blue-blocking lenses, with only low-certainty benefit for oral omega-3 in dry-eye symptoms (Singh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A separate review in younger users reached the same conclusion on blue-blocking filters, supporting ergonomic optimisation and shorter exposure instead (Mataftsi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2023).</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properties of the displayed stimulus are upstream of the visual load, cost nothing to change and can be deployed universally, yet remain the least investigated. Work on polarity is confined to brief, threshold-limited tasks using achromatic text, and does not extend to prolonged reading, blinking behaviour or validated symptom measurement. Work on text colour is limited to short exposures without symptom outcomes (Jiménez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2020), or to a single polarity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No study has therefore estimated how polarity and text colour interact, separated hue from luminance contrast, crossed either with ambient illumination, or measured a validated symptom instrument alongside the ocular marker most specific to this condition. Compounding this, blink completeness has been measured by frame-by-frame manual annotation, restricting the literature to samples of eleven to fifty participants (Argilés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Hirota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Portello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A clinician, designer or standards body therefore has no evidence base from which to advise how a tablet should be configured for prolonged reading, or how that configuration should change with the light in which it is used.</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1.5 Rationale of the study</w:t>
      </w:r>
    </w:p>
    <w:p>
      <w:pPr>
        <w:spacing w:after="0" w:line="360"/>
        <w:jc w:val="both"/>
      </w:pPr>
      <w:r>
        <w:rPr>
          <w:rFonts w:ascii="Times New Roman" w:cs="Times New Roman" w:eastAsia="Times New Roman" w:hAnsi="Times New Roman"/>
          <w:b w:val="false"/>
          <w:bCs w:val="false"/>
          <w:i w:val="false"/>
          <w:iCs w:val="false"/>
          <w:sz w:val="24"/>
          <w:szCs w:val="24"/>
        </w:rPr>
        <w:t xml:space="preserve">The study addresses a determinant of visual health that is common, freely modifiable and poorly evidenced, using a design that can answer a question the existing literature cannot.</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Because WCAG contrast on a white field falls as the text's relative luminance rises, while contrast on a black field rises with it, the rank order of the chromatic conditions is exactly inverted between the two polarities (Table 3.4). Blue and red are high in contrast on white but fall below the accessibility minimum on black, while yellow and green behave oppositely. The achromatic pair is the exception and the anchor: black-on-white and white-on-black both give 21.00:1, so that single pair varies polarity with luminance contrast held constant. The polarity-by-colour interaction therefore allows contrast-mediated effects to be modelled and distinguished from residual, hue-specific effects. The design does not experimentally isolate hue from luminance contrast, since the two cannot be orthogonalised within a fixed colour set; the separation is statistical rather than experimental and is interpreted accordingly. The ordering Fan and colleagues (2024) reported under negative polarity, red worst and yellow best, is precisely what luminance contrast alone would predict for those hues on a black background, and a single-polarity design cannot exclude that explanation.</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Manipulating ambient light across sessions tests the polarity effect where it matters behaviourally, since devices are used extensively at night and in dim domestic settings, where negative polarity is predicted to cost most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Validating an automated measure of blink completeness would remove the annotation bottleneck that has kept this literature small. The findings bear on interface design, on accessibility standards whose contrast criterion does not account for polarity (Advanced Perceptual Contrast Algorithm, n.d.; World Wide Web Consortium, 2023), on public health guidance, and on the advice optometrists give patients, an area in which practitioners are documented to lack quality evidence (Sheppard &amp; Wolffsohn, 2018).</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1.6 Aim</w:t>
      </w:r>
    </w:p>
    <w:p>
      <w:pPr>
        <w:spacing w:after="0" w:line="360"/>
        <w:jc w:val="both"/>
      </w:pPr>
      <w:r>
        <w:rPr>
          <w:rFonts w:ascii="Times New Roman" w:cs="Times New Roman" w:eastAsia="Times New Roman" w:hAnsi="Times New Roman"/>
          <w:b w:val="false"/>
          <w:bCs w:val="false"/>
          <w:i w:val="false"/>
          <w:iCs w:val="false"/>
          <w:sz w:val="24"/>
          <w:szCs w:val="24"/>
        </w:rPr>
        <w:t xml:space="preserve">To determine the effects and interactions of display polarity, text colour and ambient illumination on visual fatigue, ocular behaviour and visual task performance during prolonged tablet-based reading, and, as a secondary methodological objective, to evaluate the validity and feasibility of camera-based blink assessment as an objective measure of ocular response.</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1.7 Objectives</w:t>
      </w:r>
    </w:p>
    <w:p>
      <w:pPr>
        <w:spacing w:after="0" w:line="360"/>
        <w:jc w:val="both"/>
      </w:pPr>
      <w:r>
        <w:rPr>
          <w:rFonts w:ascii="Times New Roman" w:cs="Times New Roman" w:eastAsia="Times New Roman" w:hAnsi="Times New Roman"/>
          <w:b/>
          <w:bCs/>
          <w:i w:val="false"/>
          <w:iCs w:val="false"/>
          <w:sz w:val="24"/>
          <w:szCs w:val="24"/>
        </w:rPr>
        <w:t xml:space="preserve">Primary objectives</w:t>
      </w:r>
    </w:p>
    <w:p>
      <w:pPr>
        <w:spacing w:after="0" w:line="360"/>
        <w:ind w:left="640" w:hanging="640"/>
        <w:jc w:val="both"/>
      </w:pPr>
      <w:r>
        <w:rPr>
          <w:rFonts w:ascii="Times New Roman" w:cs="Times New Roman" w:eastAsia="Times New Roman" w:hAnsi="Times New Roman"/>
          <w:sz w:val="24"/>
          <w:szCs w:val="24"/>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investigate the individual and interactive effects of display polarity, text colour and ambient illumination on subjective visual fatigue, ocular behaviour, cognitive workload and task performance during prolonged tablet reading.</w:t>
      </w:r>
    </w:p>
    <w:p>
      <w:pPr>
        <w:spacing w:after="0" w:line="360"/>
        <w:ind w:left="640" w:hanging="640"/>
        <w:jc w:val="both"/>
      </w:pPr>
      <w:r>
        <w:rPr>
          <w:rFonts w:ascii="Times New Roman" w:cs="Times New Roman" w:eastAsia="Times New Roman" w:hAnsi="Times New Roman"/>
          <w:sz w:val="24"/>
          <w:szCs w:val="24"/>
        </w:rPr>
        <w:t xml:space="preserve">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model the contribution of luminance contrast and to distinguish it from residual, hue-specific effects, by computing standards-based contrast metrics for every condition and entering contrast explicitly alongside colour.</w:t>
      </w:r>
    </w:p>
    <w:p>
      <w:pPr>
        <w:spacing w:after="0" w:line="360"/>
        <w:ind w:left="640" w:hanging="640"/>
        <w:jc w:val="both"/>
      </w:pPr>
      <w:r>
        <w:rPr>
          <w:rFonts w:ascii="Times New Roman" w:cs="Times New Roman" w:eastAsia="Times New Roman" w:hAnsi="Times New Roman"/>
          <w:sz w:val="24"/>
          <w:szCs w:val="24"/>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determine the configuration of polarity, colour and illumination that minimises visual fatigue and maximises task performance, and to examine how participant characteristics moderate these effects.</w:t>
      </w:r>
    </w:p>
    <w:p>
      <w:pPr>
        <w:spacing w:after="0" w:line="360"/>
        <w:ind w:firstLine="360"/>
        <w:jc w:val="both"/>
      </w:pPr>
      <w:r>
        <w:rPr>
          <w:rFonts w:ascii="Times New Roman" w:cs="Times New Roman" w:eastAsia="Times New Roman" w:hAnsi="Times New Roman"/>
          <w:b/>
          <w:bCs/>
          <w:i w:val="false"/>
          <w:iCs w:val="false"/>
          <w:sz w:val="24"/>
          <w:szCs w:val="24"/>
        </w:rPr>
        <w:t xml:space="preserve">Methodological objective</w:t>
      </w:r>
    </w:p>
    <w:p>
      <w:pPr>
        <w:spacing w:after="0" w:line="360"/>
        <w:ind w:left="640" w:hanging="640"/>
        <w:jc w:val="both"/>
      </w:pPr>
      <w:r>
        <w:rPr>
          <w:rFonts w:ascii="Times New Roman" w:cs="Times New Roman" w:eastAsia="Times New Roman" w:hAnsi="Times New Roman"/>
          <w:sz w:val="24"/>
          <w:szCs w:val="24"/>
        </w:rPr>
        <w:t xml:space="preserve">4.</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establish the feasibility and criterion validity of tablet-based camera metrology for this purpose, including agreement of automated blink classification against manual annotation and the correspondence between subjective and objective indices.</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1.8 Hypotheses</w:t>
      </w:r>
    </w:p>
    <w:p>
      <w:pPr>
        <w:spacing w:after="0" w:line="360"/>
        <w:jc w:val="both"/>
      </w:pPr>
      <w:r>
        <w:rPr>
          <w:rFonts w:ascii="Times New Roman" w:cs="Times New Roman" w:eastAsia="Times New Roman" w:hAnsi="Times New Roman"/>
          <w:b/>
          <w:bCs/>
          <w:i w:val="false"/>
          <w:iCs w:val="false"/>
          <w:sz w:val="24"/>
          <w:szCs w:val="24"/>
        </w:rPr>
        <w:t xml:space="preserve">Null hypothesis (H₀).</w:t>
      </w:r>
      <w:r>
        <w:rPr>
          <w:rFonts w:ascii="Times New Roman" w:cs="Times New Roman" w:eastAsia="Times New Roman" w:hAnsi="Times New Roman"/>
          <w:b w:val="false"/>
          <w:bCs w:val="false"/>
          <w:i w:val="false"/>
          <w:iCs w:val="false"/>
          <w:sz w:val="24"/>
          <w:szCs w:val="24"/>
        </w:rPr>
        <w:t xml:space="preserve"> Display polarity, text colour and ambient illumination, individually or in combination, have no significant effect on visual fatigue, ocular behaviour or visual task performance during prolonged tablet reading.</w:t>
      </w:r>
    </w:p>
    <w:p>
      <w:pPr>
        <w:spacing w:after="0" w:line="360"/>
        <w:ind w:firstLine="360"/>
        <w:jc w:val="both"/>
      </w:pPr>
      <w:r>
        <w:rPr>
          <w:rFonts w:ascii="Times New Roman" w:cs="Times New Roman" w:eastAsia="Times New Roman" w:hAnsi="Times New Roman"/>
          <w:b/>
          <w:bCs/>
          <w:i w:val="false"/>
          <w:iCs w:val="false"/>
          <w:sz w:val="24"/>
          <w:szCs w:val="24"/>
        </w:rPr>
        <w:t xml:space="preserve">Alternative hypothesis (H₁).</w:t>
      </w:r>
      <w:r>
        <w:rPr>
          <w:rFonts w:ascii="Times New Roman" w:cs="Times New Roman" w:eastAsia="Times New Roman" w:hAnsi="Times New Roman"/>
          <w:b w:val="false"/>
          <w:bCs w:val="false"/>
          <w:i w:val="false"/>
          <w:iCs w:val="false"/>
          <w:sz w:val="24"/>
          <w:szCs w:val="24"/>
        </w:rPr>
        <w:t xml:space="preserve"> At least one of these factors, individually or in combination, significantly affects these outcomes.</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following hypotheses are linked to the objectives.</w:t>
      </w:r>
    </w:p>
    <w:p>
      <w:pPr>
        <w:spacing w:after="0" w:line="360"/>
        <w:ind w:firstLine="360"/>
        <w:jc w:val="both"/>
      </w:pPr>
      <w:r>
        <w:rPr>
          <w:rFonts w:ascii="Times New Roman" w:cs="Times New Roman" w:eastAsia="Times New Roman" w:hAnsi="Times New Roman"/>
          <w:b/>
          <w:bCs/>
          <w:i w:val="false"/>
          <w:iCs w:val="false"/>
          <w:sz w:val="24"/>
          <w:szCs w:val="24"/>
        </w:rPr>
        <w:t xml:space="preserve">H₁ₐ (Objective 1, main effects).</w:t>
      </w:r>
      <w:r>
        <w:rPr>
          <w:rFonts w:ascii="Times New Roman" w:cs="Times New Roman" w:eastAsia="Times New Roman" w:hAnsi="Times New Roman"/>
          <w:b w:val="false"/>
          <w:bCs w:val="false"/>
          <w:i w:val="false"/>
          <w:iCs w:val="false"/>
          <w:sz w:val="24"/>
          <w:szCs w:val="24"/>
        </w:rPr>
        <w:t xml:space="preserve"> Positive polarity, higher luminance contrast and higher ambient illumination are each associated with a lower incomplete-blink ratio, lower subjective visual fatigue and better task performance.</w:t>
      </w:r>
    </w:p>
    <w:p>
      <w:pPr>
        <w:spacing w:after="0" w:line="360"/>
        <w:ind w:firstLine="360"/>
        <w:jc w:val="both"/>
      </w:pPr>
      <w:r>
        <w:rPr>
          <w:rFonts w:ascii="Times New Roman" w:cs="Times New Roman" w:eastAsia="Times New Roman" w:hAnsi="Times New Roman"/>
          <w:b/>
          <w:bCs/>
          <w:i w:val="false"/>
          <w:iCs w:val="false"/>
          <w:sz w:val="24"/>
          <w:szCs w:val="24"/>
        </w:rPr>
        <w:t xml:space="preserve">H₁ᵦ (Objective 1, interactions).</w:t>
      </w:r>
      <w:r>
        <w:rPr>
          <w:rFonts w:ascii="Times New Roman" w:cs="Times New Roman" w:eastAsia="Times New Roman" w:hAnsi="Times New Roman"/>
          <w:b w:val="false"/>
          <w:bCs w:val="false"/>
          <w:i w:val="false"/>
          <w:iCs w:val="false"/>
          <w:sz w:val="24"/>
          <w:szCs w:val="24"/>
        </w:rPr>
        <w:t xml:space="preserve"> The effect of text colour depends on polarity, and the cost of negative polarity is greater under dim than under moderate illumination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w:t>
      </w:r>
    </w:p>
    <w:p>
      <w:pPr>
        <w:spacing w:after="0" w:line="360"/>
        <w:ind w:firstLine="360"/>
        <w:jc w:val="both"/>
      </w:pPr>
      <w:r>
        <w:rPr>
          <w:rFonts w:ascii="Times New Roman" w:cs="Times New Roman" w:eastAsia="Times New Roman" w:hAnsi="Times New Roman"/>
          <w:b/>
          <w:bCs/>
          <w:i w:val="false"/>
          <w:iCs w:val="false"/>
          <w:sz w:val="24"/>
          <w:szCs w:val="24"/>
        </w:rPr>
        <w:t xml:space="preserve">H₁ᵪ (Objective 2, contrast mediation).</w:t>
      </w:r>
      <w:r>
        <w:rPr>
          <w:rFonts w:ascii="Times New Roman" w:cs="Times New Roman" w:eastAsia="Times New Roman" w:hAnsi="Times New Roman"/>
          <w:b w:val="false"/>
          <w:bCs w:val="false"/>
          <w:i w:val="false"/>
          <w:iCs w:val="false"/>
          <w:sz w:val="24"/>
          <w:szCs w:val="24"/>
        </w:rPr>
        <w:t xml:space="preserve"> Colour-related variance is largely accounted for by luminance contrast. Because the computed contrast ordering reverses between the two polarities (Table 3.4), a contrast-mediated effect predicts a corresponding reversal of the colour ordering across polarity, whereas a residual hue-specific effect predicts a consistent ordering, with red the a priori candidate exception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w:t>
      </w:r>
    </w:p>
    <w:p>
      <w:pPr>
        <w:spacing w:after="0" w:line="360"/>
        <w:ind w:firstLine="360"/>
        <w:jc w:val="both"/>
      </w:pPr>
      <w:r>
        <w:rPr>
          <w:rFonts w:ascii="Times New Roman" w:cs="Times New Roman" w:eastAsia="Times New Roman" w:hAnsi="Times New Roman"/>
          <w:b/>
          <w:bCs/>
          <w:i w:val="false"/>
          <w:iCs w:val="false"/>
          <w:sz w:val="24"/>
          <w:szCs w:val="24"/>
        </w:rPr>
        <w:t xml:space="preserve">H₁ᵨ (Objective 3, moderation).</w:t>
      </w:r>
      <w:r>
        <w:rPr>
          <w:rFonts w:ascii="Times New Roman" w:cs="Times New Roman" w:eastAsia="Times New Roman" w:hAnsi="Times New Roman"/>
          <w:b w:val="false"/>
          <w:bCs w:val="false"/>
          <w:i w:val="false"/>
          <w:iCs w:val="false"/>
          <w:sz w:val="24"/>
          <w:szCs w:val="24"/>
        </w:rPr>
        <w:t xml:space="preserve"> Habitual display-mode preference, habitual screen exposure, typical ambient-lighting environment and digital literacy moderate the magnitude of these effects.</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1.9 Conceptual framework</w:t>
      </w:r>
    </w:p>
    <w:p>
      <w:pPr>
        <w:spacing w:after="0" w:line="360"/>
        <w:jc w:val="both"/>
      </w:pPr>
      <w:r>
        <w:rPr>
          <w:rFonts w:ascii="Times New Roman" w:cs="Times New Roman" w:eastAsia="Times New Roman" w:hAnsi="Times New Roman"/>
          <w:b w:val="false"/>
          <w:bCs w:val="false"/>
          <w:i w:val="false"/>
          <w:iCs w:val="false"/>
          <w:sz w:val="24"/>
          <w:szCs w:val="24"/>
        </w:rPr>
        <w:t xml:space="preserve">Display configuration and ambient illuminance act through two proximal mechanisms, summarised in Table 1.1. Along the optical route, display and room luminance determine pupil diameter, which governs aberration and depth of focus and therefore retinal image quality, legibility and accommodative demand. Along the ocular-surface route, visual and cognitive demand suppress blink rate and raise incomplete blinking, destabilising the tear film. Both routes feed the manifest outcomes of reading rate, comprehension, visual search, sustained attention, perceived comfort, workload and subjective fatigue. Time on task exerts its own effect and is counterbalanced and modelled (Abe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2014; Warm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2008); sleepiness, indexed by PERCLOS, and disengagement are treated as measured confounders; participant characteristics modulate susceptibility throughout.</w:t>
      </w:r>
    </w:p>
    <w:p>
      <w:pPr>
        <w:spacing w:after="0" w:line="360"/>
        <w:ind w:firstLine="360"/>
        <w:jc w:val="both"/>
      </w:pPr>
      <w:r>
        <w:rPr>
          <w:rFonts w:ascii="Times New Roman" w:cs="Times New Roman" w:eastAsia="Times New Roman" w:hAnsi="Times New Roman"/>
          <w:b/>
          <w:bCs/>
          <w:i w:val="false"/>
          <w:iCs w:val="false"/>
          <w:sz w:val="24"/>
          <w:szCs w:val="24"/>
        </w:rPr>
        <w:t xml:space="preserve">Table 1.1 — Conceptual framework: the two pathways from display configuration to measured outcome.</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650"/>
        <w:gridCol w:w="1299"/>
        <w:gridCol w:w="1049"/>
        <w:gridCol w:w="1029"/>
        <w:gridCol w:w="1654"/>
        <w:gridCol w:w="1695"/>
        <w:gridCol w:w="1695"/>
      </w:tblGrid>
      <w:tr>
        <w:trPr>
          <w:tblHeader/>
        </w:trPr>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Pathway</w:t>
            </w:r>
          </w:p>
        </w:tc>
        <w:tc>
          <w:tcPr>
            <w:tcW w:type="dxa" w:w="1299"/>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Antecedent (independent variable)</w:t>
            </w:r>
          </w:p>
        </w:tc>
        <w:tc>
          <w:tcPr>
            <w:tcW w:type="dxa" w:w="1049"/>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Proximal mechanism</w:t>
            </w:r>
          </w:p>
        </w:tc>
        <w:tc>
          <w:tcPr>
            <w:tcW w:type="dxa" w:w="1029"/>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Mediating state</w:t>
            </w:r>
          </w:p>
        </w:tc>
        <w:tc>
          <w:tcPr>
            <w:tcW w:type="dxa" w:w="1654"/>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Symptom cluster</w:t>
            </w:r>
          </w:p>
        </w:tc>
        <w:tc>
          <w:tcPr>
            <w:tcW w:type="dxa" w:w="1695"/>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Measured outcome (P = primary, S = secondary)</w:t>
            </w:r>
          </w:p>
        </w:tc>
        <w:tc>
          <w:tcPr>
            <w:tcW w:type="dxa" w:w="1695"/>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Evidence</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Optical / refractive</w:t>
            </w:r>
          </w:p>
        </w:tc>
        <w:tc>
          <w:tcPr>
            <w:tcW w:type="dxa" w:w="129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Display luminance and polarity; ambient illuminance</w:t>
            </w:r>
          </w:p>
        </w:tc>
        <w:tc>
          <w:tcPr>
            <w:tcW w:type="dxa" w:w="104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Pupil diameter → aberration and depth of focus</w:t>
            </w:r>
          </w:p>
        </w:tc>
        <w:tc>
          <w:tcPr>
            <w:tcW w:type="dxa" w:w="102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Retinal image quality; accommodative demand</w:t>
            </w:r>
          </w:p>
        </w:tc>
        <w:tc>
          <w:tcPr>
            <w:tcW w:type="dxa" w:w="165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Accommodative/vergence (blur, focusing difficulty, headache, transient myopia)</w:t>
            </w:r>
          </w:p>
        </w:tc>
        <w:tc>
          <w:tcPr>
            <w:tcW w:type="dxa" w:w="169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Reading rate (S); comprehension (S); visual search (S); perceived clarity (S)</w:t>
            </w:r>
          </w:p>
        </w:tc>
        <w:tc>
          <w:tcPr>
            <w:tcW w:type="dxa" w:w="169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(Dobres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i w:val="false"/>
                <w:iCs w:val="false"/>
                <w:sz w:val="15"/>
                <w:szCs w:val="15"/>
              </w:rPr>
              <w:t xml:space="preserve">, 2017; Jiménez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i w:val="false"/>
                <w:iCs w:val="false"/>
                <w:sz w:val="15"/>
                <w:szCs w:val="15"/>
              </w:rPr>
              <w:t xml:space="preserve">, 2020; Piepenbrock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i w:val="false"/>
                <w:iCs w:val="false"/>
                <w:sz w:val="15"/>
                <w:szCs w:val="15"/>
              </w:rPr>
              <w:t xml:space="preserve">, 2014a, 2014b; Redondo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i w:val="false"/>
                <w:iCs w:val="false"/>
                <w:sz w:val="15"/>
                <w:szCs w:val="15"/>
              </w:rPr>
              <w:t xml:space="preserve">, 2025)</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Ocular surface</w:t>
            </w:r>
          </w:p>
        </w:tc>
        <w:tc>
          <w:tcPr>
            <w:tcW w:type="dxa" w:w="129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Luminance contrast; chromaticity; visual and cognitive demand</w:t>
            </w:r>
          </w:p>
        </w:tc>
        <w:tc>
          <w:tcPr>
            <w:tcW w:type="dxa" w:w="104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Reduced blink rate; increased incomplete blinking</w:t>
            </w:r>
          </w:p>
        </w:tc>
        <w:tc>
          <w:tcPr>
            <w:tcW w:type="dxa" w:w="102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Exposed evaporative area; tear-film stability</w:t>
            </w:r>
          </w:p>
        </w:tc>
        <w:tc>
          <w:tcPr>
            <w:tcW w:type="dxa" w:w="165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Ocular surface (dryness, burning, irritation)</w:t>
            </w:r>
          </w:p>
        </w:tc>
        <w:tc>
          <w:tcPr>
            <w:tcW w:type="dxa" w:w="169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Incomplete-blink ratio (P); CVS-Q change (key S); blink rate, inter-blink interval, VAS (S)</w:t>
            </w:r>
          </w:p>
        </w:tc>
        <w:tc>
          <w:tcPr>
            <w:tcW w:type="dxa" w:w="169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(Argilés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i w:val="false"/>
                <w:iCs w:val="false"/>
                <w:sz w:val="15"/>
                <w:szCs w:val="15"/>
              </w:rPr>
              <w:t xml:space="preserve">, 2015; Fjaervoll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i w:val="false"/>
                <w:iCs w:val="false"/>
                <w:sz w:val="15"/>
                <w:szCs w:val="15"/>
              </w:rPr>
              <w:t xml:space="preserve">, 2022; Hirota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i w:val="false"/>
                <w:iCs w:val="false"/>
                <w:sz w:val="15"/>
                <w:szCs w:val="15"/>
              </w:rPr>
              <w:t xml:space="preserve">, 2013; Kamøy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i w:val="false"/>
                <w:iCs w:val="false"/>
                <w:sz w:val="15"/>
                <w:szCs w:val="15"/>
              </w:rPr>
              <w:t xml:space="preserve">, 2022; Portello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i w:val="false"/>
                <w:iCs w:val="false"/>
                <w:sz w:val="15"/>
                <w:szCs w:val="15"/>
              </w:rPr>
              <w:t xml:space="preserve">, 2013)</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Cross-cutting</w:t>
            </w:r>
          </w:p>
        </w:tc>
        <w:tc>
          <w:tcPr>
            <w:tcW w:type="dxa" w:w="129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Time on task; sleepiness; disengagement; participant factors</w:t>
            </w:r>
          </w:p>
        </w:tc>
        <w:tc>
          <w:tcPr>
            <w:tcW w:type="dxa" w:w="104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Resource depletion; arousal state; habituation</w:t>
            </w:r>
          </w:p>
        </w:tc>
        <w:tc>
          <w:tcPr>
            <w:tcW w:type="dxa" w:w="102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Sustained-attention capacity; response criterion</w:t>
            </w:r>
          </w:p>
        </w:tc>
        <w:tc>
          <w:tcPr>
            <w:tcW w:type="dxa" w:w="165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w:t>
            </w:r>
          </w:p>
        </w:tc>
        <w:tc>
          <w:tcPr>
            <w:tcW w:type="dxa" w:w="169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RT variability and lapses (S); PERCLOS (covariate); engagement flags (quality control)</w:t>
            </w:r>
          </w:p>
        </w:tc>
        <w:tc>
          <w:tcPr>
            <w:tcW w:type="dxa" w:w="169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(Abe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i w:val="false"/>
                <w:iCs w:val="false"/>
                <w:sz w:val="15"/>
                <w:szCs w:val="15"/>
              </w:rPr>
              <w:t xml:space="preserve">, 2014; Abe, 2023; Jackson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i w:val="false"/>
                <w:iCs w:val="false"/>
                <w:sz w:val="15"/>
                <w:szCs w:val="15"/>
              </w:rPr>
              <w:t xml:space="preserve">, 2016; Warm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i w:val="false"/>
                <w:iCs w:val="false"/>
                <w:sz w:val="15"/>
                <w:szCs w:val="15"/>
              </w:rPr>
              <w:t xml:space="preserve">, 2008)</w:t>
            </w:r>
          </w:p>
        </w:tc>
      </w:tr>
    </w:tbl>
    <w:p>
      <w:pPr>
        <w:spacing w:after="40" w:line="120"/>
      </w:pPr>
      <w:r>
        <w:rPr>
          <w:sz w:val="8"/>
          <w:szCs w:val="8"/>
        </w:rPr>
        <w:t xml:space="preserve"/>
      </w:r>
    </w:p>
    <w:p>
      <w:pPr>
        <w:pBdr>
          <w:bottom w:val="single" w:color="AAAAAA" w:sz="6" w:space="1"/>
        </w:pBdr>
        <w:spacing w:after="40" w:before="0"/>
      </w:pPr>
      <w:r>
        <w:rPr>
          <w:rFonts w:ascii="Times New Roman" w:cs="Times New Roman" w:eastAsia="Times New Roman" w:hAnsi="Times New Roman"/>
          <w:sz w:val="24"/>
          <w:szCs w:val="24"/>
        </w:rPr>
        <w:t xml:space="preserve"/>
      </w:r>
    </w:p>
    <w:p>
      <w:pPr>
        <w:pStyle w:val="Heading1"/>
        <w:keepNext/>
        <w:spacing w:after="40" w:before="140" w:line="360"/>
        <w:jc w:val="center"/>
      </w:pPr>
      <w:r>
        <w:rPr>
          <w:rFonts w:ascii="Times New Roman" w:cs="Times New Roman" w:eastAsia="Times New Roman" w:hAnsi="Times New Roman"/>
          <w:b/>
          <w:bCs/>
          <w:i w:val="false"/>
          <w:iCs w:val="false"/>
          <w:sz w:val="30"/>
          <w:szCs w:val="30"/>
        </w:rPr>
        <w:t xml:space="preserve">CHAPTER 2: REVIEW OF LITERATURE</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2.1 Burden, risk factors and measurement</w:t>
      </w:r>
    </w:p>
    <w:p>
      <w:pPr>
        <w:spacing w:after="0" w:line="360"/>
        <w:jc w:val="both"/>
      </w:pPr>
      <w:r>
        <w:rPr>
          <w:rFonts w:ascii="Times New Roman" w:cs="Times New Roman" w:eastAsia="Times New Roman" w:hAnsi="Times New Roman"/>
          <w:b w:val="false"/>
          <w:bCs w:val="false"/>
          <w:i w:val="false"/>
          <w:iCs w:val="false"/>
          <w:sz w:val="24"/>
          <w:szCs w:val="24"/>
        </w:rPr>
        <w:t xml:space="preserve">The pooled prevalence of 69.0 per cent across 103 studies conceals heterogeneity attributable partly to inconsistent case definition (Ccami-Bernal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One finding carries methodological force: prevalence was higher in studies that did not use the Computer Vision Syndrome Questionnaire (75.4 per cent), and meta-regression associated use of that instrument with lower estimates (Ccami-Bernal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so ad hoc checklists appear to inflate prevalence and a validated instrument with a defined cut-off is preferable. Reviews identify exposure beyond four to five hours daily, uncorrected refractive error, accommodative and vergence anomalies, altered blinking, close working distance, small font size, adverse lighting and contact-lens wear as risk factors (Ccami-Bernal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Mataftsi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2023; Pucker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Sheppard &amp; Wolffsohn, 2018), and note that preventive measures acting at different points of the dry-eye cycle may be complementary (Kamøy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2.2 Display polarity</w:t>
      </w:r>
    </w:p>
    <w:p>
      <w:pPr>
        <w:spacing w:after="0" w:line="360"/>
        <w:jc w:val="both"/>
      </w:pPr>
      <w:r>
        <w:rPr>
          <w:rFonts w:ascii="Times New Roman" w:cs="Times New Roman" w:eastAsia="Times New Roman" w:hAnsi="Times New Roman"/>
          <w:b w:val="false"/>
          <w:bCs w:val="false"/>
          <w:i w:val="false"/>
          <w:iCs w:val="false"/>
          <w:sz w:val="24"/>
          <w:szCs w:val="24"/>
        </w:rPr>
        <w:t xml:space="preserve">Evidence for the positive polarity advantage is consistent across paradigms, tasks and display technologies (Table 2.1).</w:t>
      </w:r>
    </w:p>
    <w:p>
      <w:pPr>
        <w:spacing w:after="0" w:line="360"/>
        <w:ind w:firstLine="360"/>
        <w:jc w:val="both"/>
      </w:pPr>
      <w:r>
        <w:rPr>
          <w:rFonts w:ascii="Times New Roman" w:cs="Times New Roman" w:eastAsia="Times New Roman" w:hAnsi="Times New Roman"/>
          <w:b/>
          <w:bCs/>
          <w:i w:val="false"/>
          <w:iCs w:val="false"/>
          <w:sz w:val="24"/>
          <w:szCs w:val="24"/>
        </w:rPr>
        <w:t xml:space="preserve">Table 2.1 — Studies on display polarity.</w:t>
      </w:r>
      <w:r>
        <w:rPr>
          <w:rFonts w:ascii="Times New Roman" w:cs="Times New Roman" w:eastAsia="Times New Roman" w:hAnsi="Times New Roman"/>
          <w:b w:val="false"/>
          <w:bCs w:val="false"/>
          <w:i w:val="false"/>
          <w:iCs w:val="false"/>
          <w:sz w:val="24"/>
          <w:szCs w:val="24"/>
        </w:rPr>
        <w:t xml:space="preserve"> N denotes reported sample size; NR = not reported in the retrieved record.</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650"/>
        <w:gridCol w:w="737"/>
        <w:gridCol w:w="650"/>
        <w:gridCol w:w="650"/>
        <w:gridCol w:w="2336"/>
        <w:gridCol w:w="2335"/>
        <w:gridCol w:w="1713"/>
      </w:tblGrid>
      <w:tr>
        <w:trPr>
          <w:tblHeader/>
        </w:trPr>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Sl.</w:t>
            </w:r>
          </w:p>
        </w:tc>
        <w:tc>
          <w:tcPr>
            <w:tcW w:type="dxa" w:w="737"/>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Study</w:t>
            </w:r>
          </w:p>
        </w:tc>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Year</w:t>
            </w:r>
          </w:p>
        </w:tc>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N</w:t>
            </w:r>
          </w:p>
        </w:tc>
        <w:tc>
          <w:tcPr>
            <w:tcW w:type="dxa" w:w="2336"/>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Design and manipulation</w:t>
            </w:r>
          </w:p>
        </w:tc>
        <w:tc>
          <w:tcPr>
            <w:tcW w:type="dxa" w:w="2335"/>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Principal finding</w:t>
            </w:r>
          </w:p>
        </w:tc>
        <w:tc>
          <w:tcPr>
            <w:tcW w:type="dxa" w:w="1713"/>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Limitation</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w:t>
            </w:r>
          </w:p>
        </w:tc>
        <w:tc>
          <w:tcPr>
            <w:tcW w:type="dxa" w:w="73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Buchner &amp; Baumgartner</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2007</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NR</w:t>
            </w:r>
          </w:p>
        </w:tc>
        <w:tc>
          <w:tcPr>
            <w:tcW w:type="dxa" w:w="233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Proofreading; polarity × illumination × chromaticity</w:t>
            </w:r>
          </w:p>
        </w:tc>
        <w:tc>
          <w:tcPr>
            <w:tcW w:type="dxa" w:w="23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Polarity advantage independent of lighting and chromaticity; colour contrast cannot replace luminance contrast</w:t>
            </w:r>
          </w:p>
        </w:tc>
        <w:tc>
          <w:tcPr>
            <w:tcW w:type="dxa" w:w="171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Short task; no ocular or symptom measures</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w:t>
            </w:r>
          </w:p>
        </w:tc>
        <w:tc>
          <w:tcPr>
            <w:tcW w:type="dxa" w:w="73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Piepenbrock </w:t>
            </w:r>
            <w:r>
              <w:rPr>
                <w:rFonts w:ascii="Times New Roman" w:cs="Times New Roman" w:eastAsia="Times New Roman" w:hAnsi="Times New Roman"/>
                <w:b w:val="false"/>
                <w:bCs w:val="false"/>
                <w:i/>
                <w:iCs/>
                <w:sz w:val="15"/>
                <w:szCs w:val="15"/>
              </w:rPr>
              <w:t xml:space="preserve">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2014b</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NR</w:t>
            </w:r>
          </w:p>
        </w:tc>
        <w:tc>
          <w:tcPr>
            <w:tcW w:type="dxa" w:w="233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Pupillometry with proofreading; polarity</w:t>
            </w:r>
          </w:p>
        </w:tc>
        <w:tc>
          <w:tcPr>
            <w:tcW w:type="dxa" w:w="23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Smaller pupils and better performance under positive polarity</w:t>
            </w:r>
          </w:p>
        </w:tc>
        <w:tc>
          <w:tcPr>
            <w:tcW w:type="dxa" w:w="171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Achromatic only; no fatigue outcome</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3</w:t>
            </w:r>
          </w:p>
        </w:tc>
        <w:tc>
          <w:tcPr>
            <w:tcW w:type="dxa" w:w="73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Piepenbrock </w:t>
            </w:r>
            <w:r>
              <w:rPr>
                <w:rFonts w:ascii="Times New Roman" w:cs="Times New Roman" w:eastAsia="Times New Roman" w:hAnsi="Times New Roman"/>
                <w:b w:val="false"/>
                <w:bCs w:val="false"/>
                <w:i/>
                <w:iCs/>
                <w:sz w:val="15"/>
                <w:szCs w:val="15"/>
              </w:rPr>
              <w:t xml:space="preserve">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2014a</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NR</w:t>
            </w:r>
          </w:p>
        </w:tc>
        <w:tc>
          <w:tcPr>
            <w:tcW w:type="dxa" w:w="233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Proofreading; polarity × character size</w:t>
            </w:r>
          </w:p>
        </w:tc>
        <w:tc>
          <w:tcPr>
            <w:tcW w:type="dxa" w:w="23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Advantage increased linearly as character size decreased</w:t>
            </w:r>
          </w:p>
        </w:tc>
        <w:tc>
          <w:tcPr>
            <w:tcW w:type="dxa" w:w="171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Achromatic; brief exposure</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4</w:t>
            </w:r>
          </w:p>
        </w:tc>
        <w:tc>
          <w:tcPr>
            <w:tcW w:type="dxa" w:w="73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Dobres </w:t>
            </w:r>
            <w:r>
              <w:rPr>
                <w:rFonts w:ascii="Times New Roman" w:cs="Times New Roman" w:eastAsia="Times New Roman" w:hAnsi="Times New Roman"/>
                <w:b w:val="false"/>
                <w:bCs w:val="false"/>
                <w:i/>
                <w:iCs/>
                <w:sz w:val="15"/>
                <w:szCs w:val="15"/>
              </w:rPr>
              <w:t xml:space="preserve">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2016</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NR</w:t>
            </w:r>
          </w:p>
        </w:tc>
        <w:tc>
          <w:tcPr>
            <w:tcW w:type="dxa" w:w="233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Adaptive-staircase psychophysics; typeface × polarity × size × age</w:t>
            </w:r>
          </w:p>
        </w:tc>
        <w:tc>
          <w:tcPr>
            <w:tcW w:type="dxa" w:w="23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Black-on-white more legible than white-on-black; typeface interacted with age</w:t>
            </w:r>
          </w:p>
        </w:tc>
        <w:tc>
          <w:tcPr>
            <w:tcW w:type="dxa" w:w="171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Glance reading only; threshold outcome</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5</w:t>
            </w:r>
          </w:p>
        </w:tc>
        <w:tc>
          <w:tcPr>
            <w:tcW w:type="dxa" w:w="73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Dobres </w:t>
            </w:r>
            <w:r>
              <w:rPr>
                <w:rFonts w:ascii="Times New Roman" w:cs="Times New Roman" w:eastAsia="Times New Roman" w:hAnsi="Times New Roman"/>
                <w:b w:val="false"/>
                <w:bCs w:val="false"/>
                <w:i/>
                <w:iCs/>
                <w:sz w:val="15"/>
                <w:szCs w:val="15"/>
              </w:rPr>
              <w:t xml:space="preserve">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2017</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NR</w:t>
            </w:r>
          </w:p>
        </w:tc>
        <w:tc>
          <w:tcPr>
            <w:tcW w:type="dxa" w:w="233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Lexical decision; polarity × illumination × size</w:t>
            </w:r>
          </w:p>
        </w:tc>
        <w:tc>
          <w:tcPr>
            <w:tcW w:type="dxa" w:w="23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Thresholds worst for negative polarity under near-dark light</w:t>
            </w:r>
          </w:p>
        </w:tc>
        <w:tc>
          <w:tcPr>
            <w:tcW w:type="dxa" w:w="171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No fatigue or ocular-surface outcomes</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6</w:t>
            </w:r>
          </w:p>
        </w:tc>
        <w:tc>
          <w:tcPr>
            <w:tcW w:type="dxa" w:w="73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Sethi &amp; Ziat</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2023</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NR</w:t>
            </w:r>
          </w:p>
        </w:tc>
        <w:tc>
          <w:tcPr>
            <w:tcW w:type="dxa" w:w="233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Eye tracking with subjective and affective measures; polarity × environment × age × task</w:t>
            </w:r>
          </w:p>
        </w:tc>
        <w:tc>
          <w:tcPr>
            <w:tcW w:type="dxa" w:w="23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Higher cognitive load under negative polarity, conditional on age and lighting</w:t>
            </w:r>
          </w:p>
        </w:tc>
        <w:tc>
          <w:tcPr>
            <w:tcW w:type="dxa" w:w="171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Search and writing tasks; no ocular-surface measures</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7</w:t>
            </w:r>
          </w:p>
        </w:tc>
        <w:tc>
          <w:tcPr>
            <w:tcW w:type="dxa" w:w="73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Lin </w:t>
            </w:r>
            <w:r>
              <w:rPr>
                <w:rFonts w:ascii="Times New Roman" w:cs="Times New Roman" w:eastAsia="Times New Roman" w:hAnsi="Times New Roman"/>
                <w:b w:val="false"/>
                <w:bCs w:val="false"/>
                <w:i/>
                <w:iCs/>
                <w:sz w:val="15"/>
                <w:szCs w:val="15"/>
              </w:rPr>
              <w:t xml:space="preserve">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2024</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NR</w:t>
            </w:r>
          </w:p>
        </w:tc>
        <w:tc>
          <w:tcPr>
            <w:tcW w:type="dxa" w:w="233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Visual-ergonomic optimisation; luminance × polarity at 300 lux</w:t>
            </w:r>
          </w:p>
        </w:tc>
        <w:tc>
          <w:tcPr>
            <w:tcW w:type="dxa" w:w="23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Positive polarity preferable; optimum display luminance 153 cd/m²</w:t>
            </w:r>
          </w:p>
        </w:tc>
        <w:tc>
          <w:tcPr>
            <w:tcW w:type="dxa" w:w="171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Desktop head-up display; office lighting only; achromatic</w:t>
            </w:r>
          </w:p>
        </w:tc>
      </w:tr>
    </w:tbl>
    <w:p>
      <w:pPr>
        <w:spacing w:after="40" w:line="120"/>
      </w:pPr>
      <w:r>
        <w:rPr>
          <w:sz w:val="8"/>
          <w:szCs w:val="8"/>
        </w:rPr>
        <w:t xml:space="preserve"/>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Two features of this corpus define the entry point for the present work. The paradigms are short and threshold-limited, and they do not measure blinking, validated symptoms, comprehension or fatigue accumulated over an hour; the stimuli are also almost entirely achromatic. An advantage in legibility does not license an inference about visual fatigue, although popular argument about dark mode routinely makes that inference in both directions. Sethi and Ziat (2023)'s finding that the cognitive cost of negative polarity depended jointly on age and lighting indicates that polarity effects are conditional rather than universal.</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2.3 Text colour and the contrast confound</w:t>
      </w:r>
    </w:p>
    <w:p>
      <w:pPr>
        <w:spacing w:after="0" w:line="360"/>
        <w:jc w:val="both"/>
      </w:pPr>
      <w:r>
        <w:rPr>
          <w:rFonts w:ascii="Times New Roman" w:cs="Times New Roman" w:eastAsia="Times New Roman" w:hAnsi="Times New Roman"/>
          <w:b w:val="false"/>
          <w:bCs w:val="false"/>
          <w:i w:val="false"/>
          <w:iCs w:val="false"/>
          <w:sz w:val="24"/>
          <w:szCs w:val="24"/>
        </w:rPr>
        <w:t xml:space="preserve">The literature manipulating text chromaticity is small and, as Table 2.2 shows, no located study has crossed colour with polarity while measuring fatigue.</w:t>
      </w:r>
    </w:p>
    <w:p>
      <w:pPr>
        <w:spacing w:after="0" w:line="360"/>
        <w:ind w:firstLine="360"/>
        <w:jc w:val="both"/>
      </w:pPr>
      <w:r>
        <w:rPr>
          <w:rFonts w:ascii="Times New Roman" w:cs="Times New Roman" w:eastAsia="Times New Roman" w:hAnsi="Times New Roman"/>
          <w:b/>
          <w:bCs/>
          <w:i w:val="false"/>
          <w:iCs w:val="false"/>
          <w:sz w:val="24"/>
          <w:szCs w:val="24"/>
        </w:rPr>
        <w:t xml:space="preserve">Table 2.2 — Studies on text colour and luminance contrast.</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650"/>
        <w:gridCol w:w="715"/>
        <w:gridCol w:w="650"/>
        <w:gridCol w:w="650"/>
        <w:gridCol w:w="2238"/>
        <w:gridCol w:w="2239"/>
        <w:gridCol w:w="1929"/>
      </w:tblGrid>
      <w:tr>
        <w:trPr>
          <w:tblHeader/>
        </w:trPr>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Sl.</w:t>
            </w:r>
          </w:p>
        </w:tc>
        <w:tc>
          <w:tcPr>
            <w:tcW w:type="dxa" w:w="715"/>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Study</w:t>
            </w:r>
          </w:p>
        </w:tc>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Year</w:t>
            </w:r>
          </w:p>
        </w:tc>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N</w:t>
            </w:r>
          </w:p>
        </w:tc>
        <w:tc>
          <w:tcPr>
            <w:tcW w:type="dxa" w:w="2238"/>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Design and manipulation</w:t>
            </w:r>
          </w:p>
        </w:tc>
        <w:tc>
          <w:tcPr>
            <w:tcW w:type="dxa" w:w="2239"/>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Principal finding</w:t>
            </w:r>
          </w:p>
        </w:tc>
        <w:tc>
          <w:tcPr>
            <w:tcW w:type="dxa" w:w="1929"/>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Limitation</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w:t>
            </w:r>
          </w:p>
        </w:tc>
        <w:tc>
          <w:tcPr>
            <w:tcW w:type="dxa" w:w="71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Buchner &amp; Baumgartner</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2007</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NR</w:t>
            </w:r>
          </w:p>
        </w:tc>
        <w:tc>
          <w:tcPr>
            <w:tcW w:type="dxa" w:w="223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Proofreading; colour contrast vs luminance contrast (red-on-green)</w:t>
            </w:r>
          </w:p>
        </w:tc>
        <w:tc>
          <w:tcPr>
            <w:tcW w:type="dxa" w:w="223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Colour contrast cannot compensate for absent luminance contrast</w:t>
            </w:r>
          </w:p>
        </w:tc>
        <w:tc>
          <w:tcPr>
            <w:tcW w:type="dxa" w:w="192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Single chromatic pair; short task</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w:t>
            </w:r>
          </w:p>
        </w:tc>
        <w:tc>
          <w:tcPr>
            <w:tcW w:type="dxa" w:w="71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Jiménez </w:t>
            </w:r>
            <w:r>
              <w:rPr>
                <w:rFonts w:ascii="Times New Roman" w:cs="Times New Roman" w:eastAsia="Times New Roman" w:hAnsi="Times New Roman"/>
                <w:b w:val="false"/>
                <w:bCs w:val="false"/>
                <w:i/>
                <w:iCs/>
                <w:sz w:val="15"/>
                <w:szCs w:val="15"/>
              </w:rPr>
              <w:t xml:space="preserve">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2020</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w:t>
            </w:r>
          </w:p>
        </w:tc>
        <w:tc>
          <w:tcPr>
            <w:tcW w:type="dxa" w:w="223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Binocular open-field autorefractometry; 14 text–background colour combinations, 2-min passages</w:t>
            </w:r>
          </w:p>
        </w:tc>
        <w:tc>
          <w:tcPr>
            <w:tcW w:type="dxa" w:w="223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Colour modulated accommodative and pupillary dynamics; low-contrast pairs rated less legible; reading speed unaffected</w:t>
            </w:r>
          </w:p>
        </w:tc>
        <w:tc>
          <w:tcPr>
            <w:tcW w:type="dxa" w:w="192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2-min exposure; no symptom-level outcome; lab instrumentation</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3</w:t>
            </w:r>
          </w:p>
        </w:tc>
        <w:tc>
          <w:tcPr>
            <w:tcW w:type="dxa" w:w="71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Xie </w:t>
            </w:r>
            <w:r>
              <w:rPr>
                <w:rFonts w:ascii="Times New Roman" w:cs="Times New Roman" w:eastAsia="Times New Roman" w:hAnsi="Times New Roman"/>
                <w:b w:val="false"/>
                <w:bCs w:val="false"/>
                <w:i/>
                <w:iCs/>
                <w:sz w:val="15"/>
                <w:szCs w:val="15"/>
              </w:rPr>
              <w:t xml:space="preserve">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2021</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NR</w:t>
            </w:r>
          </w:p>
        </w:tc>
        <w:tc>
          <w:tcPr>
            <w:tcW w:type="dxa" w:w="223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Eye tracking and Likert scales; 2 colour modes × 6 luminance-contrast ratios at night</w:t>
            </w:r>
          </w:p>
        </w:tc>
        <w:tc>
          <w:tcPr>
            <w:tcW w:type="dxa" w:w="223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Dark mode raised blink rate and pupil accommodation, yet light mode was rated less fatiguing and preferred</w:t>
            </w:r>
          </w:p>
        </w:tc>
        <w:tc>
          <w:tcPr>
            <w:tcW w:type="dxa" w:w="192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Objective–subjective dissociation unexplained; night conditions only</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4</w:t>
            </w:r>
          </w:p>
        </w:tc>
        <w:tc>
          <w:tcPr>
            <w:tcW w:type="dxa" w:w="71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Tian </w:t>
            </w:r>
            <w:r>
              <w:rPr>
                <w:rFonts w:ascii="Times New Roman" w:cs="Times New Roman" w:eastAsia="Times New Roman" w:hAnsi="Times New Roman"/>
                <w:b w:val="false"/>
                <w:bCs w:val="false"/>
                <w:i/>
                <w:iCs/>
                <w:sz w:val="15"/>
                <w:szCs w:val="15"/>
              </w:rPr>
              <w:t xml:space="preserve">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2022</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NR</w:t>
            </w:r>
          </w:p>
        </w:tc>
        <w:tc>
          <w:tcPr>
            <w:tcW w:type="dxa" w:w="223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Eye tracker and EEG; paradigm colour × screen brightness in a dark environment</w:t>
            </w:r>
          </w:p>
        </w:tc>
        <w:tc>
          <w:tcPr>
            <w:tcW w:type="dxa" w:w="223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Low screen brightness reduced fatigue; blue preferred to red; no EEG colour effect</w:t>
            </w:r>
          </w:p>
        </w:tc>
        <w:tc>
          <w:tcPr>
            <w:tcW w:type="dxa" w:w="192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Non-reading paradigm stimuli; no ocular-surface measures</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5</w:t>
            </w:r>
          </w:p>
        </w:tc>
        <w:tc>
          <w:tcPr>
            <w:tcW w:type="dxa" w:w="71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Fan </w:t>
            </w:r>
            <w:r>
              <w:rPr>
                <w:rFonts w:ascii="Times New Roman" w:cs="Times New Roman" w:eastAsia="Times New Roman" w:hAnsi="Times New Roman"/>
                <w:b w:val="false"/>
                <w:bCs w:val="false"/>
                <w:i/>
                <w:iCs/>
                <w:sz w:val="15"/>
                <w:szCs w:val="15"/>
              </w:rPr>
              <w:t xml:space="preserve">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2024</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NR</w:t>
            </w:r>
          </w:p>
        </w:tc>
        <w:tc>
          <w:tcPr>
            <w:tcW w:type="dxa" w:w="223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Eye tracking during reading; ambient illumination × text colour, negative polarity only</w:t>
            </w:r>
          </w:p>
        </w:tc>
        <w:tc>
          <w:tcPr>
            <w:tcW w:type="dxa" w:w="223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Red most fatiguing, yellow least; performance better with yellow and white</w:t>
            </w:r>
          </w:p>
        </w:tc>
        <w:tc>
          <w:tcPr>
            <w:tcW w:type="dxa" w:w="192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Negative polarity only; hue confounded with contrast</w:t>
            </w:r>
          </w:p>
        </w:tc>
      </w:tr>
    </w:tbl>
    <w:p>
      <w:pPr>
        <w:spacing w:after="40" w:line="120"/>
      </w:pPr>
      <w:r>
        <w:rPr>
          <w:sz w:val="8"/>
          <w:szCs w:val="8"/>
        </w:rPr>
        <w:t xml:space="preserve"/>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Two limitations recur. Exposure is brief, so duration is a plausible moderator of the discrepancy between studies finding no effect on reading speed (Jiménez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2020) and those finding effects on fatigue and performance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 which neither was designed to estimate. More consequentially, none separates hue from luminance contrast: chromatic pigments differ in relative luminance, so a fixed colour set rendered on light and dark fields produces unequal, polarity-asymmetric contrasts, making contrast an inseparable covarying property of any colour manipulation that must be modelled (Buchner &amp; Baumgartner, 2007). Xie and colleagues (2021) add a complication directly relevant here: their objective and subjective indices pointed in opposite directions, dark mode improving blink measures while light mode was preferred and rated less fatiguing.</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choice of contrast metric is also consequential. The ratio defined in the accessibility guidelines is the de facto design standard (World Wide Web Consortium, 2023), but takes no account of text size, weight or polarity, and is held to overstate contrast for dark colour pairs, so nominally compliant light-on-dark combinations can be hard to read and can produce halation. A perceptual replacement incorporating polarity and typography is under development (Advanced Perceptual Contrast Algorithm, n.d.). That a polarity-blind criterion governs a domain in which polarity is among the strongest determinants of legibility (Buchner &amp; Baumgartner, 2007;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Piepenbrock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2014a, 2014b) is a problem to which empirical work can contribute.</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2.4 Ambient illumination</w:t>
      </w:r>
    </w:p>
    <w:p>
      <w:pPr>
        <w:spacing w:after="0" w:line="360"/>
        <w:jc w:val="both"/>
      </w:pPr>
      <w:r>
        <w:rPr>
          <w:rFonts w:ascii="Times New Roman" w:cs="Times New Roman" w:eastAsia="Times New Roman" w:hAnsi="Times New Roman"/>
          <w:b w:val="false"/>
          <w:bCs w:val="false"/>
          <w:i w:val="false"/>
          <w:iCs w:val="false"/>
          <w:sz w:val="24"/>
          <w:szCs w:val="24"/>
        </w:rPr>
        <w:t xml:space="preserve">Illumination modulates the legibility cost of negative polarity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and the fatigue cost of coloured text under it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consistent with a pupil-mediated account in which room light and display polarity trade against one another (Table 2.3).</w:t>
      </w:r>
    </w:p>
    <w:p>
      <w:pPr>
        <w:spacing w:after="0" w:line="360"/>
        <w:ind w:firstLine="360"/>
        <w:jc w:val="both"/>
      </w:pPr>
      <w:r>
        <w:rPr>
          <w:rFonts w:ascii="Times New Roman" w:cs="Times New Roman" w:eastAsia="Times New Roman" w:hAnsi="Times New Roman"/>
          <w:b/>
          <w:bCs/>
          <w:i w:val="false"/>
          <w:iCs w:val="false"/>
          <w:sz w:val="24"/>
          <w:szCs w:val="24"/>
        </w:rPr>
        <w:t xml:space="preserve">Table 2.3 — Studies on ambient illumination as a moderator.</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650"/>
        <w:gridCol w:w="1505"/>
        <w:gridCol w:w="650"/>
        <w:gridCol w:w="650"/>
        <w:gridCol w:w="1684"/>
        <w:gridCol w:w="2222"/>
        <w:gridCol w:w="1710"/>
      </w:tblGrid>
      <w:tr>
        <w:trPr>
          <w:tblHeader/>
        </w:trPr>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Sl.</w:t>
            </w:r>
          </w:p>
        </w:tc>
        <w:tc>
          <w:tcPr>
            <w:tcW w:type="dxa" w:w="1505"/>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Study</w:t>
            </w:r>
          </w:p>
        </w:tc>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Year</w:t>
            </w:r>
          </w:p>
        </w:tc>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N</w:t>
            </w:r>
          </w:p>
        </w:tc>
        <w:tc>
          <w:tcPr>
            <w:tcW w:type="dxa" w:w="1684"/>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Illumination manipulated</w:t>
            </w:r>
          </w:p>
        </w:tc>
        <w:tc>
          <w:tcPr>
            <w:tcW w:type="dxa" w:w="2222"/>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Principal finding</w:t>
            </w:r>
          </w:p>
        </w:tc>
        <w:tc>
          <w:tcPr>
            <w:tcW w:type="dxa" w:w="171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Limitation</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w:t>
            </w:r>
          </w:p>
        </w:tc>
        <w:tc>
          <w:tcPr>
            <w:tcW w:type="dxa" w:w="150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Buchner &amp; Baumgartner</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2007</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NR</w:t>
            </w:r>
          </w:p>
        </w:tc>
        <w:tc>
          <w:tcPr>
            <w:tcW w:type="dxa" w:w="168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Darkness vs typical office lighting</w:t>
            </w:r>
          </w:p>
        </w:tc>
        <w:tc>
          <w:tcPr>
            <w:tcW w:type="dxa" w:w="222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Positive polarity advantage independent of ambient lighting</w:t>
            </w:r>
          </w:p>
        </w:tc>
        <w:tc>
          <w:tcPr>
            <w:tcW w:type="dxa" w:w="171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Two coarse levels; proofreading only</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w:t>
            </w:r>
          </w:p>
        </w:tc>
        <w:tc>
          <w:tcPr>
            <w:tcW w:type="dxa" w:w="150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Dobres </w:t>
            </w:r>
            <w:r>
              <w:rPr>
                <w:rFonts w:ascii="Times New Roman" w:cs="Times New Roman" w:eastAsia="Times New Roman" w:hAnsi="Times New Roman"/>
                <w:b w:val="false"/>
                <w:bCs w:val="false"/>
                <w:i/>
                <w:iCs/>
                <w:sz w:val="15"/>
                <w:szCs w:val="15"/>
              </w:rPr>
              <w:t xml:space="preserve">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2017</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NR</w:t>
            </w:r>
          </w:p>
        </w:tc>
        <w:tc>
          <w:tcPr>
            <w:tcW w:type="dxa" w:w="168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Near-dark vs daylight-like</w:t>
            </w:r>
          </w:p>
        </w:tc>
        <w:tc>
          <w:tcPr>
            <w:tcW w:type="dxa" w:w="222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Negative polarity worst under near-dark; raising illumination or switching polarity restored legibility</w:t>
            </w:r>
          </w:p>
        </w:tc>
        <w:tc>
          <w:tcPr>
            <w:tcW w:type="dxa" w:w="171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Threshold legibility only; no fatigue outcome</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3</w:t>
            </w:r>
          </w:p>
        </w:tc>
        <w:tc>
          <w:tcPr>
            <w:tcW w:type="dxa" w:w="150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Xie </w:t>
            </w:r>
            <w:r>
              <w:rPr>
                <w:rFonts w:ascii="Times New Roman" w:cs="Times New Roman" w:eastAsia="Times New Roman" w:hAnsi="Times New Roman"/>
                <w:b w:val="false"/>
                <w:bCs w:val="false"/>
                <w:i/>
                <w:iCs/>
                <w:sz w:val="15"/>
                <w:szCs w:val="15"/>
              </w:rPr>
              <w:t xml:space="preserve">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2021</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NR</w:t>
            </w:r>
          </w:p>
        </w:tc>
        <w:tc>
          <w:tcPr>
            <w:tcW w:type="dxa" w:w="168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Low ambient illumination at night, 6 contrast ratios</w:t>
            </w:r>
          </w:p>
        </w:tc>
        <w:tc>
          <w:tcPr>
            <w:tcW w:type="dxa" w:w="222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Colour mode and contrast jointly affected fatigue under low light</w:t>
            </w:r>
          </w:p>
        </w:tc>
        <w:tc>
          <w:tcPr>
            <w:tcW w:type="dxa" w:w="171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Night conditions only</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4</w:t>
            </w:r>
          </w:p>
        </w:tc>
        <w:tc>
          <w:tcPr>
            <w:tcW w:type="dxa" w:w="150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Tian </w:t>
            </w:r>
            <w:r>
              <w:rPr>
                <w:rFonts w:ascii="Times New Roman" w:cs="Times New Roman" w:eastAsia="Times New Roman" w:hAnsi="Times New Roman"/>
                <w:b w:val="false"/>
                <w:bCs w:val="false"/>
                <w:i/>
                <w:iCs/>
                <w:sz w:val="15"/>
                <w:szCs w:val="15"/>
              </w:rPr>
              <w:t xml:space="preserve">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2022</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NR</w:t>
            </w:r>
          </w:p>
        </w:tc>
        <w:tc>
          <w:tcPr>
            <w:tcW w:type="dxa" w:w="168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Dark environment, graded screen brightness</w:t>
            </w:r>
          </w:p>
        </w:tc>
        <w:tc>
          <w:tcPr>
            <w:tcW w:type="dxa" w:w="222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Low screen brightness in darkness reduced fatigue; sensitivity most vulnerable at medium-high brightness</w:t>
            </w:r>
          </w:p>
        </w:tc>
        <w:tc>
          <w:tcPr>
            <w:tcW w:type="dxa" w:w="171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Non-reading stimuli</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5</w:t>
            </w:r>
          </w:p>
        </w:tc>
        <w:tc>
          <w:tcPr>
            <w:tcW w:type="dxa" w:w="150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Fan </w:t>
            </w:r>
            <w:r>
              <w:rPr>
                <w:rFonts w:ascii="Times New Roman" w:cs="Times New Roman" w:eastAsia="Times New Roman" w:hAnsi="Times New Roman"/>
                <w:b w:val="false"/>
                <w:bCs w:val="false"/>
                <w:i/>
                <w:iCs/>
                <w:sz w:val="15"/>
                <w:szCs w:val="15"/>
              </w:rPr>
              <w:t xml:space="preserve">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2024</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NR</w:t>
            </w:r>
          </w:p>
        </w:tc>
        <w:tc>
          <w:tcPr>
            <w:tcW w:type="dxa" w:w="168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Graded ambient illumination, negative polarity</w:t>
            </w:r>
          </w:p>
        </w:tc>
        <w:tc>
          <w:tcPr>
            <w:tcW w:type="dxa" w:w="222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Higher illumination reduced fatigue, by an amount depending on text colour</w:t>
            </w:r>
          </w:p>
        </w:tc>
        <w:tc>
          <w:tcPr>
            <w:tcW w:type="dxa" w:w="171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Negative polarity only</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6</w:t>
            </w:r>
          </w:p>
        </w:tc>
        <w:tc>
          <w:tcPr>
            <w:tcW w:type="dxa" w:w="150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Contact Lens and Anterior Eye study (</w:t>
            </w:r>
            <w:r>
              <w:rPr>
                <w:rFonts w:ascii="Times New Roman" w:cs="Times New Roman" w:eastAsia="Times New Roman" w:hAnsi="Times New Roman"/>
                <w:b w:val="false"/>
                <w:bCs w:val="false"/>
                <w:i w:val="false"/>
                <w:iCs w:val="false"/>
                <w:sz w:val="15"/>
                <w:szCs w:val="15"/>
                <w:highlight w:val="yellow"/>
                <w:highlightCs w:val="yellow"/>
              </w:rPr>
              <w:t xml:space="preserve">[Authors]</w:t>
            </w:r>
            <w:r>
              <w:rPr>
                <w:rFonts w:ascii="Times New Roman" w:cs="Times New Roman" w:eastAsia="Times New Roman" w:hAnsi="Times New Roman"/>
                <w:b w:val="false"/>
                <w:bCs w:val="false"/>
                <w:i w:val="false"/>
                <w:iCs w:val="false"/>
                <w:sz w:val="15"/>
                <w:szCs w:val="15"/>
              </w:rPr>
              <w:t xml:space="preserve">, 2025)</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2025</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30</w:t>
            </w:r>
          </w:p>
        </w:tc>
        <w:tc>
          <w:tcPr>
            <w:tcW w:type="dxa" w:w="168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Bright vs dark room × bright vs dark screen, 30-min reading</w:t>
            </w:r>
          </w:p>
        </w:tc>
        <w:tc>
          <w:tcPr>
            <w:tcW w:type="dxa" w:w="222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Dark room with bright screen most destabilised the tear film; incomplete-blink rate rose over time in all groups</w:t>
            </w:r>
          </w:p>
        </w:tc>
        <w:tc>
          <w:tcPr>
            <w:tcW w:type="dxa" w:w="171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Smartphone; four combinations only; polarity not manipulated</w:t>
            </w:r>
          </w:p>
        </w:tc>
      </w:tr>
    </w:tbl>
    <w:p>
      <w:pPr>
        <w:spacing w:after="40" w:line="120"/>
      </w:pPr>
      <w:r>
        <w:rPr>
          <w:sz w:val="8"/>
          <w:szCs w:val="8"/>
        </w:rPr>
        <w:t xml:space="preserve"/>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evidence is not uniform: the proofreading advantage was independent of ambient lighting (Buchner &amp; Baumgartner, 2007) whereas threshold legibility showed a clear interaction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suggesting a threshold-like rather than smoothly scaling relationship and requiring that illumination be measured rather than merely described. The most recent work is the most directly relevant, reading in a dark room from a bright screen having produced the greatest tear-film destabilisation and the largest blink changes, with incomplete blinking rising over time in every condition (</w:t>
      </w:r>
      <w:r>
        <w:rPr>
          <w:rFonts w:ascii="Times New Roman" w:cs="Times New Roman" w:eastAsia="Times New Roman" w:hAnsi="Times New Roman"/>
          <w:b w:val="false"/>
          <w:bCs w:val="false"/>
          <w:i w:val="false"/>
          <w:iCs w:val="false"/>
          <w:sz w:val="24"/>
          <w:szCs w:val="24"/>
          <w:highlight w:val="yellow"/>
          <w:highlightCs w:val="yellow"/>
        </w:rPr>
        <w:t xml:space="preserve">[Authors]</w:t>
      </w:r>
      <w:r>
        <w:rPr>
          <w:rFonts w:ascii="Times New Roman" w:cs="Times New Roman" w:eastAsia="Times New Roman" w:hAnsi="Times New Roman"/>
          <w:b w:val="false"/>
          <w:bCs w:val="false"/>
          <w:i w:val="false"/>
          <w:iCs w:val="false"/>
          <w:sz w:val="24"/>
          <w:szCs w:val="24"/>
        </w:rPr>
        <w:t xml:space="preserve">, 2025).</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2.5 Ocular behaviour as an objective marker</w:t>
      </w:r>
    </w:p>
    <w:p>
      <w:pPr>
        <w:spacing w:after="0" w:line="360"/>
        <w:jc w:val="both"/>
      </w:pPr>
      <w:r>
        <w:rPr>
          <w:rFonts w:ascii="Times New Roman" w:cs="Times New Roman" w:eastAsia="Times New Roman" w:hAnsi="Times New Roman"/>
          <w:b w:val="false"/>
          <w:bCs w:val="false"/>
          <w:i w:val="false"/>
          <w:iCs w:val="false"/>
          <w:sz w:val="24"/>
          <w:szCs w:val="24"/>
        </w:rPr>
        <w:t xml:space="preserve">Suppression of spontaneous blinking during display use is among the most reproducible findings in the field (Fjaervoll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Kamøy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Sheppard &amp; Wolffsohn, 2018), and the proportion of blinks that fail to close fully has the strongest claim to specificity (Table 2.4).</w:t>
      </w:r>
    </w:p>
    <w:p>
      <w:pPr>
        <w:spacing w:after="0" w:line="360"/>
        <w:ind w:firstLine="360"/>
        <w:jc w:val="both"/>
      </w:pPr>
      <w:r>
        <w:rPr>
          <w:rFonts w:ascii="Times New Roman" w:cs="Times New Roman" w:eastAsia="Times New Roman" w:hAnsi="Times New Roman"/>
          <w:b/>
          <w:bCs/>
          <w:i w:val="false"/>
          <w:iCs w:val="false"/>
          <w:sz w:val="24"/>
          <w:szCs w:val="24"/>
        </w:rPr>
        <w:t xml:space="preserve">Table 2.4 — Studies on ocular behaviour as an objective marker.</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650"/>
        <w:gridCol w:w="1440"/>
        <w:gridCol w:w="650"/>
        <w:gridCol w:w="650"/>
        <w:gridCol w:w="2120"/>
        <w:gridCol w:w="2121"/>
        <w:gridCol w:w="1440"/>
      </w:tblGrid>
      <w:tr>
        <w:trPr>
          <w:tblHeader/>
        </w:trPr>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Sl.</w:t>
            </w:r>
          </w:p>
        </w:tc>
        <w:tc>
          <w:tcPr>
            <w:tcW w:type="dxa" w:w="144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Study</w:t>
            </w:r>
          </w:p>
        </w:tc>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Year</w:t>
            </w:r>
          </w:p>
        </w:tc>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N</w:t>
            </w:r>
          </w:p>
        </w:tc>
        <w:tc>
          <w:tcPr>
            <w:tcW w:type="dxa" w:w="212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Measure and task</w:t>
            </w:r>
          </w:p>
        </w:tc>
        <w:tc>
          <w:tcPr>
            <w:tcW w:type="dxa" w:w="2121"/>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Principal finding</w:t>
            </w:r>
          </w:p>
        </w:tc>
        <w:tc>
          <w:tcPr>
            <w:tcW w:type="dxa" w:w="144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Limitation</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w:t>
            </w:r>
          </w:p>
        </w:tc>
        <w:tc>
          <w:tcPr>
            <w:tcW w:type="dxa" w:w="144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Cardona </w:t>
            </w:r>
            <w:r>
              <w:rPr>
                <w:rFonts w:ascii="Times New Roman" w:cs="Times New Roman" w:eastAsia="Times New Roman" w:hAnsi="Times New Roman"/>
                <w:b w:val="false"/>
                <w:bCs w:val="false"/>
                <w:i/>
                <w:iCs/>
                <w:sz w:val="15"/>
                <w:szCs w:val="15"/>
              </w:rPr>
              <w:t xml:space="preserve">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2011</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25</w:t>
            </w:r>
          </w:p>
        </w:tc>
        <w:tc>
          <w:tcPr>
            <w:tcW w:type="dxa" w:w="212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Blink rate and amplitude, tear film; fast vs slow display task</w:t>
            </w:r>
          </w:p>
        </w:tc>
        <w:tc>
          <w:tcPr>
            <w:tcW w:type="dxa" w:w="212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Blink rate fell to one-third (fast) and one-half (slow) of baseline; more incomplete blinks when dynamic</w:t>
            </w:r>
          </w:p>
        </w:tc>
        <w:tc>
          <w:tcPr>
            <w:tcW w:type="dxa" w:w="144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Game task, not reading; manual video coding</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w:t>
            </w:r>
          </w:p>
        </w:tc>
        <w:tc>
          <w:tcPr>
            <w:tcW w:type="dxa" w:w="144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Portello </w:t>
            </w:r>
            <w:r>
              <w:rPr>
                <w:rFonts w:ascii="Times New Roman" w:cs="Times New Roman" w:eastAsia="Times New Roman" w:hAnsi="Times New Roman"/>
                <w:b w:val="false"/>
                <w:bCs w:val="false"/>
                <w:i/>
                <w:iCs/>
                <w:sz w:val="15"/>
                <w:szCs w:val="15"/>
              </w:rPr>
              <w:t xml:space="preserve">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2013</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21</w:t>
            </w:r>
          </w:p>
        </w:tc>
        <w:tc>
          <w:tcPr>
            <w:tcW w:type="dxa" w:w="212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Blink rate and completeness, symptom score; 15-min reading</w:t>
            </w:r>
          </w:p>
        </w:tc>
        <w:tc>
          <w:tcPr>
            <w:tcW w:type="dxa" w:w="212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Incomplete blinks 0.9–56.5% (mean 16.1); symptoms correlated with incomplete-blink % (p = 0.002); raising blink rate did not help</w:t>
            </w:r>
          </w:p>
        </w:tc>
        <w:tc>
          <w:tcPr>
            <w:tcW w:type="dxa" w:w="144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Single condition; small sample; manual coding</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3</w:t>
            </w:r>
          </w:p>
        </w:tc>
        <w:tc>
          <w:tcPr>
            <w:tcW w:type="dxa" w:w="144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Hirota </w:t>
            </w:r>
            <w:r>
              <w:rPr>
                <w:rFonts w:ascii="Times New Roman" w:cs="Times New Roman" w:eastAsia="Times New Roman" w:hAnsi="Times New Roman"/>
                <w:b w:val="false"/>
                <w:bCs w:val="false"/>
                <w:i/>
                <w:iCs/>
                <w:sz w:val="15"/>
                <w:szCs w:val="15"/>
              </w:rPr>
              <w:t xml:space="preserve">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2013</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11</w:t>
            </w:r>
          </w:p>
        </w:tc>
        <w:tc>
          <w:tcPr>
            <w:tcW w:type="dxa" w:w="212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Blink composition and tear break-up time; 60-min task</w:t>
            </w:r>
          </w:p>
        </w:tc>
        <w:tc>
          <w:tcPr>
            <w:tcW w:type="dxa" w:w="212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Break-up time fell 8.62→4.33 s at 30 min, recovering as incomplete blinking declined; quality, not frequency, governs stability</w:t>
            </w:r>
          </w:p>
        </w:tc>
        <w:tc>
          <w:tcPr>
            <w:tcW w:type="dxa" w:w="144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Very small sample; single display condition</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4</w:t>
            </w:r>
          </w:p>
        </w:tc>
        <w:tc>
          <w:tcPr>
            <w:tcW w:type="dxa" w:w="144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Argilés </w:t>
            </w:r>
            <w:r>
              <w:rPr>
                <w:rFonts w:ascii="Times New Roman" w:cs="Times New Roman" w:eastAsia="Times New Roman" w:hAnsi="Times New Roman"/>
                <w:b w:val="false"/>
                <w:bCs w:val="false"/>
                <w:i/>
                <w:iCs/>
                <w:sz w:val="15"/>
                <w:szCs w:val="15"/>
              </w:rPr>
              <w:t xml:space="preserve">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2015</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50</w:t>
            </w:r>
          </w:p>
        </w:tc>
        <w:tc>
          <w:tcPr>
            <w:tcW w:type="dxa" w:w="212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Blink rate and completeness across 6 hard-copy and electronic reading conditions</w:t>
            </w:r>
          </w:p>
        </w:tc>
        <w:tc>
          <w:tcPr>
            <w:tcW w:type="dxa" w:w="212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All reading reduced blink rate; incomplete blinks rose only on electronic platforms</w:t>
            </w:r>
          </w:p>
        </w:tc>
        <w:tc>
          <w:tcPr>
            <w:tcW w:type="dxa" w:w="144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Display parameters not manipulated; manual coding</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5</w:t>
            </w:r>
          </w:p>
        </w:tc>
        <w:tc>
          <w:tcPr>
            <w:tcW w:type="dxa" w:w="144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Jackson </w:t>
            </w:r>
            <w:r>
              <w:rPr>
                <w:rFonts w:ascii="Times New Roman" w:cs="Times New Roman" w:eastAsia="Times New Roman" w:hAnsi="Times New Roman"/>
                <w:b w:val="false"/>
                <w:bCs w:val="false"/>
                <w:i/>
                <w:iCs/>
                <w:sz w:val="15"/>
                <w:szCs w:val="15"/>
              </w:rPr>
              <w:t xml:space="preserve">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2016</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12</w:t>
            </w:r>
          </w:p>
        </w:tc>
        <w:tc>
          <w:tcPr>
            <w:tcW w:type="dxa" w:w="212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PERCLOS and driving performance after 24-h sleep deprivation</w:t>
            </w:r>
          </w:p>
        </w:tc>
        <w:tc>
          <w:tcPr>
            <w:tcW w:type="dxa" w:w="212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PERCLOS correlated with vigilance variability (r = 0.68) and lane position (r = 0.61)</w:t>
            </w:r>
          </w:p>
        </w:tc>
        <w:tc>
          <w:tcPr>
            <w:tcW w:type="dxa" w:w="144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Drowsiness, not visual fatigue; extreme manipulation</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6</w:t>
            </w:r>
          </w:p>
        </w:tc>
        <w:tc>
          <w:tcPr>
            <w:tcW w:type="dxa" w:w="144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Contact Lens and Anterior Eye study (</w:t>
            </w:r>
            <w:r>
              <w:rPr>
                <w:rFonts w:ascii="Times New Roman" w:cs="Times New Roman" w:eastAsia="Times New Roman" w:hAnsi="Times New Roman"/>
                <w:b w:val="false"/>
                <w:bCs w:val="false"/>
                <w:i w:val="false"/>
                <w:iCs w:val="false"/>
                <w:sz w:val="15"/>
                <w:szCs w:val="15"/>
                <w:highlight w:val="yellow"/>
                <w:highlightCs w:val="yellow"/>
              </w:rPr>
              <w:t xml:space="preserve">[Authors]</w:t>
            </w:r>
            <w:r>
              <w:rPr>
                <w:rFonts w:ascii="Times New Roman" w:cs="Times New Roman" w:eastAsia="Times New Roman" w:hAnsi="Times New Roman"/>
                <w:b w:val="false"/>
                <w:bCs w:val="false"/>
                <w:i w:val="false"/>
                <w:iCs w:val="false"/>
                <w:sz w:val="15"/>
                <w:szCs w:val="15"/>
              </w:rPr>
              <w:t xml:space="preserve">, 2025)</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2025</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30</w:t>
            </w:r>
          </w:p>
        </w:tc>
        <w:tc>
          <w:tcPr>
            <w:tcW w:type="dxa" w:w="212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Tear-film indices and blink parameters; 30-min reading, 4 lighting–brightness combinations</w:t>
            </w:r>
          </w:p>
        </w:tc>
        <w:tc>
          <w:tcPr>
            <w:tcW w:type="dxa" w:w="212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Dark room with bright screen most destabilised the tear film; incomplete-blink rate rose over time in all groups</w:t>
            </w:r>
          </w:p>
        </w:tc>
        <w:tc>
          <w:tcPr>
            <w:tcW w:type="dxa" w:w="144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Smartphone; polarity and text colour not manipulated</w:t>
            </w:r>
          </w:p>
        </w:tc>
      </w:tr>
    </w:tbl>
    <w:p>
      <w:pPr>
        <w:spacing w:after="40" w:line="120"/>
      </w:pPr>
      <w:r>
        <w:rPr>
          <w:sz w:val="8"/>
          <w:szCs w:val="8"/>
        </w:rPr>
        <w:t xml:space="preserve"/>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Three findings forbid reading blink rate as a simple fatigue index: it is suppressed by reading irrespective of medium (Argilés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and by task dynamism at matched cognitive load (Cardona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2011); total rate can hold steady while the complete-to-incomplete composition shifts (Hirota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and raising blink rate experimentally changed no symptom score (Portello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The incomplete-blink ratio, referenced to a within-participant baseline, is therefore the better-justified primary marker. Every study in Table 2.4 relied on manual frame-by-frame coding or dedicated hardware, and none manipulated polarity or text colour — which is why the samples are eleven to fifty, and why an automated measure is worth validating.</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PERCLOS, the proportion of time the eyes are more than 80 per cent closed, is among the most validated indices for passive drowsiness detection (Abe, 2023) and correlates with vigilance-performance variability after sleep deprivation (Jackson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2016). Its documented insensitivity in moderate drowsiness (Abe, 2023) dictates its role here as a covariate for sleepiness rather than a measure of visual fatigue.</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2.6 Task performance and sustained attention</w:t>
      </w:r>
    </w:p>
    <w:p>
      <w:pPr>
        <w:spacing w:after="0" w:line="360"/>
        <w:jc w:val="both"/>
      </w:pPr>
      <w:r>
        <w:rPr>
          <w:rFonts w:ascii="Times New Roman" w:cs="Times New Roman" w:eastAsia="Times New Roman" w:hAnsi="Times New Roman"/>
          <w:b w:val="false"/>
          <w:bCs w:val="false"/>
          <w:i w:val="false"/>
          <w:iCs w:val="false"/>
          <w:sz w:val="24"/>
          <w:szCs w:val="24"/>
        </w:rPr>
        <w:t xml:space="preserve">Comparison of reading media reports an advantage for print over screen, moderated by genre and time pressure (Delgado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2018). This constrains how comprehension should be measured, since genre, difficulty and pacing must be standardised, but does not bear on the hypothesis under test, because a within-screen design removes the medium confound. Prolonged monotonous tasks also produce a vigilance decrement best accounted for by resource depletion (Warm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2008), with lapses and reaction-time variability its most fatigue-sensitive indices (Abe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2014). Attentional and visual-fatigue outcomes therefore share time on task as a driver and must be measured together if they are to be distinguished.</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2.7 Subjective instruments and scalable measurement</w:t>
      </w:r>
    </w:p>
    <w:p>
      <w:pPr>
        <w:spacing w:after="0" w:line="360"/>
        <w:jc w:val="both"/>
      </w:pPr>
      <w:r>
        <w:rPr>
          <w:rFonts w:ascii="Times New Roman" w:cs="Times New Roman" w:eastAsia="Times New Roman" w:hAnsi="Times New Roman"/>
          <w:b w:val="false"/>
          <w:bCs w:val="false"/>
          <w:i w:val="false"/>
          <w:iCs w:val="false"/>
          <w:sz w:val="24"/>
          <w:szCs w:val="24"/>
        </w:rPr>
        <w:t xml:space="preserve">The Computer Vision Syndrome Questionnaire assesses frequency and intensity of sixteen symptoms on a Rasch-fitting scale, with sensitivity and specificity above 70 per cent and test–retest intraclass correlation of 0.802 (Seguí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Cross-cultural validation reports internal consistency of 0.793, sensitivity 78.5 per cent, specificity 70.7 per cent, convergent validity with the Ocular Surface Disease Index of 0.728 and a cut-off of seven (Cantó-Sancho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Cognitive workload is conventionally indexed by the NASA Task Load Index across six dimensions (Hart &amp; Staveland, 1988). Review notes that correlations between objective and subjective measures are not always apparent (Sheppard &amp; Wolffsohn, 2018), a discrepancy treated here as an object of study.</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Automated blink detection derives a scalar eye aspect ratio from facial landmarks and identifies blinks as a temporal pattern in that signal (Soukupová &amp; Čech, 2016). Being continuous and normalised, it can distinguish partial from complete closure, automating what the clinical literature has done by hand (Argilés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Hirota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Portello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Validity differs by target: camera-based gaze estimation is lower in accuracy and sampling rate than infrared tracking and is defensible only for coarse zone classification, whereas blink measures are proportion-based and need temporal rather than spatial precision. Since blinks last 100 to 400 ms, duration-based metrics become unreliable below about 25 frames per second, while proportion measures are more robust. No published study has validated a camera-based incomplete-blink measure against manual annotation.</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2.8 Research gaps</w:t>
      </w:r>
    </w:p>
    <w:p>
      <w:pPr>
        <w:spacing w:after="0" w:line="360"/>
        <w:jc w:val="both"/>
      </w:pPr>
      <w:r>
        <w:rPr>
          <w:rFonts w:ascii="Times New Roman" w:cs="Times New Roman" w:eastAsia="Times New Roman" w:hAnsi="Times New Roman"/>
          <w:b w:val="false"/>
          <w:bCs w:val="false"/>
          <w:i w:val="false"/>
          <w:iCs w:val="false"/>
          <w:sz w:val="24"/>
          <w:szCs w:val="24"/>
        </w:rPr>
        <w:t xml:space="preserve">Six gaps follow from the foregoing, and together they define the study.</w:t>
      </w:r>
    </w:p>
    <w:p>
      <w:pPr>
        <w:spacing w:after="0" w:line="360"/>
        <w:ind w:left="640" w:hanging="640"/>
        <w:jc w:val="both"/>
      </w:pPr>
      <w:r>
        <w:rPr>
          <w:rFonts w:ascii="Times New Roman" w:cs="Times New Roman" w:eastAsia="Times New Roman" w:hAnsi="Times New Roman"/>
          <w:sz w:val="24"/>
          <w:szCs w:val="24"/>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The positive polarity advantage is established for brief, achromatic legibility tasks but untested for prolonged reading with fatigue accumulation and ocular-surface outcomes.</w:t>
      </w:r>
    </w:p>
    <w:p>
      <w:pPr>
        <w:spacing w:after="0" w:line="360"/>
        <w:ind w:left="640" w:hanging="640"/>
        <w:jc w:val="both"/>
      </w:pPr>
      <w:r>
        <w:rPr>
          <w:rFonts w:ascii="Times New Roman" w:cs="Times New Roman" w:eastAsia="Times New Roman" w:hAnsi="Times New Roman"/>
          <w:sz w:val="24"/>
          <w:szCs w:val="24"/>
        </w:rPr>
        <w:t xml:space="preserve">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The interaction between polarity and text colour on visual fatigue appears unestimated, the only located text-colour fatigue study having held polarity constant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nor has hue been separated from luminance contrast in the studies located (Buchner &amp; Baumgartner, 2007; Jiménez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2020; Xie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2021).</w:t>
      </w:r>
    </w:p>
    <w:p>
      <w:pPr>
        <w:spacing w:after="0" w:line="360"/>
        <w:ind w:left="640" w:hanging="640"/>
        <w:jc w:val="both"/>
      </w:pPr>
      <w:r>
        <w:rPr>
          <w:rFonts w:ascii="Times New Roman" w:cs="Times New Roman" w:eastAsia="Times New Roman" w:hAnsi="Times New Roman"/>
          <w:sz w:val="24"/>
          <w:szCs w:val="24"/>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No located study reports contrast metrics alongside measured display photometry, the prevailing standard is polarity-blind (Advanced Perceptual Contrast Algorithm, n.d.; World Wide Web Consortium, 2023), and three-way effects of polarity, colour and illumination remain uncharacterised, the two-way findings being in partial conflict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w:t>
      </w:r>
    </w:p>
    <w:p>
      <w:pPr>
        <w:spacing w:after="0" w:line="360"/>
        <w:ind w:left="640" w:hanging="640"/>
        <w:jc w:val="both"/>
      </w:pPr>
      <w:r>
        <w:rPr>
          <w:rFonts w:ascii="Times New Roman" w:cs="Times New Roman" w:eastAsia="Times New Roman" w:hAnsi="Times New Roman"/>
          <w:sz w:val="24"/>
          <w:szCs w:val="24"/>
        </w:rPr>
        <w:t xml:space="preserve">4.</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Few studies co-register a validated symptom instrument with objective markers in the same condition, leaving the subjective–objective discrepancy unresolved (Sheppard &amp; Wolffsohn, 2018); where both were measured they pointed in opposite directions (Xie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2021).</w:t>
      </w:r>
    </w:p>
    <w:p>
      <w:pPr>
        <w:spacing w:after="0" w:line="360"/>
        <w:ind w:left="640" w:hanging="640"/>
        <w:jc w:val="both"/>
      </w:pPr>
      <w:r>
        <w:rPr>
          <w:rFonts w:ascii="Times New Roman" w:cs="Times New Roman" w:eastAsia="Times New Roman" w:hAnsi="Times New Roman"/>
          <w:sz w:val="24"/>
          <w:szCs w:val="24"/>
        </w:rPr>
        <w:t xml:space="preserve">5.</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The incomplete-blink ratio does not appear to have been tested as an outcome of a display manipulation despite its specificity (</w:t>
      </w:r>
      <w:r>
        <w:rPr>
          <w:rFonts w:ascii="Times New Roman" w:cs="Times New Roman" w:eastAsia="Times New Roman" w:hAnsi="Times New Roman"/>
          <w:b w:val="false"/>
          <w:bCs w:val="false"/>
          <w:i w:val="false"/>
          <w:iCs w:val="false"/>
          <w:sz w:val="24"/>
          <w:szCs w:val="24"/>
          <w:highlight w:val="yellow"/>
          <w:highlightCs w:val="yellow"/>
        </w:rPr>
        <w:t xml:space="preserve">[Authors]</w:t>
      </w:r>
      <w:r>
        <w:rPr>
          <w:rFonts w:ascii="Times New Roman" w:cs="Times New Roman" w:eastAsia="Times New Roman" w:hAnsi="Times New Roman"/>
          <w:b w:val="false"/>
          <w:bCs w:val="false"/>
          <w:i w:val="false"/>
          <w:iCs w:val="false"/>
          <w:sz w:val="24"/>
          <w:szCs w:val="24"/>
        </w:rPr>
        <w:t xml:space="preserve">, 2025; Argilés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Hirota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Portello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and no automated implementation has been validated against manual annotation in the literature located, so the measure does not scale.</w:t>
      </w:r>
    </w:p>
    <w:p>
      <w:pPr>
        <w:spacing w:after="0" w:line="360"/>
        <w:ind w:left="640" w:hanging="640"/>
        <w:jc w:val="both"/>
      </w:pPr>
      <w:r>
        <w:rPr>
          <w:rFonts w:ascii="Times New Roman" w:cs="Times New Roman" w:eastAsia="Times New Roman" w:hAnsi="Times New Roman"/>
          <w:sz w:val="24"/>
          <w:szCs w:val="24"/>
        </w:rPr>
        <w:t xml:space="preserve">6.</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Individual differences in habitual display preference, exposure and lighting environment are seldom modelled as moderators, and tablet-specific, ecologically valid protocols are scarce.</w:t>
      </w:r>
    </w:p>
    <w:p>
      <w:pPr>
        <w:pBdr>
          <w:bottom w:val="single" w:color="AAAAAA" w:sz="6" w:space="1"/>
        </w:pBdr>
        <w:spacing w:after="40" w:before="0"/>
      </w:pPr>
      <w:r>
        <w:rPr>
          <w:rFonts w:ascii="Times New Roman" w:cs="Times New Roman" w:eastAsia="Times New Roman" w:hAnsi="Times New Roman"/>
          <w:sz w:val="24"/>
          <w:szCs w:val="24"/>
        </w:rPr>
        <w:t xml:space="preserve"/>
      </w:r>
    </w:p>
    <w:p>
      <w:pPr>
        <w:pStyle w:val="Heading1"/>
        <w:keepNext/>
        <w:spacing w:after="40" w:before="140" w:line="360"/>
        <w:jc w:val="center"/>
      </w:pPr>
      <w:r>
        <w:rPr>
          <w:rFonts w:ascii="Times New Roman" w:cs="Times New Roman" w:eastAsia="Times New Roman" w:hAnsi="Times New Roman"/>
          <w:b/>
          <w:bCs/>
          <w:i w:val="false"/>
          <w:iCs w:val="false"/>
          <w:sz w:val="30"/>
          <w:szCs w:val="30"/>
        </w:rPr>
        <w:t xml:space="preserve">CHAPTER 3: MATERIALS AND METHODS</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3.1 Study design</w:t>
      </w:r>
    </w:p>
    <w:p>
      <w:pPr>
        <w:spacing w:after="0" w:line="360"/>
        <w:jc w:val="both"/>
      </w:pPr>
      <w:r>
        <w:rPr>
          <w:rFonts w:ascii="Times New Roman" w:cs="Times New Roman" w:eastAsia="Times New Roman" w:hAnsi="Times New Roman"/>
          <w:b w:val="false"/>
          <w:bCs w:val="false"/>
          <w:i w:val="false"/>
          <w:iCs w:val="false"/>
          <w:sz w:val="24"/>
          <w:szCs w:val="24"/>
        </w:rPr>
        <w:t xml:space="preserve">The study uses a repeated-measures crossover (split-plot) factorial design. Display polarity (positive, negative) and text colour (achromatic, blue, red, yellow, green) are manipulated within session; ambient illumination (dim, moderate) is manipulated at session level, each participant receiving both levels in counterbalanced order. All three factors are therefore within-participant, but illumination acts as the session-level (whole-plot) factor and polarity × text colour as within-session (sub-plot) factors.</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Polarity and colour together yield ten display conditions, each administered under both illumination levels, giving twenty condition-runs per participant. Illumination is manipulated between sessions rather than within, because a fully crossed within-session design would be unmanageable in one sitting and because room light cannot be switched without re-adaptation. Each session presents all ten display conditions under one illumination level, the two sessions being separated by 48 to 72 hours, with the order of illumination levels counterbalanced between participants.</w:t>
      </w:r>
    </w:p>
    <w:p>
      <w:pPr>
        <w:spacing w:after="0" w:line="360"/>
        <w:ind w:firstLine="360"/>
        <w:jc w:val="both"/>
      </w:pPr>
      <w:r>
        <w:rPr>
          <w:rFonts w:ascii="Times New Roman" w:cs="Times New Roman" w:eastAsia="Times New Roman" w:hAnsi="Times New Roman"/>
          <w:b/>
          <w:bCs/>
          <w:i w:val="false"/>
          <w:iCs w:val="false"/>
          <w:sz w:val="24"/>
          <w:szCs w:val="24"/>
        </w:rPr>
        <w:t xml:space="preserve">Figure 3.1 — Flow of the proposed study.</w:t>
      </w:r>
    </w:p>
    <w:p>
      <w:pPr>
        <w:keepNext/>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Phase I — Preparation: ethics approval; instrument development and pilot; photometric characterisation of the tablet</w:t>
      </w:r>
    </w:p>
    <w:p>
      <w:pPr>
        <w:keepNext/>
        <w:spacing w:after="0" w:before="0" w:line="16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Phase II — Recruitment, screening and baseline profiling (Figure 3.2)</w:t>
      </w:r>
    </w:p>
    <w:p>
      <w:pPr>
        <w:keepNext/>
        <w:spacing w:after="0" w:before="0" w:line="16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Phase III — Session 1: 10 display conditions under illumination level A, in Williams order</w:t>
      </w:r>
    </w:p>
    <w:p>
      <w:pPr>
        <w:keepNext/>
        <w:spacing w:after="0" w:before="0" w:line="16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Phase IV — Session 2 after 48–72 h: the same 10 conditions under illumination level B</w:t>
      </w:r>
    </w:p>
    <w:p>
      <w:pPr>
        <w:keepNext/>
        <w:spacing w:after="0" w:before="0" w:line="16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Phase V — Data processing: automated ocular metrics, quality-control gating, manual-annotation validation sub-study</w:t>
      </w:r>
    </w:p>
    <w:p>
      <w:pPr>
        <w:keepNext/>
        <w:spacing w:after="0" w:before="0" w:line="160"/>
        <w:jc w:val="center"/>
      </w:pPr>
      <w:r>
        <w:rPr>
          <w:rFonts w:ascii="Times New Roman" w:cs="Times New Roman" w:eastAsia="Times New Roman" w:hAnsi="Times New Roman"/>
          <w:sz w:val="18"/>
          <w:szCs w:val="18"/>
        </w:rPr>
        <w:t xml:space="preserve">▼</w:t>
      </w:r>
    </w:p>
    <w:p>
      <w:pPr>
        <w:keepNext w:val="false"/>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Phase VI — Mixed-effects analysis, design recommendations, thesis</w:t>
      </w:r>
    </w:p>
    <w:p>
      <w:pPr>
        <w:spacing w:after="40" w:line="120"/>
      </w:pPr>
      <w:r>
        <w:rPr>
          <w:sz w:val="8"/>
          <w:szCs w:val="8"/>
        </w:rPr>
        <w:t xml:space="preserve"/>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3.2 Setting, participants and sampling</w:t>
      </w:r>
    </w:p>
    <w:p>
      <w:pPr>
        <w:spacing w:after="0" w:line="360"/>
        <w:jc w:val="both"/>
      </w:pPr>
      <w:r>
        <w:rPr>
          <w:rFonts w:ascii="Times New Roman" w:cs="Times New Roman" w:eastAsia="Times New Roman" w:hAnsi="Times New Roman"/>
          <w:b w:val="false"/>
          <w:bCs w:val="false"/>
          <w:i w:val="false"/>
          <w:iCs w:val="false"/>
          <w:sz w:val="24"/>
          <w:szCs w:val="24"/>
        </w:rPr>
        <w:t xml:space="preserve">The study will be conducted in a controlled laboratory room at Assam down town University in which ambient illuminance can be held constant and daylight is excluded. Data collection is expected to take approximately 24 months following ethics approval and piloting.</w:t>
      </w:r>
    </w:p>
    <w:p>
      <w:pPr>
        <w:spacing w:after="0" w:line="360"/>
        <w:ind w:firstLine="360"/>
        <w:jc w:val="both"/>
      </w:pPr>
      <w:r>
        <w:rPr>
          <w:rFonts w:ascii="Times New Roman" w:cs="Times New Roman" w:eastAsia="Times New Roman" w:hAnsi="Times New Roman"/>
          <w:b/>
          <w:bCs/>
          <w:i w:val="false"/>
          <w:iCs w:val="false"/>
          <w:sz w:val="24"/>
          <w:szCs w:val="24"/>
        </w:rPr>
        <w:t xml:space="preserve">Sampling strategy and sample size.</w:t>
      </w:r>
      <w:r>
        <w:rPr>
          <w:rFonts w:ascii="Times New Roman" w:cs="Times New Roman" w:eastAsia="Times New Roman" w:hAnsi="Times New Roman"/>
          <w:b w:val="false"/>
          <w:bCs w:val="false"/>
          <w:i w:val="false"/>
          <w:iCs w:val="false"/>
          <w:sz w:val="24"/>
          <w:szCs w:val="24"/>
        </w:rPr>
        <w:t xml:space="preserve"> Recruitment uses non-probability purposive (convenience) sampling, with consecutive enrolment of eligible volunteers from the university and its associated institutions, so that cognitive, visual and digital-exposure characteristics are reasonably homogeneous and the within-subject contrasts are not diluted by uncontrolled heterogeneity. Because sampling is non-probability, the findings are not intended to estimate population prevalence, and generalisation beyond comparable young-adult screen users is made with caution. Infinite-population formulae of the form n = Z²pq/e² do not apply, since this is a controlled repeated-measures experiment on a finite, purposively selected group in which each participant serves as their own control and no population prevalence is being estimated.</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target is </w:t>
      </w:r>
      <w:r>
        <w:rPr>
          <w:rFonts w:ascii="Times New Roman" w:cs="Times New Roman" w:eastAsia="Times New Roman" w:hAnsi="Times New Roman"/>
          <w:b/>
          <w:bCs/>
          <w:i w:val="false"/>
          <w:iCs w:val="false"/>
          <w:sz w:val="24"/>
          <w:szCs w:val="24"/>
        </w:rPr>
        <w:t xml:space="preserve">130 participants</w:t>
      </w:r>
      <w:r>
        <w:rPr>
          <w:rFonts w:ascii="Times New Roman" w:cs="Times New Roman" w:eastAsia="Times New Roman" w:hAnsi="Times New Roman"/>
          <w:b w:val="false"/>
          <w:bCs w:val="false"/>
          <w:i w:val="false"/>
          <w:iCs w:val="false"/>
          <w:sz w:val="24"/>
          <w:szCs w:val="24"/>
        </w:rPr>
        <w:t xml:space="preserve"> aged 18 to 35 for analysis, with 145 enrolled to allow for attrition across the two sessions. The figure is a multiple of ten, which the Williams counterbalancing scheme requires for complete balance (§3.8), and it follows from a simulation-based power analysis rather than from a formula that assumes independent observations, which would be inappropriate here.</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design has two distinct units of replication, and the required sample differs between them. Within-participant contrasts, which cover Objectives 1 and 2 and both the primary and key secondary outcomes, are tested on participant-level difference scores; each participant contributes twenty condition-runs, so these contrasts are efficient. Between-participant moderation, which is Objective 3, is tested across participants and is far more demanding. Table 3.1 gives the simulated power.</w:t>
      </w:r>
    </w:p>
    <w:p>
      <w:pPr>
        <w:spacing w:after="0" w:line="360"/>
        <w:ind w:firstLine="360"/>
        <w:jc w:val="both"/>
      </w:pPr>
      <w:r>
        <w:rPr>
          <w:rFonts w:ascii="Times New Roman" w:cs="Times New Roman" w:eastAsia="Times New Roman" w:hAnsi="Times New Roman"/>
          <w:b/>
          <w:bCs/>
          <w:i w:val="false"/>
          <w:iCs w:val="false"/>
          <w:sz w:val="24"/>
          <w:szCs w:val="24"/>
        </w:rPr>
        <w:t xml:space="preserve">Table 3.1 — Simulation-based power (20,000 replications per cell, two-sided α = 0.05).</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4474"/>
        <w:gridCol w:w="1330"/>
        <w:gridCol w:w="726"/>
        <w:gridCol w:w="847"/>
        <w:gridCol w:w="847"/>
        <w:gridCol w:w="847"/>
      </w:tblGrid>
      <w:tr>
        <w:trPr>
          <w:tblHeader/>
        </w:trPr>
        <w:tc>
          <w:tcPr>
            <w:tcW w:type="dxa" w:w="4474"/>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Analysis</w:t>
            </w:r>
          </w:p>
        </w:tc>
        <w:tc>
          <w:tcPr>
            <w:tcW w:type="dxa" w:w="133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Effect size</w:t>
            </w:r>
          </w:p>
        </w:tc>
        <w:tc>
          <w:tcPr>
            <w:tcW w:type="dxa" w:w="726"/>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n = 60</w:t>
            </w:r>
          </w:p>
        </w:tc>
        <w:tc>
          <w:tcPr>
            <w:tcW w:type="dxa" w:w="847"/>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n = 100</w:t>
            </w:r>
          </w:p>
        </w:tc>
        <w:tc>
          <w:tcPr>
            <w:tcW w:type="dxa" w:w="847"/>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n = 130</w:t>
            </w:r>
          </w:p>
        </w:tc>
        <w:tc>
          <w:tcPr>
            <w:tcW w:type="dxa" w:w="847"/>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n = 200</w:t>
            </w:r>
          </w:p>
        </w:tc>
      </w:tr>
      <w:tr>
        <w:tc>
          <w:tcPr>
            <w:tcW w:type="dxa" w:w="447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Within: polarity main effect</w:t>
            </w:r>
          </w:p>
        </w:tc>
        <w:tc>
          <w:tcPr>
            <w:tcW w:type="dxa" w:w="133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d_z = 0.40</w:t>
            </w:r>
          </w:p>
        </w:tc>
        <w:tc>
          <w:tcPr>
            <w:tcW w:type="dxa" w:w="72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86%</w:t>
            </w:r>
          </w:p>
        </w:tc>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98%</w:t>
            </w:r>
          </w:p>
        </w:tc>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&gt;99%</w:t>
            </w:r>
          </w:p>
        </w:tc>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&gt;99%</w:t>
            </w:r>
          </w:p>
        </w:tc>
      </w:tr>
      <w:tr>
        <w:tc>
          <w:tcPr>
            <w:tcW w:type="dxa" w:w="447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Within: polarity main effect</w:t>
            </w:r>
          </w:p>
        </w:tc>
        <w:tc>
          <w:tcPr>
            <w:tcW w:type="dxa" w:w="133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d_z = 0.30</w:t>
            </w:r>
          </w:p>
        </w:tc>
        <w:tc>
          <w:tcPr>
            <w:tcW w:type="dxa" w:w="72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62%</w:t>
            </w:r>
          </w:p>
        </w:tc>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84%</w:t>
            </w:r>
          </w:p>
        </w:tc>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92%</w:t>
            </w:r>
          </w:p>
        </w:tc>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99%</w:t>
            </w:r>
          </w:p>
        </w:tc>
      </w:tr>
      <w:tr>
        <w:tc>
          <w:tcPr>
            <w:tcW w:type="dxa" w:w="447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Within: polarity × colour interaction</w:t>
            </w:r>
          </w:p>
        </w:tc>
        <w:tc>
          <w:tcPr>
            <w:tcW w:type="dxa" w:w="133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d_z = 0.25</w:t>
            </w:r>
          </w:p>
        </w:tc>
        <w:tc>
          <w:tcPr>
            <w:tcW w:type="dxa" w:w="72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47%</w:t>
            </w:r>
          </w:p>
        </w:tc>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71%</w:t>
            </w:r>
          </w:p>
        </w:tc>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81%</w:t>
            </w:r>
          </w:p>
        </w:tc>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94%</w:t>
            </w:r>
          </w:p>
        </w:tc>
      </w:tr>
      <w:tr>
        <w:tc>
          <w:tcPr>
            <w:tcW w:type="dxa" w:w="447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Between: moderation, large</w:t>
            </w:r>
          </w:p>
        </w:tc>
        <w:tc>
          <w:tcPr>
            <w:tcW w:type="dxa" w:w="133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0.60 SD</w:t>
            </w:r>
          </w:p>
        </w:tc>
        <w:tc>
          <w:tcPr>
            <w:tcW w:type="dxa" w:w="72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62%</w:t>
            </w:r>
          </w:p>
        </w:tc>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84%</w:t>
            </w:r>
          </w:p>
        </w:tc>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92%</w:t>
            </w:r>
          </w:p>
        </w:tc>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99%</w:t>
            </w:r>
          </w:p>
        </w:tc>
      </w:tr>
      <w:tr>
        <w:tc>
          <w:tcPr>
            <w:tcW w:type="dxa" w:w="447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Between: moderation, moderate</w:t>
            </w:r>
          </w:p>
        </w:tc>
        <w:tc>
          <w:tcPr>
            <w:tcW w:type="dxa" w:w="133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0.50 SD</w:t>
            </w:r>
          </w:p>
        </w:tc>
        <w:tc>
          <w:tcPr>
            <w:tcW w:type="dxa" w:w="72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48%</w:t>
            </w:r>
          </w:p>
        </w:tc>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70%</w:t>
            </w:r>
          </w:p>
        </w:tc>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81%</w:t>
            </w:r>
          </w:p>
        </w:tc>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94%</w:t>
            </w:r>
          </w:p>
        </w:tc>
      </w:tr>
      <w:tr>
        <w:tc>
          <w:tcPr>
            <w:tcW w:type="dxa" w:w="447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Between: moderation, small</w:t>
            </w:r>
          </w:p>
        </w:tc>
        <w:tc>
          <w:tcPr>
            <w:tcW w:type="dxa" w:w="133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0.40 SD</w:t>
            </w:r>
          </w:p>
        </w:tc>
        <w:tc>
          <w:tcPr>
            <w:tcW w:type="dxa" w:w="72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34%</w:t>
            </w:r>
          </w:p>
        </w:tc>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51%</w:t>
            </w:r>
          </w:p>
        </w:tc>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62%</w:t>
            </w:r>
          </w:p>
        </w:tc>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80%</w:t>
            </w:r>
          </w:p>
        </w:tc>
      </w:tr>
    </w:tbl>
    <w:p>
      <w:pPr>
        <w:spacing w:after="40" w:line="120"/>
      </w:pPr>
      <w:r>
        <w:rPr>
          <w:sz w:val="8"/>
          <w:szCs w:val="8"/>
        </w:rPr>
        <w:t xml:space="preserve"/>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binding constraint is the polarity-by-colour interaction, which is central to Objective 2 and to the contrast-mediation hypothesis. Achieving 80 per cent power for that interaction at d_z = 0.25 requires approximately 128 participants, and moderate between-participant moderation (0.50 SD) requires approximately 127. A sample of 130 therefore satisfies both at 80 per cent power, while giving better than 90 per cent power for the polarity main effect. Detecting small moderation effects of 0.40 SD would require approximately 200 participants; moderation of that magnitude is accordingly declared exploratory and hypothesis-generating, and will be reported with confidence intervals rather than as a confirmatory test.</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Although 130 is smaller than samples typical of between-participant survey research, the quantity governing precision here is the number of condition-runs, not the number of participants. Table 3.2 sets the proposed design against the published studies from which its measures are drawn.</w:t>
      </w:r>
    </w:p>
    <w:p>
      <w:pPr>
        <w:spacing w:after="0" w:line="360"/>
        <w:ind w:firstLine="360"/>
        <w:jc w:val="both"/>
      </w:pPr>
      <w:r>
        <w:rPr>
          <w:rFonts w:ascii="Times New Roman" w:cs="Times New Roman" w:eastAsia="Times New Roman" w:hAnsi="Times New Roman"/>
          <w:b/>
          <w:bCs/>
          <w:i w:val="false"/>
          <w:iCs w:val="false"/>
          <w:sz w:val="24"/>
          <w:szCs w:val="24"/>
        </w:rPr>
        <w:t xml:space="preserve">Table 3.2 — The proposed design set against the published studies from which its measures are drawn.</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2207"/>
        <w:gridCol w:w="650"/>
        <w:gridCol w:w="650"/>
        <w:gridCol w:w="1160"/>
        <w:gridCol w:w="918"/>
        <w:gridCol w:w="2045"/>
        <w:gridCol w:w="1441"/>
      </w:tblGrid>
      <w:tr>
        <w:trPr>
          <w:tblHeader/>
        </w:trPr>
        <w:tc>
          <w:tcPr>
            <w:tcW w:type="dxa" w:w="2207"/>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Study</w:t>
            </w:r>
          </w:p>
        </w:tc>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Year</w:t>
            </w:r>
          </w:p>
        </w:tc>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N</w:t>
            </w:r>
          </w:p>
        </w:tc>
        <w:tc>
          <w:tcPr>
            <w:tcW w:type="dxa" w:w="116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Conditions per participant</w:t>
            </w:r>
          </w:p>
        </w:tc>
        <w:tc>
          <w:tcPr>
            <w:tcW w:type="dxa" w:w="918"/>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Total condition-runs</w:t>
            </w:r>
          </w:p>
        </w:tc>
        <w:tc>
          <w:tcPr>
            <w:tcW w:type="dxa" w:w="2045"/>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Ocular measure</w:t>
            </w:r>
          </w:p>
        </w:tc>
        <w:tc>
          <w:tcPr>
            <w:tcW w:type="dxa" w:w="1441"/>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Display parameter manipulated</w:t>
            </w:r>
          </w:p>
        </w:tc>
      </w:tr>
      <w:tr>
        <w:tc>
          <w:tcPr>
            <w:tcW w:type="dxa" w:w="220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Hirota </w:t>
            </w:r>
            <w:r>
              <w:rPr>
                <w:rFonts w:ascii="Times New Roman" w:cs="Times New Roman" w:eastAsia="Times New Roman" w:hAnsi="Times New Roman"/>
                <w:b w:val="false"/>
                <w:bCs w:val="false"/>
                <w:i/>
                <w:iCs/>
                <w:sz w:val="15"/>
                <w:szCs w:val="15"/>
              </w:rPr>
              <w:t xml:space="preserve">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2013</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11</w:t>
            </w:r>
          </w:p>
        </w:tc>
        <w:tc>
          <w:tcPr>
            <w:tcW w:type="dxa" w:w="116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w:t>
            </w:r>
          </w:p>
        </w:tc>
        <w:tc>
          <w:tcPr>
            <w:tcW w:type="dxa" w:w="91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11</w:t>
            </w:r>
          </w:p>
        </w:tc>
        <w:tc>
          <w:tcPr>
            <w:tcW w:type="dxa" w:w="204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Blink composition, tear break-up</w:t>
            </w:r>
          </w:p>
        </w:tc>
        <w:tc>
          <w:tcPr>
            <w:tcW w:type="dxa" w:w="144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None</w:t>
            </w:r>
          </w:p>
        </w:tc>
      </w:tr>
      <w:tr>
        <w:tc>
          <w:tcPr>
            <w:tcW w:type="dxa" w:w="220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Jackson </w:t>
            </w:r>
            <w:r>
              <w:rPr>
                <w:rFonts w:ascii="Times New Roman" w:cs="Times New Roman" w:eastAsia="Times New Roman" w:hAnsi="Times New Roman"/>
                <w:b w:val="false"/>
                <w:bCs w:val="false"/>
                <w:i/>
                <w:iCs/>
                <w:sz w:val="15"/>
                <w:szCs w:val="15"/>
              </w:rPr>
              <w:t xml:space="preserve">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2016</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12</w:t>
            </w:r>
          </w:p>
        </w:tc>
        <w:tc>
          <w:tcPr>
            <w:tcW w:type="dxa" w:w="116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w:t>
            </w:r>
          </w:p>
        </w:tc>
        <w:tc>
          <w:tcPr>
            <w:tcW w:type="dxa" w:w="91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24</w:t>
            </w:r>
          </w:p>
        </w:tc>
        <w:tc>
          <w:tcPr>
            <w:tcW w:type="dxa" w:w="204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PERCLOS</w:t>
            </w:r>
          </w:p>
        </w:tc>
        <w:tc>
          <w:tcPr>
            <w:tcW w:type="dxa" w:w="144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None</w:t>
            </w:r>
          </w:p>
        </w:tc>
      </w:tr>
      <w:tr>
        <w:tc>
          <w:tcPr>
            <w:tcW w:type="dxa" w:w="220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Jiménez </w:t>
            </w:r>
            <w:r>
              <w:rPr>
                <w:rFonts w:ascii="Times New Roman" w:cs="Times New Roman" w:eastAsia="Times New Roman" w:hAnsi="Times New Roman"/>
                <w:b w:val="false"/>
                <w:bCs w:val="false"/>
                <w:i/>
                <w:iCs/>
                <w:sz w:val="15"/>
                <w:szCs w:val="15"/>
              </w:rPr>
              <w:t xml:space="preserve">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2020</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w:t>
            </w:r>
          </w:p>
        </w:tc>
        <w:tc>
          <w:tcPr>
            <w:tcW w:type="dxa" w:w="116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14</w:t>
            </w:r>
          </w:p>
        </w:tc>
        <w:tc>
          <w:tcPr>
            <w:tcW w:type="dxa" w:w="91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280</w:t>
            </w:r>
          </w:p>
        </w:tc>
        <w:tc>
          <w:tcPr>
            <w:tcW w:type="dxa" w:w="204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Accommodation, pupil</w:t>
            </w:r>
          </w:p>
        </w:tc>
        <w:tc>
          <w:tcPr>
            <w:tcW w:type="dxa" w:w="144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Text–background colour</w:t>
            </w:r>
          </w:p>
        </w:tc>
      </w:tr>
      <w:tr>
        <w:tc>
          <w:tcPr>
            <w:tcW w:type="dxa" w:w="220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Portello </w:t>
            </w:r>
            <w:r>
              <w:rPr>
                <w:rFonts w:ascii="Times New Roman" w:cs="Times New Roman" w:eastAsia="Times New Roman" w:hAnsi="Times New Roman"/>
                <w:b w:val="false"/>
                <w:bCs w:val="false"/>
                <w:i/>
                <w:iCs/>
                <w:sz w:val="15"/>
                <w:szCs w:val="15"/>
              </w:rPr>
              <w:t xml:space="preserve">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2013</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21</w:t>
            </w:r>
          </w:p>
        </w:tc>
        <w:tc>
          <w:tcPr>
            <w:tcW w:type="dxa" w:w="116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w:t>
            </w:r>
          </w:p>
        </w:tc>
        <w:tc>
          <w:tcPr>
            <w:tcW w:type="dxa" w:w="91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42</w:t>
            </w:r>
          </w:p>
        </w:tc>
        <w:tc>
          <w:tcPr>
            <w:tcW w:type="dxa" w:w="204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Blink rate, completeness</w:t>
            </w:r>
          </w:p>
        </w:tc>
        <w:tc>
          <w:tcPr>
            <w:tcW w:type="dxa" w:w="144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None</w:t>
            </w:r>
          </w:p>
        </w:tc>
      </w:tr>
      <w:tr>
        <w:tc>
          <w:tcPr>
            <w:tcW w:type="dxa" w:w="220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Cardona </w:t>
            </w:r>
            <w:r>
              <w:rPr>
                <w:rFonts w:ascii="Times New Roman" w:cs="Times New Roman" w:eastAsia="Times New Roman" w:hAnsi="Times New Roman"/>
                <w:b w:val="false"/>
                <w:bCs w:val="false"/>
                <w:i/>
                <w:iCs/>
                <w:sz w:val="15"/>
                <w:szCs w:val="15"/>
              </w:rPr>
              <w:t xml:space="preserve">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2011</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25</w:t>
            </w:r>
          </w:p>
        </w:tc>
        <w:tc>
          <w:tcPr>
            <w:tcW w:type="dxa" w:w="116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3</w:t>
            </w:r>
          </w:p>
        </w:tc>
        <w:tc>
          <w:tcPr>
            <w:tcW w:type="dxa" w:w="91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75</w:t>
            </w:r>
          </w:p>
        </w:tc>
        <w:tc>
          <w:tcPr>
            <w:tcW w:type="dxa" w:w="204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Blink rate, amplitude</w:t>
            </w:r>
          </w:p>
        </w:tc>
        <w:tc>
          <w:tcPr>
            <w:tcW w:type="dxa" w:w="144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Task dynamism</w:t>
            </w:r>
          </w:p>
        </w:tc>
      </w:tr>
      <w:tr>
        <w:tc>
          <w:tcPr>
            <w:tcW w:type="dxa" w:w="220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Contact Lens and Anterior Eye study (</w:t>
            </w:r>
            <w:r>
              <w:rPr>
                <w:rFonts w:ascii="Times New Roman" w:cs="Times New Roman" w:eastAsia="Times New Roman" w:hAnsi="Times New Roman"/>
                <w:b w:val="false"/>
                <w:bCs w:val="false"/>
                <w:i w:val="false"/>
                <w:iCs w:val="false"/>
                <w:sz w:val="15"/>
                <w:szCs w:val="15"/>
                <w:highlight w:val="yellow"/>
                <w:highlightCs w:val="yellow"/>
              </w:rPr>
              <w:t xml:space="preserve">[Authors]</w:t>
            </w:r>
            <w:r>
              <w:rPr>
                <w:rFonts w:ascii="Times New Roman" w:cs="Times New Roman" w:eastAsia="Times New Roman" w:hAnsi="Times New Roman"/>
                <w:b w:val="false"/>
                <w:bCs w:val="false"/>
                <w:i w:val="false"/>
                <w:iCs w:val="false"/>
                <w:sz w:val="15"/>
                <w:szCs w:val="15"/>
              </w:rPr>
              <w:t xml:space="preserve">, 2025)</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2025</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30</w:t>
            </w:r>
          </w:p>
        </w:tc>
        <w:tc>
          <w:tcPr>
            <w:tcW w:type="dxa" w:w="116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4</w:t>
            </w:r>
          </w:p>
        </w:tc>
        <w:tc>
          <w:tcPr>
            <w:tcW w:type="dxa" w:w="91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120</w:t>
            </w:r>
          </w:p>
        </w:tc>
        <w:tc>
          <w:tcPr>
            <w:tcW w:type="dxa" w:w="204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Blink patterns, tear film</w:t>
            </w:r>
          </w:p>
        </w:tc>
        <w:tc>
          <w:tcPr>
            <w:tcW w:type="dxa" w:w="144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Ambient light × screen brightness</w:t>
            </w:r>
          </w:p>
        </w:tc>
      </w:tr>
      <w:tr>
        <w:tc>
          <w:tcPr>
            <w:tcW w:type="dxa" w:w="220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Argilés </w:t>
            </w:r>
            <w:r>
              <w:rPr>
                <w:rFonts w:ascii="Times New Roman" w:cs="Times New Roman" w:eastAsia="Times New Roman" w:hAnsi="Times New Roman"/>
                <w:b w:val="false"/>
                <w:bCs w:val="false"/>
                <w:i/>
                <w:iCs/>
                <w:sz w:val="15"/>
                <w:szCs w:val="15"/>
              </w:rPr>
              <w:t xml:space="preserve">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2015</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50</w:t>
            </w:r>
          </w:p>
        </w:tc>
        <w:tc>
          <w:tcPr>
            <w:tcW w:type="dxa" w:w="116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6</w:t>
            </w:r>
          </w:p>
        </w:tc>
        <w:tc>
          <w:tcPr>
            <w:tcW w:type="dxa" w:w="91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300</w:t>
            </w:r>
          </w:p>
        </w:tc>
        <w:tc>
          <w:tcPr>
            <w:tcW w:type="dxa" w:w="204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Blink rate, completeness</w:t>
            </w:r>
          </w:p>
        </w:tc>
        <w:tc>
          <w:tcPr>
            <w:tcW w:type="dxa" w:w="144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Reading medium</w:t>
            </w:r>
          </w:p>
        </w:tc>
      </w:tr>
      <w:tr>
        <w:tc>
          <w:tcPr>
            <w:tcW w:type="dxa" w:w="2207"/>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Proposed study</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130</w:t>
            </w:r>
          </w:p>
        </w:tc>
        <w:tc>
          <w:tcPr>
            <w:tcW w:type="dxa" w:w="1160"/>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20</w:t>
            </w:r>
          </w:p>
        </w:tc>
        <w:tc>
          <w:tcPr>
            <w:tcW w:type="dxa" w:w="918"/>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2,600</w:t>
            </w:r>
          </w:p>
        </w:tc>
        <w:tc>
          <w:tcPr>
            <w:tcW w:type="dxa" w:w="2045"/>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Incomplete-blink ratio, blink rate, IBI, PERCLOS</w:t>
            </w:r>
          </w:p>
        </w:tc>
        <w:tc>
          <w:tcPr>
            <w:tcW w:type="dxa" w:w="1441"/>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Polarity × colour × illumination</w:t>
            </w:r>
          </w:p>
        </w:tc>
      </w:tr>
    </w:tbl>
    <w:p>
      <w:pPr>
        <w:spacing w:after="40" w:line="120"/>
      </w:pPr>
      <w:r>
        <w:rPr>
          <w:sz w:val="8"/>
          <w:szCs w:val="8"/>
        </w:rPr>
        <w:t xml:space="preserve"/>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No located study has combined a sample of this size with per-condition ocular measurement under a manipulated display parameter. The proposed design yields roughly nine times the condition-runs of the largest comparable study, and is the first in this group to manipulate polarity, text colour and ambient illumination together.</w:t>
      </w:r>
    </w:p>
    <w:p>
      <w:pPr>
        <w:spacing w:after="0" w:line="360"/>
        <w:ind w:firstLine="360"/>
        <w:jc w:val="both"/>
      </w:pPr>
      <w:r>
        <w:rPr>
          <w:rFonts w:ascii="Times New Roman" w:cs="Times New Roman" w:eastAsia="Times New Roman" w:hAnsi="Times New Roman"/>
          <w:b/>
          <w:bCs/>
          <w:i w:val="false"/>
          <w:iCs w:val="false"/>
          <w:sz w:val="24"/>
          <w:szCs w:val="24"/>
        </w:rPr>
        <w:t xml:space="preserve">Eligibility.</w:t>
      </w:r>
      <w:r>
        <w:rPr>
          <w:rFonts w:ascii="Times New Roman" w:cs="Times New Roman" w:eastAsia="Times New Roman" w:hAnsi="Times New Roman"/>
          <w:b w:val="false"/>
          <w:bCs w:val="false"/>
          <w:i w:val="false"/>
          <w:iCs w:val="false"/>
          <w:sz w:val="24"/>
          <w:szCs w:val="24"/>
        </w:rPr>
        <w:t xml:space="preserve"> Criteria are applied at screening and recorded for reporting.</w:t>
      </w:r>
    </w:p>
    <w:p>
      <w:pPr>
        <w:spacing w:after="0" w:line="360"/>
        <w:ind w:firstLine="360"/>
        <w:jc w:val="both"/>
      </w:pPr>
      <w:r>
        <w:rPr>
          <w:rFonts w:ascii="Times New Roman" w:cs="Times New Roman" w:eastAsia="Times New Roman" w:hAnsi="Times New Roman"/>
          <w:b/>
          <w:bCs/>
          <w:i w:val="false"/>
          <w:iCs w:val="false"/>
          <w:sz w:val="24"/>
          <w:szCs w:val="24"/>
        </w:rPr>
        <w:t xml:space="preserve">Table 3.3 — Eligibility criteria.</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4536"/>
        <w:gridCol w:w="4535"/>
      </w:tblGrid>
      <w:tr>
        <w:trPr>
          <w:tblHeader/>
        </w:trPr>
        <w:tc>
          <w:tcPr>
            <w:tcW w:type="dxa" w:w="4536"/>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Inclusion</w:t>
            </w:r>
          </w:p>
        </w:tc>
        <w:tc>
          <w:tcPr>
            <w:tcW w:type="dxa" w:w="4535"/>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Exclusion</w:t>
            </w:r>
          </w:p>
        </w:tc>
      </w:tr>
      <w:tr>
        <w:tc>
          <w:tcPr>
            <w:tcW w:type="dxa" w:w="453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Age 18 to 35 years</w:t>
            </w:r>
          </w:p>
        </w:tc>
        <w:tc>
          <w:tcPr>
            <w:tcW w:type="dxa" w:w="45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Refractive error beyond ±3.00 D</w:t>
            </w:r>
          </w:p>
        </w:tc>
      </w:tr>
      <w:tr>
        <w:tc>
          <w:tcPr>
            <w:tcW w:type="dxa" w:w="453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Distance visual acuity 6/6 or better, with or without correction</w:t>
            </w:r>
          </w:p>
        </w:tc>
        <w:tc>
          <w:tcPr>
            <w:tcW w:type="dxa" w:w="45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Manifest binocular vision disorder</w:t>
            </w:r>
          </w:p>
        </w:tc>
      </w:tr>
      <w:tr>
        <w:tc>
          <w:tcPr>
            <w:tcW w:type="dxa" w:w="453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Habitual screen use of at least four hours daily</w:t>
            </w:r>
          </w:p>
        </w:tc>
        <w:tc>
          <w:tcPr>
            <w:tcW w:type="dxa" w:w="45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Colour-vision deficiency on screening</w:t>
            </w:r>
          </w:p>
        </w:tc>
      </w:tr>
      <w:tr>
        <w:tc>
          <w:tcPr>
            <w:tcW w:type="dxa" w:w="453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No known ocular, systemic or neurological illness</w:t>
            </w:r>
          </w:p>
        </w:tc>
        <w:tc>
          <w:tcPr>
            <w:tcW w:type="dxa" w:w="45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History of photosensitivity or migraine</w:t>
            </w:r>
          </w:p>
        </w:tc>
      </w:tr>
      <w:tr>
        <w:tc>
          <w:tcPr>
            <w:tcW w:type="dxa" w:w="453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Able to give written informed consent</w:t>
            </w:r>
          </w:p>
        </w:tc>
        <w:tc>
          <w:tcPr>
            <w:tcW w:type="dxa" w:w="45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Medication affecting vision, accommodation or tear film</w:t>
            </w:r>
          </w:p>
        </w:tc>
      </w:tr>
      <w:tr>
        <w:tc>
          <w:tcPr>
            <w:tcW w:type="dxa" w:w="453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Available for two sessions 48 to 72 hours apart</w:t>
            </w:r>
          </w:p>
        </w:tc>
        <w:tc>
          <w:tcPr>
            <w:tcW w:type="dxa" w:w="45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Diagnosed learning or psychiatric disorder</w:t>
            </w:r>
          </w:p>
        </w:tc>
      </w:tr>
      <w:tr>
        <w:tc>
          <w:tcPr>
            <w:tcW w:type="dxa" w:w="453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w:t>
            </w:r>
          </w:p>
        </w:tc>
        <w:tc>
          <w:tcPr>
            <w:tcW w:type="dxa" w:w="45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Contact-lens wear on test days; ocular surgery within six months</w:t>
            </w:r>
          </w:p>
        </w:tc>
      </w:tr>
    </w:tbl>
    <w:p>
      <w:pPr>
        <w:spacing w:after="40" w:line="120"/>
      </w:pPr>
      <w:r>
        <w:rPr>
          <w:sz w:val="8"/>
          <w:szCs w:val="8"/>
        </w:rPr>
        <w:t xml:space="preserve"/>
      </w:r>
    </w:p>
    <w:p>
      <w:pPr>
        <w:spacing w:after="0" w:line="360"/>
        <w:ind w:firstLine="360"/>
        <w:jc w:val="both"/>
      </w:pPr>
      <w:r>
        <w:rPr>
          <w:rFonts w:ascii="Times New Roman" w:cs="Times New Roman" w:eastAsia="Times New Roman" w:hAnsi="Times New Roman"/>
          <w:b/>
          <w:bCs/>
          <w:i w:val="false"/>
          <w:iCs w:val="false"/>
          <w:sz w:val="24"/>
          <w:szCs w:val="24"/>
        </w:rPr>
        <w:t xml:space="preserve">Screening and profiling.</w:t>
      </w:r>
      <w:r>
        <w:rPr>
          <w:rFonts w:ascii="Times New Roman" w:cs="Times New Roman" w:eastAsia="Times New Roman" w:hAnsi="Times New Roman"/>
          <w:b w:val="false"/>
          <w:bCs w:val="false"/>
          <w:i w:val="false"/>
          <w:iCs w:val="false"/>
          <w:sz w:val="24"/>
          <w:szCs w:val="24"/>
        </w:rPr>
        <w:t xml:space="preserve"> Screening comprises visual acuity, non-cycloplegic refraction, cover test, near point of convergence, and Ishihara colour-vision screening on the study display, for which sensitivity was 94.4 per cent and specificity 82.4 per cent on a calibrated monitor and 96.0 and 94.7 per cent on a smartphone, with no significant difference between modes (Klinke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Screening is an aid rather than a diagnosis, and outcomes are recorded as covariates. Participants also complete a profiling questionnaire covering habitual display-mode preference, screen exposure, lighting environment, familiarity with coloured interfaces, digital literacy, hours since waking and recent caffeine intake, which supply the moderators for Objective 3 and the sleepiness covariates.</w:t>
      </w:r>
    </w:p>
    <w:p>
      <w:pPr>
        <w:spacing w:after="0" w:line="360"/>
        <w:ind w:firstLine="360"/>
        <w:jc w:val="both"/>
      </w:pPr>
      <w:r>
        <w:rPr>
          <w:rFonts w:ascii="Times New Roman" w:cs="Times New Roman" w:eastAsia="Times New Roman" w:hAnsi="Times New Roman"/>
          <w:b/>
          <w:bCs/>
          <w:i w:val="false"/>
          <w:iCs w:val="false"/>
          <w:sz w:val="24"/>
          <w:szCs w:val="24"/>
        </w:rPr>
        <w:t xml:space="preserve">Figure 3.2 — Participant flow.</w:t>
      </w:r>
    </w:p>
    <w:p>
      <w:pPr>
        <w:keepNext/>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Approached and assessed for eligibility (target ≈ 180)</w:t>
      </w:r>
    </w:p>
    <w:p>
      <w:pPr>
        <w:keepNext/>
        <w:spacing w:after="0" w:before="0" w:line="16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Screening: visual acuity, refraction, binocular status, colour vision</w:t>
      </w:r>
    </w:p>
    <w:p>
      <w:pPr>
        <w:keepNext/>
        <w:spacing w:after="0" w:before="0" w:line="16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Excluded: criteria not met, or declined to participate</w:t>
      </w:r>
    </w:p>
    <w:p>
      <w:pPr>
        <w:keepNext/>
        <w:spacing w:after="0" w:before="0" w:line="16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Enrolled and consented (n = 145), assigned a sequential enrolment number</w:t>
      </w:r>
    </w:p>
    <w:p>
      <w:pPr>
        <w:keepNext/>
        <w:spacing w:after="0" w:before="0" w:line="16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Allocated to a Williams row and to an illumination order (dim-first or moderate-first)</w:t>
      </w:r>
    </w:p>
    <w:p>
      <w:pPr>
        <w:keepNext/>
        <w:spacing w:after="0" w:before="0" w:line="16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Session 1: 10 display conditions under illumination level A</w:t>
      </w:r>
    </w:p>
    <w:p>
      <w:pPr>
        <w:keepNext/>
        <w:spacing w:after="0" w:before="0" w:line="16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Session 2 (48–72 h later): 10 display conditions under illumination level B</w:t>
      </w:r>
    </w:p>
    <w:p>
      <w:pPr>
        <w:keepNext/>
        <w:spacing w:after="0" w:before="0" w:line="16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Withdrawal, non-attendance or data-quality exclusion recorded and reported</w:t>
      </w:r>
    </w:p>
    <w:p>
      <w:pPr>
        <w:keepNext/>
        <w:spacing w:after="0" w:before="0" w:line="160"/>
        <w:jc w:val="center"/>
      </w:pPr>
      <w:r>
        <w:rPr>
          <w:rFonts w:ascii="Times New Roman" w:cs="Times New Roman" w:eastAsia="Times New Roman" w:hAnsi="Times New Roman"/>
          <w:sz w:val="18"/>
          <w:szCs w:val="18"/>
        </w:rPr>
        <w:t xml:space="preserve">▼</w:t>
      </w:r>
    </w:p>
    <w:p>
      <w:pPr>
        <w:keepNext w:val="false"/>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Analysed (target n = 130; 20 condition-runs each, 2,600 condition-runs in total)</w:t>
      </w:r>
    </w:p>
    <w:p>
      <w:pPr>
        <w:spacing w:after="40" w:line="120"/>
      </w:pPr>
      <w:r>
        <w:rPr>
          <w:sz w:val="8"/>
          <w:szCs w:val="8"/>
        </w:rPr>
        <w:t xml:space="preserve"/>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3.3 Display conditions and photometric characterisation</w:t>
      </w:r>
    </w:p>
    <w:p>
      <w:pPr>
        <w:spacing w:after="0" w:line="360"/>
        <w:jc w:val="both"/>
      </w:pPr>
      <w:r>
        <w:rPr>
          <w:rFonts w:ascii="Times New Roman" w:cs="Times New Roman" w:eastAsia="Times New Roman" w:hAnsi="Times New Roman"/>
          <w:b w:val="false"/>
          <w:bCs w:val="false"/>
          <w:i w:val="false"/>
          <w:iCs w:val="false"/>
          <w:sz w:val="24"/>
          <w:szCs w:val="24"/>
        </w:rPr>
        <w:t xml:space="preserve">All conditions are presented on a single fixed tablet at a viewing distance of 50 to 60 cm, with brightness fixed, automatic brightness and any blue-light filter disabled, and the screen cleaned before each session. Display white-point luminance is measured photometrically and recorded per session, with a working target of 120 to 150 cd/m², informed by the optimum of 153 cd/m² determined under 300 lux (Lin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and scaled for the lower domestic illuminance used here. Typography, line height and margins are fixed across conditions, so that polarity and colour are the only stimulus properties that vary. Contrast is computed from linearised sRGB relative luminance following the accessibility standard (World Wide Web Consortium, 2023). The five text colours were retained from the locked condition set used earlier in this programme, with green added so that the number of sub-AA conditions is balanced at two per polarity.</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set was compared against three alternatives before being fixed — the original three chromatic colours without green, a luminance-matched set in which all four hues carry equal relative luminance, and the web-default hues — on the balance of sub-AA conditions across polarity, the correlation between polarity and log contrast (a confounding index, zero being ideal), and the contrast of the weakest condition. The retained set balances sub-AA conditions two per polarity, correlates polarity with contrast at +0.11 and has a weakest condition of 2.39:1. Luminance matching, the intuitively rigorous option, performs worst: equalising luminance across hues necessarily makes every chromatic colour low-contrast on white and high-contrast on black, placing all four sub-AA conditions in one polarity and raising the confounding correlation to +0.43. The web-default hues yield an unusable condition at 1.07:1. No change is therefore proposed.</w:t>
      </w:r>
    </w:p>
    <w:p>
      <w:pPr>
        <w:spacing w:after="0" w:line="360"/>
        <w:ind w:firstLine="360"/>
        <w:jc w:val="both"/>
      </w:pPr>
      <w:r>
        <w:rPr>
          <w:rFonts w:ascii="Times New Roman" w:cs="Times New Roman" w:eastAsia="Times New Roman" w:hAnsi="Times New Roman"/>
          <w:b/>
          <w:bCs/>
          <w:i w:val="false"/>
          <w:iCs w:val="false"/>
          <w:sz w:val="24"/>
          <w:szCs w:val="24"/>
        </w:rPr>
        <w:t xml:space="preserve">Table 3.4 — The ten display conditions with computed contrast.</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837"/>
        <w:gridCol w:w="650"/>
        <w:gridCol w:w="1299"/>
        <w:gridCol w:w="952"/>
        <w:gridCol w:w="1181"/>
        <w:gridCol w:w="1181"/>
        <w:gridCol w:w="952"/>
        <w:gridCol w:w="1067"/>
        <w:gridCol w:w="952"/>
      </w:tblGrid>
      <w:tr>
        <w:trPr>
          <w:tblHeader/>
        </w:trPr>
        <w:tc>
          <w:tcPr>
            <w:tcW w:type="dxa" w:w="837"/>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Sl. No.</w:t>
            </w:r>
          </w:p>
        </w:tc>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Code</w:t>
            </w:r>
          </w:p>
        </w:tc>
        <w:tc>
          <w:tcPr>
            <w:tcW w:type="dxa" w:w="1299"/>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Text colour</w:t>
            </w:r>
          </w:p>
        </w:tc>
        <w:tc>
          <w:tcPr>
            <w:tcW w:type="dxa" w:w="952"/>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Text hex</w:t>
            </w:r>
          </w:p>
        </w:tc>
        <w:tc>
          <w:tcPr>
            <w:tcW w:type="dxa" w:w="1181"/>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Background</w:t>
            </w:r>
          </w:p>
        </w:tc>
        <w:tc>
          <w:tcPr>
            <w:tcW w:type="dxa" w:w="1181"/>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WCAG ratio</w:t>
            </w:r>
          </w:p>
        </w:tc>
        <w:tc>
          <w:tcPr>
            <w:tcW w:type="dxa" w:w="952"/>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Level</w:t>
            </w:r>
          </w:p>
        </w:tc>
        <w:tc>
          <w:tcPr>
            <w:tcW w:type="dxa" w:w="1067"/>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Michelson</w:t>
            </w:r>
          </w:p>
        </w:tc>
        <w:tc>
          <w:tcPr>
            <w:tcW w:type="dxa" w:w="952"/>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Below AA</w:t>
            </w:r>
          </w:p>
        </w:tc>
      </w:tr>
      <w:tr>
        <w:tc>
          <w:tcPr>
            <w:tcW w:type="dxa" w:w="83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P1</w:t>
            </w:r>
          </w:p>
        </w:tc>
        <w:tc>
          <w:tcPr>
            <w:tcW w:type="dxa" w:w="129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Achromatic</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#000000</w:t>
            </w:r>
          </w:p>
        </w:tc>
        <w:tc>
          <w:tcPr>
            <w:tcW w:type="dxa" w:w="118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#FFFFFF</w:t>
            </w:r>
          </w:p>
        </w:tc>
        <w:tc>
          <w:tcPr>
            <w:tcW w:type="dxa" w:w="118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21.00 : 1</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AAA</w:t>
            </w:r>
          </w:p>
        </w:tc>
        <w:tc>
          <w:tcPr>
            <w:tcW w:type="dxa" w:w="106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1.000</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No</w:t>
            </w:r>
          </w:p>
        </w:tc>
      </w:tr>
      <w:tr>
        <w:tc>
          <w:tcPr>
            <w:tcW w:type="dxa" w:w="83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P2</w:t>
            </w:r>
          </w:p>
        </w:tc>
        <w:tc>
          <w:tcPr>
            <w:tcW w:type="dxa" w:w="129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Blue</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#1E4ED8</w:t>
            </w:r>
          </w:p>
        </w:tc>
        <w:tc>
          <w:tcPr>
            <w:tcW w:type="dxa" w:w="118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#FFFFFF</w:t>
            </w:r>
          </w:p>
        </w:tc>
        <w:tc>
          <w:tcPr>
            <w:tcW w:type="dxa" w:w="118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6.70 : 1</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AA</w:t>
            </w:r>
          </w:p>
        </w:tc>
        <w:tc>
          <w:tcPr>
            <w:tcW w:type="dxa" w:w="106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0.807</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No</w:t>
            </w:r>
          </w:p>
        </w:tc>
      </w:tr>
      <w:tr>
        <w:tc>
          <w:tcPr>
            <w:tcW w:type="dxa" w:w="83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3</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P3</w:t>
            </w:r>
          </w:p>
        </w:tc>
        <w:tc>
          <w:tcPr>
            <w:tcW w:type="dxa" w:w="129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Red</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#C81E1E</w:t>
            </w:r>
          </w:p>
        </w:tc>
        <w:tc>
          <w:tcPr>
            <w:tcW w:type="dxa" w:w="118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#FFFFFF</w:t>
            </w:r>
          </w:p>
        </w:tc>
        <w:tc>
          <w:tcPr>
            <w:tcW w:type="dxa" w:w="118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5.74 : 1</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AA</w:t>
            </w:r>
          </w:p>
        </w:tc>
        <w:tc>
          <w:tcPr>
            <w:tcW w:type="dxa" w:w="106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0.765</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No</w:t>
            </w:r>
          </w:p>
        </w:tc>
      </w:tr>
      <w:tr>
        <w:tc>
          <w:tcPr>
            <w:tcW w:type="dxa" w:w="83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4</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P4</w:t>
            </w:r>
          </w:p>
        </w:tc>
        <w:tc>
          <w:tcPr>
            <w:tcW w:type="dxa" w:w="129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Yellow</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#C9A400</w:t>
            </w:r>
          </w:p>
        </w:tc>
        <w:tc>
          <w:tcPr>
            <w:tcW w:type="dxa" w:w="118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#FFFFFF</w:t>
            </w:r>
          </w:p>
        </w:tc>
        <w:tc>
          <w:tcPr>
            <w:tcW w:type="dxa" w:w="118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2.39 : 1</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Fail</w:t>
            </w:r>
          </w:p>
        </w:tc>
        <w:tc>
          <w:tcPr>
            <w:tcW w:type="dxa" w:w="106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0.439</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Yes</w:t>
            </w:r>
          </w:p>
        </w:tc>
      </w:tr>
      <w:tr>
        <w:tc>
          <w:tcPr>
            <w:tcW w:type="dxa" w:w="83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5</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P5</w:t>
            </w:r>
          </w:p>
        </w:tc>
        <w:tc>
          <w:tcPr>
            <w:tcW w:type="dxa" w:w="129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Green</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#00A651</w:t>
            </w:r>
          </w:p>
        </w:tc>
        <w:tc>
          <w:tcPr>
            <w:tcW w:type="dxa" w:w="118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#FFFFFF</w:t>
            </w:r>
          </w:p>
        </w:tc>
        <w:tc>
          <w:tcPr>
            <w:tcW w:type="dxa" w:w="118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3.19 : 1</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AA Large</w:t>
            </w:r>
          </w:p>
        </w:tc>
        <w:tc>
          <w:tcPr>
            <w:tcW w:type="dxa" w:w="106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0.564</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Yes</w:t>
            </w:r>
          </w:p>
        </w:tc>
      </w:tr>
      <w:tr>
        <w:tc>
          <w:tcPr>
            <w:tcW w:type="dxa" w:w="83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6</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N1</w:t>
            </w:r>
          </w:p>
        </w:tc>
        <w:tc>
          <w:tcPr>
            <w:tcW w:type="dxa" w:w="129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Achromatic</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#FFFFFF</w:t>
            </w:r>
          </w:p>
        </w:tc>
        <w:tc>
          <w:tcPr>
            <w:tcW w:type="dxa" w:w="118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#000000</w:t>
            </w:r>
          </w:p>
        </w:tc>
        <w:tc>
          <w:tcPr>
            <w:tcW w:type="dxa" w:w="118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21.00 : 1</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AAA</w:t>
            </w:r>
          </w:p>
        </w:tc>
        <w:tc>
          <w:tcPr>
            <w:tcW w:type="dxa" w:w="106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1.000</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No</w:t>
            </w:r>
          </w:p>
        </w:tc>
      </w:tr>
      <w:tr>
        <w:tc>
          <w:tcPr>
            <w:tcW w:type="dxa" w:w="83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7</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N2</w:t>
            </w:r>
          </w:p>
        </w:tc>
        <w:tc>
          <w:tcPr>
            <w:tcW w:type="dxa" w:w="129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Blue</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#1E4ED8</w:t>
            </w:r>
          </w:p>
        </w:tc>
        <w:tc>
          <w:tcPr>
            <w:tcW w:type="dxa" w:w="118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#000000</w:t>
            </w:r>
          </w:p>
        </w:tc>
        <w:tc>
          <w:tcPr>
            <w:tcW w:type="dxa" w:w="118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3.14 : 1</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AA Large</w:t>
            </w:r>
          </w:p>
        </w:tc>
        <w:tc>
          <w:tcPr>
            <w:tcW w:type="dxa" w:w="106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1.000</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Yes</w:t>
            </w:r>
          </w:p>
        </w:tc>
      </w:tr>
      <w:tr>
        <w:tc>
          <w:tcPr>
            <w:tcW w:type="dxa" w:w="83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8</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N3</w:t>
            </w:r>
          </w:p>
        </w:tc>
        <w:tc>
          <w:tcPr>
            <w:tcW w:type="dxa" w:w="129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Red</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#C81E1E</w:t>
            </w:r>
          </w:p>
        </w:tc>
        <w:tc>
          <w:tcPr>
            <w:tcW w:type="dxa" w:w="118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#000000</w:t>
            </w:r>
          </w:p>
        </w:tc>
        <w:tc>
          <w:tcPr>
            <w:tcW w:type="dxa" w:w="118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3.66 : 1</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AA Large</w:t>
            </w:r>
          </w:p>
        </w:tc>
        <w:tc>
          <w:tcPr>
            <w:tcW w:type="dxa" w:w="106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1.000</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Yes</w:t>
            </w:r>
          </w:p>
        </w:tc>
      </w:tr>
      <w:tr>
        <w:tc>
          <w:tcPr>
            <w:tcW w:type="dxa" w:w="83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9</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N4</w:t>
            </w:r>
          </w:p>
        </w:tc>
        <w:tc>
          <w:tcPr>
            <w:tcW w:type="dxa" w:w="129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Yellow</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#C9A400</w:t>
            </w:r>
          </w:p>
        </w:tc>
        <w:tc>
          <w:tcPr>
            <w:tcW w:type="dxa" w:w="118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#000000</w:t>
            </w:r>
          </w:p>
        </w:tc>
        <w:tc>
          <w:tcPr>
            <w:tcW w:type="dxa" w:w="118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8.79 : 1</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AAA</w:t>
            </w:r>
          </w:p>
        </w:tc>
        <w:tc>
          <w:tcPr>
            <w:tcW w:type="dxa" w:w="106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1.000</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No</w:t>
            </w:r>
          </w:p>
        </w:tc>
      </w:tr>
      <w:tr>
        <w:tc>
          <w:tcPr>
            <w:tcW w:type="dxa" w:w="83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10</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N5</w:t>
            </w:r>
          </w:p>
        </w:tc>
        <w:tc>
          <w:tcPr>
            <w:tcW w:type="dxa" w:w="129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Green</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#00A651</w:t>
            </w:r>
          </w:p>
        </w:tc>
        <w:tc>
          <w:tcPr>
            <w:tcW w:type="dxa" w:w="118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#000000</w:t>
            </w:r>
          </w:p>
        </w:tc>
        <w:tc>
          <w:tcPr>
            <w:tcW w:type="dxa" w:w="118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6.57 : 1</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AA</w:t>
            </w:r>
          </w:p>
        </w:tc>
        <w:tc>
          <w:tcPr>
            <w:tcW w:type="dxa" w:w="106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1.000</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No</w:t>
            </w:r>
          </w:p>
        </w:tc>
      </w:tr>
    </w:tbl>
    <w:p>
      <w:pPr>
        <w:spacing w:after="40" w:line="120"/>
      </w:pPr>
      <w:r>
        <w:rPr>
          <w:sz w:val="8"/>
          <w:szCs w:val="8"/>
        </w:rPr>
        <w:t xml:space="preserve"/>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Four properties of this matrix matter for the analysis. First, </w:t>
      </w:r>
      <w:r>
        <w:rPr>
          <w:rFonts w:ascii="Times New Roman" w:cs="Times New Roman" w:eastAsia="Times New Roman" w:hAnsi="Times New Roman"/>
          <w:b w:val="false"/>
          <w:bCs w:val="false"/>
          <w:i/>
          <w:iCs/>
          <w:sz w:val="24"/>
          <w:szCs w:val="24"/>
        </w:rPr>
        <w:t xml:space="preserve">the contrast ordering is inverted between the polarities, and this is arithmetic rather than design</w:t>
      </w:r>
      <w:r>
        <w:rPr>
          <w:rFonts w:ascii="Times New Roman" w:cs="Times New Roman" w:eastAsia="Times New Roman" w:hAnsi="Times New Roman"/>
          <w:b w:val="false"/>
          <w:bCs w:val="false"/>
          <w:i w:val="false"/>
          <w:iCs w:val="false"/>
          <w:sz w:val="24"/>
          <w:szCs w:val="24"/>
        </w:rPr>
        <w:t xml:space="preserve">: contrast on a white field falls as the text lightens while contrast on a black field rises, and both depend on the same quantity, so for any colour set the ranking on white is the exact reverse of the ranking on black. Blue and red are accordingly the higher-contrast colours on white and the lower-contrast ones on black, with yellow and green the reverse. The design does not claim credit for a reversal it did not create; what the colour choice determines is how balanced the polarities are and whether any condition is too faint to read.</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Second, </w:t>
      </w:r>
      <w:r>
        <w:rPr>
          <w:rFonts w:ascii="Times New Roman" w:cs="Times New Roman" w:eastAsia="Times New Roman" w:hAnsi="Times New Roman"/>
          <w:b w:val="false"/>
          <w:bCs w:val="false"/>
          <w:i/>
          <w:iCs/>
          <w:sz w:val="24"/>
          <w:szCs w:val="24"/>
        </w:rPr>
        <w:t xml:space="preserve">the achromatic pair is contrast-matched and gives the cleanest test of polarity</w:t>
      </w:r>
      <w:r>
        <w:rPr>
          <w:rFonts w:ascii="Times New Roman" w:cs="Times New Roman" w:eastAsia="Times New Roman" w:hAnsi="Times New Roman"/>
          <w:b w:val="false"/>
          <w:bCs w:val="false"/>
          <w:i w:val="false"/>
          <w:iCs w:val="false"/>
          <w:sz w:val="24"/>
          <w:szCs w:val="24"/>
        </w:rPr>
        <w:t xml:space="preserve">: black-on-white and white-on-black both yield 21.00:1, so that pair changes polarity while holding luminance contrast constant — an experimental rather than statistical control, and the one comparison in which a polarity effect cannot be attributed to contrast.</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Third, </w:t>
      </w:r>
      <w:r>
        <w:rPr>
          <w:rFonts w:ascii="Times New Roman" w:cs="Times New Roman" w:eastAsia="Times New Roman" w:hAnsi="Times New Roman"/>
          <w:b w:val="false"/>
          <w:bCs w:val="false"/>
          <w:i/>
          <w:iCs/>
          <w:sz w:val="24"/>
          <w:szCs w:val="24"/>
        </w:rPr>
        <w:t xml:space="preserve">conditions below the accessibility minimum are balanced two per polarity</w:t>
      </w:r>
      <w:r>
        <w:rPr>
          <w:rFonts w:ascii="Times New Roman" w:cs="Times New Roman" w:eastAsia="Times New Roman" w:hAnsi="Times New Roman"/>
          <w:b w:val="false"/>
          <w:bCs w:val="false"/>
          <w:i w:val="false"/>
          <w:iCs w:val="false"/>
          <w:sz w:val="24"/>
          <w:szCs w:val="24"/>
        </w:rPr>
        <w:t xml:space="preserve">, so polarity is not systematically confounded with accessibility compliance; across the set the correlation between polarity and log contrast is +0.11, close enough to orthogonal for both to enter one model without collinearity.</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Fourth, </w:t>
      </w:r>
      <w:r>
        <w:rPr>
          <w:rFonts w:ascii="Times New Roman" w:cs="Times New Roman" w:eastAsia="Times New Roman" w:hAnsi="Times New Roman"/>
          <w:b w:val="false"/>
          <w:bCs w:val="false"/>
          <w:i/>
          <w:iCs/>
          <w:sz w:val="24"/>
          <w:szCs w:val="24"/>
        </w:rPr>
        <w:t xml:space="preserve">Michelson contrast is uninformative under negative polarity</w:t>
      </w:r>
      <w:r>
        <w:rPr>
          <w:rFonts w:ascii="Times New Roman" w:cs="Times New Roman" w:eastAsia="Times New Roman" w:hAnsi="Times New Roman"/>
          <w:b w:val="false"/>
          <w:bCs w:val="false"/>
          <w:i w:val="false"/>
          <w:iCs w:val="false"/>
          <w:sz w:val="24"/>
          <w:szCs w:val="24"/>
        </w:rPr>
        <w:t xml:space="preserve">: with a pure black background the minimum luminance is zero, so the metric saturates at 1.000 for every colour. The accessibility contrast ratio, supported by measured photometry, therefore serves as the analytic contrast variable — itself a small finding, reinforcing the argument that a luminance-insensitive metric is inadequate for dark-mode interfaces (Advanced Perceptual Contrast Algorithm, n.d.; World Wide Web Consortium, 2023).</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3.4 Ambient illumination</w:t>
      </w:r>
    </w:p>
    <w:p>
      <w:pPr>
        <w:spacing w:after="0" w:line="360"/>
        <w:jc w:val="both"/>
      </w:pPr>
      <w:r>
        <w:rPr>
          <w:rFonts w:ascii="Times New Roman" w:cs="Times New Roman" w:eastAsia="Times New Roman" w:hAnsi="Times New Roman"/>
          <w:b w:val="false"/>
          <w:bCs w:val="false"/>
          <w:i w:val="false"/>
          <w:iCs w:val="false"/>
          <w:sz w:val="24"/>
          <w:szCs w:val="24"/>
        </w:rPr>
        <w:t xml:space="preserve">Illuminance is set and verified at the participant's eye position and at the display plane with a calibrated lux meter, and logged at the start, middle and end of each session. The dim level targets approximately 10 lux (acceptable range 5–15), representing night-time and low-light domestic use and comparable to the low-illumination conditions of prior polarity work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The moderate level targets approximately 150 lux (range 130–170), representing general indoor domestic lighting and set deliberately below the 300–500 lux specified for offices and classrooms in the Indian interior-illumination code (Bureau of Indian Standards, 2009) and below the 300 lux reference used in recent display optimisation (Lin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Two levels rather than a graded series were chosen so that illumination could be crossed with all ten display conditions within a feasible protocol. The values were selected to fall either side of the range at which negative-polarity penalties have been reported to emerge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and to differ by approximately one log unit, so that a pupillary difference is physiologically plausible. Because display white luminance is held constant, the display-to-ambient luminance ratio, which is the quantity the polarity account implicates, differs by design between sessions. Correlated colour temperature and light-source type are held constant across both levels, so illuminance is the only photometric property of the room that varies.</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3.5 Instrumentation</w:t>
      </w:r>
    </w:p>
    <w:p>
      <w:pPr>
        <w:spacing w:after="0" w:line="360"/>
        <w:jc w:val="both"/>
      </w:pPr>
      <w:r>
        <w:rPr>
          <w:rFonts w:ascii="Times New Roman" w:cs="Times New Roman" w:eastAsia="Times New Roman" w:hAnsi="Times New Roman"/>
          <w:b w:val="false"/>
          <w:bCs w:val="false"/>
          <w:i w:val="false"/>
          <w:iCs w:val="false"/>
          <w:sz w:val="24"/>
          <w:szCs w:val="24"/>
        </w:rPr>
        <w:t xml:space="preserve">A purpose-built, offline-capable tablet application administers the protocol, standardising stimulus presentation, timing and data capture. It presents the ten conditions with locked colour values and a neutral grey adaptation field between them, and runs the four tasks with frame-accurate onset timestamping and hardware-timestamped responses.</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Ocular measurement uses camera-based facial-landmark tracking, computing the eye aspect ratio for each processed frame. Blink events are classified by depth of closure into complete and incomplete, yielding blink rate, incomplete-blink ratio, inter-blink interval and variability, PERCLOS and long-closure events, alongside head-pose and gaze-zone estimates. Per-participant calibration establishes an open-eye baseline, a nine-point gaze mapping and a frontal head-pose reference, so metrics are referenced to the individual rather than population defaults.</w:t>
      </w:r>
    </w:p>
    <w:p>
      <w:pPr>
        <w:spacing w:after="0" w:line="360"/>
        <w:ind w:firstLine="360"/>
        <w:jc w:val="both"/>
      </w:pPr>
      <w:r>
        <w:rPr>
          <w:rFonts w:ascii="Times New Roman" w:cs="Times New Roman" w:eastAsia="Times New Roman" w:hAnsi="Times New Roman"/>
          <w:b/>
          <w:bCs/>
          <w:i w:val="false"/>
          <w:iCs w:val="false"/>
          <w:sz w:val="24"/>
          <w:szCs w:val="24"/>
        </w:rPr>
        <w:t xml:space="preserve">Operational definition of an incomplete blink.</w:t>
      </w:r>
      <w:r>
        <w:rPr>
          <w:rFonts w:ascii="Times New Roman" w:cs="Times New Roman" w:eastAsia="Times New Roman" w:hAnsi="Times New Roman"/>
          <w:b w:val="false"/>
          <w:bCs w:val="false"/>
          <w:i w:val="false"/>
          <w:iCs w:val="false"/>
          <w:sz w:val="24"/>
          <w:szCs w:val="24"/>
        </w:rPr>
        <w:t xml:space="preserve"> An open-eye baseline eye-aspect-ratio (EAR) is established for each participant during calibration. A blink is registered when EAR falls below 0.75 of that baseline. A blink is classified as complete when minimum EAR reaches or falls below 0.60 of baseline, and as incomplete when minimum EAR remains between 0.60 and 0.75 of baseline, that is, the lid descends but does not achieve full apposition. The incomplete-blink ratio is the number of incomplete blinks divided by all detected blinks within the condition. These thresholds are provisional and will be finalised against manually annotated video in the validation subsample before the main analysis is run.</w:t>
      </w:r>
    </w:p>
    <w:p>
      <w:pPr>
        <w:spacing w:after="0" w:line="360"/>
        <w:ind w:firstLine="360"/>
        <w:jc w:val="both"/>
      </w:pPr>
      <w:r>
        <w:rPr>
          <w:rFonts w:ascii="Times New Roman" w:cs="Times New Roman" w:eastAsia="Times New Roman" w:hAnsi="Times New Roman"/>
          <w:b/>
          <w:bCs/>
          <w:i w:val="false"/>
          <w:iCs w:val="false"/>
          <w:sz w:val="24"/>
          <w:szCs w:val="24"/>
        </w:rPr>
        <w:t xml:space="preserve">Validation of automated blink classification.</w:t>
      </w:r>
      <w:r>
        <w:rPr>
          <w:rFonts w:ascii="Times New Roman" w:cs="Times New Roman" w:eastAsia="Times New Roman" w:hAnsi="Times New Roman"/>
          <w:b w:val="false"/>
          <w:bCs w:val="false"/>
          <w:i w:val="false"/>
          <w:iCs w:val="false"/>
          <w:sz w:val="24"/>
          <w:szCs w:val="24"/>
        </w:rPr>
        <w:t xml:space="preserve"> A pre-specified validation subsample of 20 participants will contribute synchronised video for manual annotation: two 3-minute reading segments each, one per illumination level, giving approximately 120 minutes of video and, at typical reading blink rates, of the order of 1,200 to 1,500 blink events. Two annotators, trained on a separate pilot set and masked both to condition and to algorithm output, will independently code every blink frame by frame as complete or incomplete, with disagreements adjudicated by a third assessor. Inter-rater reliability will be reported as Cohen's kappa for the complete/incomplete classification and as an intraclass correlation for event counts. Agreement between the automated classifier and the adjudicated manual standard will be reported as sensitivity and specificity for event detection and as Bland–Altman bias with 95 per cent limits of agreement for the incomplete-blink ratio. Pre-specified acceptability criteria are kappa of at least 0.60 for inter-rater agreement and an algorithm-to-manual bias within ±5 percentage points; if these are not met, the primary ocular outcome will be reported from the manually adjudicated subsample and the automated measure treated as exploratory.</w:t>
      </w:r>
    </w:p>
    <w:p>
      <w:pPr>
        <w:spacing w:after="0" w:line="360"/>
        <w:ind w:firstLine="360"/>
        <w:jc w:val="both"/>
      </w:pPr>
      <w:r>
        <w:rPr>
          <w:rFonts w:ascii="Times New Roman" w:cs="Times New Roman" w:eastAsia="Times New Roman" w:hAnsi="Times New Roman"/>
          <w:b/>
          <w:bCs/>
          <w:i w:val="false"/>
          <w:iCs w:val="false"/>
          <w:sz w:val="24"/>
          <w:szCs w:val="24"/>
        </w:rPr>
        <w:t xml:space="preserve">Precision of the primary outcome.</w:t>
      </w:r>
      <w:r>
        <w:rPr>
          <w:rFonts w:ascii="Times New Roman" w:cs="Times New Roman" w:eastAsia="Times New Roman" w:hAnsi="Times New Roman"/>
          <w:b w:val="false"/>
          <w:bCs w:val="false"/>
          <w:i w:val="false"/>
          <w:iCs w:val="false"/>
          <w:sz w:val="24"/>
          <w:szCs w:val="24"/>
        </w:rPr>
        <w:t xml:space="preserve"> The incomplete-blink ratio is a binomial proportion, so its precision within a condition depends entirely on how many blinks that condition captures. At a reading blink rate of about 13 per minute a 70-second exposure yields some 16 blinks, giving a standard error near 0.09 for a ratio around 0.16. A three-minute exposure — the segment length the annotation sub-study already assumes — yields about 39 blinks and roughly halves that error, at a cost of some 20 minutes per sitting that the budget in §3.6 accommodates. The passages have accordingly been set at four pages and approximately 600 words, which delivers a measured exposure of 178 seconds per condition. The blinks contributing to each condition are recorded alongside the ratio, and any run yielding fewer than 20 is flagged for down-weighting or exclusion in a sensitivity analysis rather than treated as a precise estimate.</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Quality-control indices are recorded as data rather than discarded: achieved sampling rate, face-presence ratio, frame luminance, head stability, blinks captured per condition and flags for disengagement. Duration-dependent blink metrics are gated automatically on the achieved sampling rate, and every measure is written to storage immediately, so an interruption loses at most the condition in progress. All camera processing occurs on the device, and no imagery is retained except where separately consented (§3.10). Exported data carry a per-file checksum manifest and an automated referential-integrity report, which verifies that each condition's measurements belong to that condition and that no record is orphaned or duplicated before analysis begins; quantities that were not measured are recorded as missing rather than as zero, so an absent reading cannot be mistaken for an observed one.</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3.6 Procedure</w:t>
      </w:r>
    </w:p>
    <w:p>
      <w:pPr>
        <w:spacing w:after="0" w:line="360"/>
        <w:jc w:val="both"/>
      </w:pPr>
      <w:r>
        <w:rPr>
          <w:rFonts w:ascii="Times New Roman" w:cs="Times New Roman" w:eastAsia="Times New Roman" w:hAnsi="Times New Roman"/>
          <w:b w:val="false"/>
          <w:bCs w:val="false"/>
          <w:i w:val="false"/>
          <w:iCs w:val="false"/>
          <w:sz w:val="24"/>
          <w:szCs w:val="24"/>
        </w:rPr>
        <w:t xml:space="preserve">Each of the ten conditions within a session follows the same sequence.</w:t>
      </w:r>
    </w:p>
    <w:p>
      <w:pPr>
        <w:spacing w:after="0" w:line="360"/>
        <w:ind w:firstLine="360"/>
        <w:jc w:val="both"/>
      </w:pPr>
      <w:r>
        <w:rPr>
          <w:rFonts w:ascii="Times New Roman" w:cs="Times New Roman" w:eastAsia="Times New Roman" w:hAnsi="Times New Roman"/>
          <w:b/>
          <w:bCs/>
          <w:i w:val="false"/>
          <w:iCs w:val="false"/>
          <w:sz w:val="24"/>
          <w:szCs w:val="24"/>
        </w:rPr>
        <w:t xml:space="preserve">Figure 3.3 — Per-condition task sequence.</w:t>
      </w:r>
    </w:p>
    <w:p>
      <w:pPr>
        <w:keepNext/>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Adaptation on a neutral grey field, 60 s, extended to 120 s when polarity switches</w:t>
      </w:r>
    </w:p>
    <w:p>
      <w:pPr>
        <w:keepNext/>
        <w:spacing w:after="0" w:before="0" w:line="16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Reading task: standardised passage in the active condition, self-paced beyond a per-page minimum; exposure window for ocular metrics</w:t>
      </w:r>
    </w:p>
    <w:p>
      <w:pPr>
        <w:keepNext/>
        <w:spacing w:after="0" w:before="0" w:line="16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Comprehension: multiple-choice items assessing gist, inference and detail</w:t>
      </w:r>
    </w:p>
    <w:p>
      <w:pPr>
        <w:keepNext/>
        <w:spacing w:after="0" w:before="0" w:line="16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Display perception: comfort and clarity ratings, captured immediately after reading</w:t>
      </w:r>
    </w:p>
    <w:p>
      <w:pPr>
        <w:keepNext/>
        <w:spacing w:after="0" w:before="0" w:line="16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Visual-fatigue VAS: five items, 0–10</w:t>
      </w:r>
    </w:p>
    <w:p>
      <w:pPr>
        <w:keepNext/>
        <w:spacing w:after="0" w:before="0" w:line="16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Visual search: tap every occurrence of a target word, fixed time limit</w:t>
      </w:r>
    </w:p>
    <w:p>
      <w:pPr>
        <w:keepNext/>
        <w:spacing w:after="0" w:before="0" w:line="160"/>
        <w:jc w:val="center"/>
      </w:pPr>
      <w:r>
        <w:rPr>
          <w:rFonts w:ascii="Times New Roman" w:cs="Times New Roman" w:eastAsia="Times New Roman" w:hAnsi="Times New Roman"/>
          <w:sz w:val="18"/>
          <w:szCs w:val="18"/>
        </w:rPr>
        <w:t xml:space="preserve">▼</w:t>
      </w:r>
    </w:p>
    <w:p>
      <w:pPr>
        <w:keepNext w:val="false"/>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Go/no-go reaction time: dot at random screen locations on the active background</w:t>
      </w:r>
    </w:p>
    <w:p>
      <w:pPr>
        <w:spacing w:after="40" w:line="120"/>
      </w:pPr>
      <w:r>
        <w:rPr>
          <w:sz w:val="8"/>
          <w:szCs w:val="8"/>
        </w:rPr>
        <w:t xml:space="preserve"/>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Passages are matched for genre, length and readability, and passage assignment is counterbalanced independently of condition so passage difficulty is orthogonal to display condition. A self-paced rest break follows every two conditions, and no performance feedback is given, so effort is not differentially modulated across conditions. Each session begins with setup, seating and calibration, followed by baseline CVS-Q and fatigue VAS, and closes with the CVS-Q repeated and the NASA Task Load Index administered once as a session-level index of cumulative workload. The protocol will be piloted for feasibility, fatigue and dropout; should burden prove excessive, each illumination level can be divided into two shorter sittings of five conditions, preserving the counterbalancing scheme and the global serial-position record.</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reaction-time target is achromatic and defined relative to the active background, black on light fields and white on dark ones, with the chromatic set as distractors. Target contrast is therefore maximal and identical in both polarities, so salience does not vary with condition and no hue coincides with the text-colour manipulation. The discrimination becomes achromatic against chromatic rather than hue against hue, which simplifies it but preserves the fatigue-sensitive indices of reaction-time variability and lapse rate (Abe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2014).</w:t>
      </w:r>
    </w:p>
    <w:p>
      <w:pPr>
        <w:spacing w:after="0" w:line="360"/>
        <w:ind w:firstLine="360"/>
        <w:jc w:val="both"/>
      </w:pPr>
      <w:r>
        <w:rPr>
          <w:rFonts w:ascii="Times New Roman" w:cs="Times New Roman" w:eastAsia="Times New Roman" w:hAnsi="Times New Roman"/>
          <w:b/>
          <w:bCs/>
          <w:i w:val="false"/>
          <w:iCs w:val="false"/>
          <w:sz w:val="24"/>
          <w:szCs w:val="24"/>
        </w:rPr>
        <w:t xml:space="preserve">Pilot and feasibility gate.</w:t>
      </w:r>
      <w:r>
        <w:rPr>
          <w:rFonts w:ascii="Times New Roman" w:cs="Times New Roman" w:eastAsia="Times New Roman" w:hAnsi="Times New Roman"/>
          <w:b w:val="false"/>
          <w:bCs w:val="false"/>
          <w:i w:val="false"/>
          <w:iCs w:val="false"/>
          <w:sz w:val="24"/>
          <w:szCs w:val="24"/>
        </w:rPr>
        <w:t xml:space="preserve"> A protocol simulation over 2,000 synthetic participants, using reading rates drawn from the published meta-analytic distribution for adult non-fiction reading and the timing constants of the instrument itself, estimates a median sitting of 92 minutes at the three-minute exposure specified in §3.5, with a ninety-fifth percentile of 112 minutes and 1.5 per cent of participants exceeding two hours. A pilot of ten participants will nevertheless precede the main study to assess session tolerability, dropout, data quality and completion time against observed rather than simulated values. The pre-specified criteria for retaining the two-session structure are a median session duration of not more than 120 minutes, no more than one withdrawal in ten, and a face-presence ratio of at least 0.90 in at least 90 per cent of condition-runs. If any criterion is not met, each illumination level will be divided into two shorter sittings of five conditions, preserving the counterbalancing scheme and the global serial-position record.</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3.7 Variables and outcome measures</w:t>
      </w:r>
    </w:p>
    <w:p>
      <w:pPr>
        <w:spacing w:after="0" w:line="360"/>
        <w:jc w:val="both"/>
      </w:pPr>
      <w:r>
        <w:rPr>
          <w:rFonts w:ascii="Times New Roman" w:cs="Times New Roman" w:eastAsia="Times New Roman" w:hAnsi="Times New Roman"/>
          <w:b/>
          <w:bCs/>
          <w:i w:val="false"/>
          <w:iCs w:val="false"/>
          <w:sz w:val="24"/>
          <w:szCs w:val="24"/>
        </w:rPr>
        <w:t xml:space="preserve">Outcome hierarchy.</w:t>
      </w:r>
      <w:r>
        <w:rPr>
          <w:rFonts w:ascii="Times New Roman" w:cs="Times New Roman" w:eastAsia="Times New Roman" w:hAnsi="Times New Roman"/>
          <w:b w:val="false"/>
          <w:bCs w:val="false"/>
          <w:i w:val="false"/>
          <w:iCs w:val="false"/>
          <w:sz w:val="24"/>
          <w:szCs w:val="24"/>
        </w:rPr>
        <w:t xml:space="preserve"> The primary outcome is the incomplete-blink ratio during the reading task, analysed per condition. The principal secondary outcome is the change in CVS-Q score from session baseline. All remaining measures, namely blink rate, inter-blink interval, reading rate, comprehension, visual-search and reaction-time indices, comfort and clarity ratings and the NASA Task Load Index, are secondary or exploratory. PERCLOS, head pose, face-presence ratio and achieved sampling rate are covariates or data-quality indices rather than outcomes. Confirmatory inference is confined to the primary outcome; secondary outcomes are reported with confidence intervals and interpreted as supportive, with multiplicity control applied within each outcome family.</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Independent variables are display polarity, text colour and ambient illumination. Covariates comprise serial position within session, illumination order, session index, measured ambient illuminance and display luminance, computed contrast metrics, PERCLOS, achieved sampling rate, refractive and binocular status, and the profiling variables.</w:t>
      </w:r>
    </w:p>
    <w:p>
      <w:pPr>
        <w:spacing w:after="0" w:line="360"/>
        <w:ind w:firstLine="360"/>
        <w:jc w:val="both"/>
      </w:pPr>
      <w:r>
        <w:rPr>
          <w:rFonts w:ascii="Times New Roman" w:cs="Times New Roman" w:eastAsia="Times New Roman" w:hAnsi="Times New Roman"/>
          <w:b/>
          <w:bCs/>
          <w:i w:val="false"/>
          <w:iCs w:val="false"/>
          <w:sz w:val="24"/>
          <w:szCs w:val="24"/>
        </w:rPr>
        <w:t xml:space="preserve">Table 3.5 — Dependent variables.</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2973"/>
        <w:gridCol w:w="6098"/>
      </w:tblGrid>
      <w:tr>
        <w:trPr>
          <w:tblHeader/>
        </w:trPr>
        <w:tc>
          <w:tcPr>
            <w:tcW w:type="dxa" w:w="2973"/>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Domain</w:t>
            </w:r>
          </w:p>
        </w:tc>
        <w:tc>
          <w:tcPr>
            <w:tcW w:type="dxa" w:w="6098"/>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Measures</w:t>
            </w:r>
          </w:p>
        </w:tc>
      </w:tr>
      <w:tr>
        <w:tc>
          <w:tcPr>
            <w:tcW w:type="dxa" w:w="297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Ocular behaviour (objective)</w:t>
            </w:r>
          </w:p>
        </w:tc>
        <w:tc>
          <w:tcPr>
            <w:tcW w:type="dxa" w:w="609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Incomplete-blink ratio (primary); blink rate; inter-blink interval and variability; within-condition half bins</w:t>
            </w:r>
          </w:p>
        </w:tc>
      </w:tr>
      <w:tr>
        <w:tc>
          <w:tcPr>
            <w:tcW w:type="dxa" w:w="297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Drowsiness and data quality (objective)</w:t>
            </w:r>
          </w:p>
        </w:tc>
        <w:tc>
          <w:tcPr>
            <w:tcW w:type="dxa" w:w="609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PERCLOS and long-closure events; head pose and stability; face-presence ratio; achieved sampling rate</w:t>
            </w:r>
          </w:p>
        </w:tc>
      </w:tr>
      <w:tr>
        <w:tc>
          <w:tcPr>
            <w:tcW w:type="dxa" w:w="297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Subjective fatigue</w:t>
            </w:r>
          </w:p>
        </w:tc>
        <w:tc>
          <w:tcPr>
            <w:tcW w:type="dxa" w:w="609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CVS-Q score and change from baseline (key secondary) (Seguí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i w:val="false"/>
                <w:iCs w:val="false"/>
                <w:sz w:val="15"/>
                <w:szCs w:val="15"/>
              </w:rPr>
              <w:t xml:space="preserve">, 2015); five-item visual-fatigue VAS (0–10) per condition</w:t>
            </w:r>
          </w:p>
        </w:tc>
      </w:tr>
      <w:tr>
        <w:tc>
          <w:tcPr>
            <w:tcW w:type="dxa" w:w="297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Perceived display quality</w:t>
            </w:r>
          </w:p>
        </w:tc>
        <w:tc>
          <w:tcPr>
            <w:tcW w:type="dxa" w:w="609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Display comfort and text clarity (0–100) per condition</w:t>
            </w:r>
          </w:p>
        </w:tc>
      </w:tr>
      <w:tr>
        <w:tc>
          <w:tcPr>
            <w:tcW w:type="dxa" w:w="297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Cognitive workload</w:t>
            </w:r>
          </w:p>
        </w:tc>
        <w:tc>
          <w:tcPr>
            <w:tcW w:type="dxa" w:w="609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NASA-TLX, six dimensions, once per session (Hart &amp; Staveland, 1988)</w:t>
            </w:r>
          </w:p>
        </w:tc>
      </w:tr>
      <w:tr>
        <w:tc>
          <w:tcPr>
            <w:tcW w:type="dxa" w:w="297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Task performance (objective)</w:t>
            </w:r>
          </w:p>
        </w:tc>
        <w:tc>
          <w:tcPr>
            <w:tcW w:type="dxa" w:w="609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Reading time and derived reading rate; comprehension accuracy and response time; visual-search accuracy, misses, false detections and efficiency; reaction-time mean, SD and coefficient of variation, lapse rate, anticipations, sensitivity d′ and criterion</w:t>
            </w:r>
          </w:p>
        </w:tc>
      </w:tr>
    </w:tbl>
    <w:p>
      <w:pPr>
        <w:spacing w:after="40" w:line="120"/>
      </w:pPr>
      <w:r>
        <w:rPr>
          <w:sz w:val="8"/>
          <w:szCs w:val="8"/>
        </w:rPr>
        <w:t xml:space="preserve"/>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3.8 Counterbalancing</w:t>
      </w:r>
    </w:p>
    <w:p>
      <w:pPr>
        <w:spacing w:after="0" w:line="360"/>
        <w:jc w:val="both"/>
      </w:pPr>
      <w:r>
        <w:rPr>
          <w:rFonts w:ascii="Times New Roman" w:cs="Times New Roman" w:eastAsia="Times New Roman" w:hAnsi="Times New Roman"/>
          <w:b w:val="false"/>
          <w:bCs w:val="false"/>
          <w:i w:val="false"/>
          <w:iCs w:val="false"/>
          <w:sz w:val="24"/>
          <w:szCs w:val="24"/>
        </w:rPr>
        <w:t xml:space="preserve">Two order-related threats arise: serial-position effects driven by the vigilance decrement and accumulating fatigue, and first-order carryover, notably the light-adaptation transient imposed by a polarity switch. A balanced Williams-type Latin square over the ten conditions addresses both, since each condition occupies each serial position equally often across a complete block and precedes and follows every other equally often. Participants are assigned to rows by sequential enrolment index, complete balance being achieved in blocks of ten; the sample size is accordingly a multiple of ten.</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second illumination block advances the Williams row by one, so a participant does not meet the conditions in the same serial order twice. Reusing the row would correlate serial position perfectly with condition within a participant across both sessions, letting a position effect masquerade as a condition effect in the same direction twice; advancing it preserves complete balance across each block of ten, since every row is still used once.</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Illumination order is counterbalanced orthogonally to that row, which requires care: assigning dim-first to odd enrolment numbers would not be orthogonal, because the row is the enrolment index modulo ten and two divides ten, so the row would determine the order entirely. Order is therefore alternated by parity and inverted after each completed block of ten. This splits dim-first and moderate-first five to five within every block, so order is confounded with neither the condition row nor recruitment date, and pairs each row with both orders once across twenty participants — balance completing at n = 20, which divides 130.</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3.9 Statistical analysis</w:t>
      </w:r>
    </w:p>
    <w:p>
      <w:pPr>
        <w:spacing w:after="0" w:line="360"/>
        <w:jc w:val="both"/>
      </w:pPr>
      <w:r>
        <w:rPr>
          <w:rFonts w:ascii="Times New Roman" w:cs="Times New Roman" w:eastAsia="Times New Roman" w:hAnsi="Times New Roman"/>
          <w:b w:val="false"/>
          <w:bCs w:val="false"/>
          <w:i w:val="false"/>
          <w:iCs w:val="false"/>
          <w:sz w:val="24"/>
          <w:szCs w:val="24"/>
        </w:rPr>
        <w:t xml:space="preserve">The confirmatory analysis is a mixed-effects model of the primary outcome, the incomplete-blink ratio, with fixed effects for polarity, text colour, ambient illumination, their two- and three-way interactions, serial position and illumination order. Because the incomplete-blink ratio is a bounded proportion, it will be modelled on the logit scale, or by a beta or binomial mixed model, rather than as an untransformed linear outcome. The random structure follows the split-plot design: a random intercept for participant and a random intercept for session nested within participant, with a random slope for polarity where the data support it. Where a maximal random structure fails to converge it will be reduced in a pre-specified order, random slopes first and then the session intercept, and the reduction reported. The primary contrast is tested at α = 0.05, and the three-way interaction is regarded as exploratory given its lower power.</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For Objective 2, two nested model families are compared: one specifying colour as a categorical factor, the other specifying luminance contrast as a continuous predictor with colour retained to capture residual hue effects, so that comparative fit and the size of residual hue terms quantify the contribution of each. Moderation (Objective 3) is tested by entering profiling variables as between-participant terms with condition-by-moderator interactions, and agreement between automated and manual blink classification (Objective 4) is analysed as specified in §3.5.</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Ordinal cumulative-link models are used for VAS and Likert-type outcomes; signal-detection indices are treated hierarchically, being unstable at small per-condition trial counts; and binomial generalised mixed models for accuracy outcomes. Sensitivity analyses re-fit models excluding conditions flagged for disengagement or poor data quality, and with PERCLOS as a covariate to separate visual fatigue from sleepiness. Residual diagnostics, multiplicity control within outcome families, and effect sizes with 95 per cent confidence intervals are reported throughout.</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3.10 Ethical considerations</w:t>
      </w:r>
    </w:p>
    <w:p>
      <w:pPr>
        <w:spacing w:after="0" w:line="360"/>
        <w:jc w:val="both"/>
      </w:pPr>
      <w:r>
        <w:rPr>
          <w:rFonts w:ascii="Times New Roman" w:cs="Times New Roman" w:eastAsia="Times New Roman" w:hAnsi="Times New Roman"/>
          <w:b w:val="false"/>
          <w:bCs w:val="false"/>
          <w:i w:val="false"/>
          <w:iCs w:val="false"/>
          <w:sz w:val="24"/>
          <w:szCs w:val="24"/>
        </w:rPr>
        <w:t xml:space="preserve">Approval will be obtained from the Institutional Ethics Committee of Assam down town University before recruitment. Written informed consent will be taken. Camera-based measurement is consented separately from participation itself and is refusable without affecting it; a participant who declines contributes every non-camera measure and remains fully enrolled. Participants may withdraw at any time.</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By default no image or video leaves the device: the camera produces numeric measures and the frames are discarded as processed. Two purposes require imagery, and each is a further independent grant defaulting to refusal — a photograph at the start and end of a session, documenting seating distance and room lighting so setup compliance is evidenced rather than asserted; and a short reading-task video segment from the validation subsample, without which Objective 4 cannot be met, since criterion validity requires material a human assessor can code frame by frame. Neither grant implies the other, and neither is implied by consent to numeric measurement. The permission in force at capture is stored with each file, so a recording is never separable from its basis, and retained media are held apart from the research dataset and deletable independently of it. Data are de-identified and stored securely. Participants reporting significant symptoms or screening abnormalities will be advised to seek a full optometric or ophthalmological examination. No intervention with therapeutic intent is administered, and exposure durations are comparable to habitual device use.</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Identifiable enrolment records will be stored separately from the de-identified research dataset and linked only by enrolment code, with access restricted to the researcher and the supervisor(s). Research data will be retained for </w:t>
      </w:r>
      <w:r>
        <w:rPr>
          <w:rFonts w:ascii="Times New Roman" w:cs="Times New Roman" w:eastAsia="Times New Roman" w:hAnsi="Times New Roman"/>
          <w:b w:val="false"/>
          <w:bCs w:val="false"/>
          <w:i w:val="false"/>
          <w:iCs w:val="false"/>
          <w:sz w:val="24"/>
          <w:szCs w:val="24"/>
          <w:highlight w:val="yellow"/>
          <w:highlightCs w:val="yellow"/>
        </w:rPr>
        <w:t xml:space="preserve">[insert institutional retention period]</w:t>
      </w:r>
      <w:r>
        <w:rPr>
          <w:rFonts w:ascii="Times New Roman" w:cs="Times New Roman" w:eastAsia="Times New Roman" w:hAnsi="Times New Roman"/>
          <w:b w:val="false"/>
          <w:bCs w:val="false"/>
          <w:i w:val="false"/>
          <w:iCs w:val="false"/>
          <w:sz w:val="24"/>
          <w:szCs w:val="24"/>
        </w:rPr>
        <w:t xml:space="preserve"> years after completion of the work in accordance with institutional policy and then securely destroyed. Incidental findings at screening, including reduced acuity, uncorrected refractive error, binocular anomaly or colour-vision deficiency, will be communicated to the participant with written advice to seek a full optometric or ophthalmological examination, and will be recorded. Participants will receive </w:t>
      </w:r>
      <w:r>
        <w:rPr>
          <w:rFonts w:ascii="Times New Roman" w:cs="Times New Roman" w:eastAsia="Times New Roman" w:hAnsi="Times New Roman"/>
          <w:b w:val="false"/>
          <w:bCs w:val="false"/>
          <w:i w:val="false"/>
          <w:iCs w:val="false"/>
          <w:sz w:val="24"/>
          <w:szCs w:val="24"/>
          <w:highlight w:val="yellow"/>
          <w:highlightCs w:val="yellow"/>
        </w:rPr>
        <w:t xml:space="preserve">[insert institutional position on compensation]</w:t>
      </w:r>
      <w:r>
        <w:rPr>
          <w:rFonts w:ascii="Times New Roman" w:cs="Times New Roman" w:eastAsia="Times New Roman" w:hAnsi="Times New Roman"/>
          <w:b w:val="false"/>
          <w:bCs w:val="false"/>
          <w:i w:val="false"/>
          <w:iCs w:val="false"/>
          <w:sz w:val="24"/>
          <w:szCs w:val="24"/>
        </w:rPr>
        <w:t xml:space="preserve">; any reimbursement will be set at a level that does not constitute undue inducement.</w:t>
      </w:r>
    </w:p>
    <w:p>
      <w:pPr>
        <w:pBdr>
          <w:bottom w:val="single" w:color="AAAAAA" w:sz="6" w:space="1"/>
        </w:pBdr>
        <w:spacing w:after="40" w:before="0"/>
      </w:pPr>
      <w:r>
        <w:rPr>
          <w:rFonts w:ascii="Times New Roman" w:cs="Times New Roman" w:eastAsia="Times New Roman" w:hAnsi="Times New Roman"/>
          <w:sz w:val="24"/>
          <w:szCs w:val="24"/>
        </w:rPr>
        <w:t xml:space="preserve"/>
      </w:r>
    </w:p>
    <w:p>
      <w:pPr>
        <w:pStyle w:val="Heading1"/>
        <w:keepNext/>
        <w:spacing w:after="40" w:before="140" w:line="360"/>
        <w:jc w:val="center"/>
      </w:pPr>
      <w:r>
        <w:rPr>
          <w:rFonts w:ascii="Times New Roman" w:cs="Times New Roman" w:eastAsia="Times New Roman" w:hAnsi="Times New Roman"/>
          <w:b/>
          <w:bCs/>
          <w:i w:val="false"/>
          <w:iCs w:val="false"/>
          <w:sz w:val="30"/>
          <w:szCs w:val="30"/>
        </w:rPr>
        <w:t xml:space="preserve">CHAPTER 4: CONCLUSION</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4.1 Expected outcomes</w:t>
      </w:r>
    </w:p>
    <w:p>
      <w:pPr>
        <w:spacing w:after="0" w:line="360"/>
        <w:jc w:val="both"/>
      </w:pPr>
      <w:r>
        <w:rPr>
          <w:rFonts w:ascii="Times New Roman" w:cs="Times New Roman" w:eastAsia="Times New Roman" w:hAnsi="Times New Roman"/>
          <w:b w:val="false"/>
          <w:bCs w:val="false"/>
          <w:i w:val="false"/>
          <w:iCs w:val="false"/>
          <w:sz w:val="24"/>
          <w:szCs w:val="24"/>
        </w:rPr>
        <w:t xml:space="preserve">The study is expected to yield quantified effects, with confidence intervals, of display polarity, text colour and ambient illumination on subjective visual fatigue, ocular behaviour, cognitive workload and task performance, and, to the best of the available evidence, will provide among the first estimates of the polarity-by-colour interaction on fatigue outcomes, and is expected to determine whether the positive polarity advantage extends from brief legibility tasks to hour-scale reading and ocular-surface outcomes.</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Because the contrast ordering of colours reverses across polarity, the results are expected to indicate the extent to which colour-related effects are mediated by luminance contrast rather than hue: a crossover interaction would support contrast mediation, a preserved ordering would suggest residual hue-specific effects, with contrast expected to account for most colour-related variance and red a candidate exception. Characterising the polarity-by-illumination interaction is expected to indicate whether negative polarity is specifically costly under dim domestic lighting, where dark mode is most used and most advocated. The study will further identify the configurations that minimise and maximise fatigue, indicate whether a polarity-blind contrast criterion adequately predicts measured readability, and produce an account of subjective–objective correspondence and a validated instrument whose agreement with manual annotation is reported.</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4.2 Significance of the study</w:t>
      </w:r>
    </w:p>
    <w:p>
      <w:pPr>
        <w:spacing w:after="0" w:line="360"/>
        <w:jc w:val="both"/>
      </w:pPr>
      <w:r>
        <w:rPr>
          <w:rFonts w:ascii="Times New Roman" w:cs="Times New Roman" w:eastAsia="Times New Roman" w:hAnsi="Times New Roman"/>
          <w:b w:val="false"/>
          <w:bCs w:val="false"/>
          <w:i w:val="false"/>
          <w:iCs w:val="false"/>
          <w:sz w:val="24"/>
          <w:szCs w:val="24"/>
        </w:rPr>
        <w:t xml:space="preserve">The findings map onto interface and product design, giving empirically grounded specification of text presentation and dark-mode implementation for reading applications, e-readers, e-learning platforms and operating-system themes, and they bear on accessibility standards by indicating whether and how polarity must enter a contrast criterion. For occupational and public health, display configuration is a preventive measure that costs nothing and can be deployed at population scale for a condition affecting roughly seven in ten screen users. In education the work informs the configuration of tablet-based learning materials; for optometric practice it provides actionable device-configuration advice in an area where practitioners are documented to lack quality evidence; and methodologically, a scalable instrument relieves the annotation bottleneck that has confined this literature to small samples.</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4.3 Limitations and delimitations</w:t>
      </w:r>
    </w:p>
    <w:p>
      <w:pPr>
        <w:spacing w:after="0" w:line="360"/>
        <w:jc w:val="both"/>
      </w:pPr>
      <w:r>
        <w:rPr>
          <w:rFonts w:ascii="Times New Roman" w:cs="Times New Roman" w:eastAsia="Times New Roman" w:hAnsi="Times New Roman"/>
          <w:b w:val="false"/>
          <w:bCs w:val="false"/>
          <w:i w:val="false"/>
          <w:iCs w:val="false"/>
          <w:sz w:val="24"/>
          <w:szCs w:val="24"/>
        </w:rPr>
        <w:t xml:space="preserve">Polarity and luminance contrast are not fully orthogonal, because chromatic pigments differ intrinsically in luminance and contrast cannot be equalised across polarity while the colour set is held fixed. This is mitigated by measuring and modelling contrast, and is deliberately exploited as a crossover test, but it constrains fully independent causal attribution.</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Camera-based measurement is screening-grade, lower in spatial accuracy and sampling rate than infrared eye tracking, and does not measure accommodation, so gaze measures are limited to coarse zones and duration-based blink metrics are gated on achieved frame rate.</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precision of the primary outcome within a single condition is bounded by the blinks that condition captures. The three-minute exposure adopted in §3.5 brings the standard error of a condition-level ratio to about 0.06, adequate for the participant-level contrasts carrying Objectives 1 and 2 but leaving individual condition estimates comparatively imprecise. Measurement error attenuates observed effect sizes, so the power figures in Table 3.1 are upper bounds on what the design can detect; the blinks contributing to each condition are exported alongside the ratio so this can be quantified rather than assumed. Accommodative outcomes, which require open-field autorefractometry, fall outside the scope of this study.</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manipulation cannot be blinded, since polarity and colour are visible, so expectation effects on subjective ratings cannot be excluded, although objective markers, the absence of feedback and counterbalancing mitigate this. Sessions accumulate generic fatigue and boredom alongside visual fatigue, which are counterbalanced, measured and modelled rather than eliminated, and administering the NASA Task Load Index once per session limits workload inference to the illumination contrast. Because illumination is manipulated between sessions, its effect is more exposed to between-session variance in time of day, sleep and circadian phase, although order is counterbalanced and covariates recorded; and PERCLOS, while serving as a sleepiness covariate, is itself insensitive to moderate drowsiness.</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Findings will be specific to the device, display technology, luminance range and population studied. The sample is delimited to adults aged 18 to 35 with normal or corrected vision and no colour-vision deficiency, so presbyopic, paediatric and colour-vision-deficient populations, for whom polarity effects may differ, lie outside the present scope and are identified as future work.</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4.4 Concluding remarks</w:t>
      </w:r>
    </w:p>
    <w:p>
      <w:pPr>
        <w:spacing w:after="0" w:line="360"/>
        <w:jc w:val="both"/>
      </w:pPr>
      <w:r>
        <w:rPr>
          <w:rFonts w:ascii="Times New Roman" w:cs="Times New Roman" w:eastAsia="Times New Roman" w:hAnsi="Times New Roman"/>
          <w:b w:val="false"/>
          <w:bCs w:val="false"/>
          <w:i w:val="false"/>
          <w:iCs w:val="false"/>
          <w:sz w:val="24"/>
          <w:szCs w:val="24"/>
        </w:rPr>
        <w:t xml:space="preserve">The proposed research addresses a determinant of visual health that is ubiquitous, freely modifiable and inadequately evidenced. By crossing polarity with text colour under two ecologically relevant levels of ambient light, and measuring validated symptoms alongside ocular behaviour, workload and task performance in a single instrumented protocol, it is intended to provide quantified, standards-relevant evidence on display configuration for prolonged reading, and to contribute a measurement approach that may reduce reliance on manual annotation in this field.</w:t>
      </w:r>
    </w:p>
    <w:p>
      <w:pPr>
        <w:pBdr>
          <w:bottom w:val="single" w:color="AAAAAA" w:sz="6" w:space="1"/>
        </w:pBdr>
        <w:spacing w:after="40" w:before="0"/>
      </w:pPr>
      <w:r>
        <w:rPr>
          <w:rFonts w:ascii="Times New Roman" w:cs="Times New Roman" w:eastAsia="Times New Roman" w:hAnsi="Times New Roman"/>
          <w:sz w:val="24"/>
          <w:szCs w:val="24"/>
        </w:rPr>
        <w:t xml:space="preserve"/>
      </w:r>
    </w:p>
    <w:p>
      <w:pPr>
        <w:pStyle w:val="Heading1"/>
        <w:keepNext/>
        <w:spacing w:after="40" w:before="140" w:line="360"/>
        <w:jc w:val="center"/>
      </w:pPr>
      <w:r>
        <w:rPr>
          <w:rFonts w:ascii="Times New Roman" w:cs="Times New Roman" w:eastAsia="Times New Roman" w:hAnsi="Times New Roman"/>
          <w:b/>
          <w:bCs/>
          <w:i w:val="false"/>
          <w:iCs w:val="false"/>
          <w:sz w:val="30"/>
          <w:szCs w:val="30"/>
        </w:rPr>
        <w:t xml:space="preserve">REFERENCES</w:t>
      </w:r>
    </w:p>
    <w:p>
      <w:pPr>
        <w:spacing w:after="60" w:line="240"/>
        <w:ind w:left="720" w:hanging="720"/>
      </w:pPr>
      <w:r>
        <w:rPr>
          <w:rFonts w:ascii="Times New Roman" w:cs="Times New Roman" w:eastAsia="Times New Roman" w:hAnsi="Times New Roman"/>
          <w:b w:val="false"/>
          <w:bCs w:val="false"/>
          <w:i w:val="false"/>
          <w:iCs w:val="false"/>
          <w:sz w:val="24"/>
          <w:szCs w:val="24"/>
          <w:highlight w:val="yellow"/>
          <w:highlightCs w:val="yellow"/>
        </w:rPr>
        <w:t xml:space="preserve">[Authors to be completed from the publisher record]</w:t>
      </w:r>
      <w:r>
        <w:rPr>
          <w:rFonts w:ascii="Times New Roman" w:cs="Times New Roman" w:eastAsia="Times New Roman" w:hAnsi="Times New Roman"/>
          <w:b w:val="false"/>
          <w:bCs w:val="false"/>
          <w:i w:val="false"/>
          <w:iCs w:val="false"/>
          <w:sz w:val="24"/>
          <w:szCs w:val="24"/>
        </w:rPr>
        <w:t xml:space="preserve">. (2025). Effects of ambient illuminance and mobile phone screen brightness on tear film stability, visual fatigue, and blink patterns during reading. </w:t>
      </w:r>
      <w:r>
        <w:rPr>
          <w:rFonts w:ascii="Times New Roman" w:cs="Times New Roman" w:eastAsia="Times New Roman" w:hAnsi="Times New Roman"/>
          <w:b w:val="false"/>
          <w:bCs w:val="false"/>
          <w:i/>
          <w:iCs/>
          <w:sz w:val="24"/>
          <w:szCs w:val="24"/>
        </w:rPr>
        <w:t xml:space="preserve">Contact Lens and Anterior Eye</w:t>
      </w:r>
      <w:r>
        <w:rPr>
          <w:rFonts w:ascii="Times New Roman" w:cs="Times New Roman" w:eastAsia="Times New Roman" w:hAnsi="Times New Roman"/>
          <w:b w:val="false"/>
          <w:bCs w:val="false"/>
          <w:i w:val="false"/>
          <w:iCs w:val="false"/>
          <w:sz w:val="24"/>
          <w:szCs w:val="24"/>
        </w:rPr>
        <w:t xml:space="preserve">. https://doi.org/10.1016/j.clae.2025.102515</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Abe, T., Mollicone, D., Basner, M., &amp; Dinges, D. F. (2014). Sleepiness and safety: Where biology needs technology. </w:t>
      </w:r>
      <w:r>
        <w:rPr>
          <w:rFonts w:ascii="Times New Roman" w:cs="Times New Roman" w:eastAsia="Times New Roman" w:hAnsi="Times New Roman"/>
          <w:b w:val="false"/>
          <w:bCs w:val="false"/>
          <w:i/>
          <w:iCs/>
          <w:sz w:val="24"/>
          <w:szCs w:val="24"/>
        </w:rPr>
        <w:t xml:space="preserve">Sleep and Biological Rhythms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12</w:t>
      </w:r>
      <w:r>
        <w:rPr>
          <w:rFonts w:ascii="Times New Roman" w:cs="Times New Roman" w:eastAsia="Times New Roman" w:hAnsi="Times New Roman"/>
          <w:b w:val="false"/>
          <w:bCs w:val="false"/>
          <w:i w:val="false"/>
          <w:iCs w:val="false"/>
          <w:sz w:val="24"/>
          <w:szCs w:val="24"/>
        </w:rPr>
        <w:t xml:space="preserve">(2), 74–84. https://doi.org/10.1111/sbr.12067</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Abe, T. (2023). PERCLOS-based technologies for detecting drowsiness: Current evidence and future directions. </w:t>
      </w:r>
      <w:r>
        <w:rPr>
          <w:rFonts w:ascii="Times New Roman" w:cs="Times New Roman" w:eastAsia="Times New Roman" w:hAnsi="Times New Roman"/>
          <w:b w:val="false"/>
          <w:bCs w:val="false"/>
          <w:i/>
          <w:iCs/>
          <w:sz w:val="24"/>
          <w:szCs w:val="24"/>
        </w:rPr>
        <w:t xml:space="preserve">SLEEP Advances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4</w:t>
      </w:r>
      <w:r>
        <w:rPr>
          <w:rFonts w:ascii="Times New Roman" w:cs="Times New Roman" w:eastAsia="Times New Roman" w:hAnsi="Times New Roman"/>
          <w:b w:val="false"/>
          <w:bCs w:val="false"/>
          <w:i w:val="false"/>
          <w:iCs w:val="false"/>
          <w:sz w:val="24"/>
          <w:szCs w:val="24"/>
        </w:rPr>
        <w:t xml:space="preserve">(1), zpad006. https://doi.org/10.1093/sleepadvances/zpad006</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Advanced Perceptual Contrast Algorithm. (n.d.). APCA: A candidate perceptual contrast method incorporating polarity and typographic parameters. https://git.apcacontrast.com/</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Argilés, M., Cardona, G., Pérez-Cabré, E., &amp; Rodríguez, M. (2015). Blink rate and incomplete blinks in six different controlled hard-copy and electronic reading conditions. </w:t>
      </w:r>
      <w:r>
        <w:rPr>
          <w:rFonts w:ascii="Times New Roman" w:cs="Times New Roman" w:eastAsia="Times New Roman" w:hAnsi="Times New Roman"/>
          <w:b w:val="false"/>
          <w:bCs w:val="false"/>
          <w:i/>
          <w:iCs/>
          <w:sz w:val="24"/>
          <w:szCs w:val="24"/>
        </w:rPr>
        <w:t xml:space="preserve">Investigative Ophthalmology &amp; Visual Science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56</w:t>
      </w:r>
      <w:r>
        <w:rPr>
          <w:rFonts w:ascii="Times New Roman" w:cs="Times New Roman" w:eastAsia="Times New Roman" w:hAnsi="Times New Roman"/>
          <w:b w:val="false"/>
          <w:bCs w:val="false"/>
          <w:i w:val="false"/>
          <w:iCs w:val="false"/>
          <w:sz w:val="24"/>
          <w:szCs w:val="24"/>
        </w:rPr>
        <w:t xml:space="preserve">(11), 6679–6685. https://doi.org/10.1167/iovs.15-16967</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Buchner, A., &amp; Baumgartner, N. (2007). Text–background polarity affects performance irrespective of ambient illumination and colour contrast.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50</w:t>
      </w:r>
      <w:r>
        <w:rPr>
          <w:rFonts w:ascii="Times New Roman" w:cs="Times New Roman" w:eastAsia="Times New Roman" w:hAnsi="Times New Roman"/>
          <w:b w:val="false"/>
          <w:bCs w:val="false"/>
          <w:i w:val="false"/>
          <w:iCs w:val="false"/>
          <w:sz w:val="24"/>
          <w:szCs w:val="24"/>
        </w:rPr>
        <w:t xml:space="preserve">(7), 1036–1063. https://doi.org/10.1080/00140130701306413</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Bureau of Indian Standards. (2009). IS 3646: Code of practice for interior illumination. Bureau of Indian Standards.</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Cantó-Sancho, N., Linhares, J., Ronda-Pérez, E., Franco, S., Perales, E., &amp; Seguí-Crespo, M. (2024). Cross-cultural validation into Portuguese of a questionnaire to assess computer vision syndrome in workers exposed to digital devices. </w:t>
      </w:r>
      <w:r>
        <w:rPr>
          <w:rFonts w:ascii="Times New Roman" w:cs="Times New Roman" w:eastAsia="Times New Roman" w:hAnsi="Times New Roman"/>
          <w:b w:val="false"/>
          <w:bCs w:val="false"/>
          <w:i/>
          <w:iCs/>
          <w:sz w:val="24"/>
          <w:szCs w:val="24"/>
        </w:rPr>
        <w:t xml:space="preserve">Arquivos Brasileiros de Oftalmologia</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87</w:t>
      </w:r>
      <w:r>
        <w:rPr>
          <w:rFonts w:ascii="Times New Roman" w:cs="Times New Roman" w:eastAsia="Times New Roman" w:hAnsi="Times New Roman"/>
          <w:b w:val="false"/>
          <w:bCs w:val="false"/>
          <w:i w:val="false"/>
          <w:iCs w:val="false"/>
          <w:sz w:val="24"/>
          <w:szCs w:val="24"/>
        </w:rPr>
        <w:t xml:space="preserve">(6), e20220256. https://doi.org/10.5935/0004-2749.2022-0256</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Cardona, G., García, C., Serés, C., Vilaseca, M., &amp; Gispets, J. (2011). Blink rate, blink amplitude, and tear film integrity during dynamic visual display terminal tasks. </w:t>
      </w:r>
      <w:r>
        <w:rPr>
          <w:rFonts w:ascii="Times New Roman" w:cs="Times New Roman" w:eastAsia="Times New Roman" w:hAnsi="Times New Roman"/>
          <w:b w:val="false"/>
          <w:bCs w:val="false"/>
          <w:i/>
          <w:iCs/>
          <w:sz w:val="24"/>
          <w:szCs w:val="24"/>
        </w:rPr>
        <w:t xml:space="preserve">Current Eye Research</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36</w:t>
      </w:r>
      <w:r>
        <w:rPr>
          <w:rFonts w:ascii="Times New Roman" w:cs="Times New Roman" w:eastAsia="Times New Roman" w:hAnsi="Times New Roman"/>
          <w:b w:val="false"/>
          <w:bCs w:val="false"/>
          <w:i w:val="false"/>
          <w:iCs w:val="false"/>
          <w:sz w:val="24"/>
          <w:szCs w:val="24"/>
        </w:rPr>
        <w:t xml:space="preserve">(3), 190–197. https://doi.org/10.3109/02713683.2010.544442</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Ccami-Bernal, F., Soriano-Moreno, D. R., Romero-Robles, M. A., Barriga-Chambi, F., Tuco, K. G., Castro-Diaz, S. D., Nuñez-Lupaca, J. N., Pacheco-Mendoza, J., Galvez-Olortegui, T., &amp; Benites-Zapata, V. A. (2024). Prevalence of computer vision syndrome: A systematic review and meta-analysis. </w:t>
      </w:r>
      <w:r>
        <w:rPr>
          <w:rFonts w:ascii="Times New Roman" w:cs="Times New Roman" w:eastAsia="Times New Roman" w:hAnsi="Times New Roman"/>
          <w:b w:val="false"/>
          <w:bCs w:val="false"/>
          <w:i/>
          <w:iCs/>
          <w:sz w:val="24"/>
          <w:szCs w:val="24"/>
        </w:rPr>
        <w:t xml:space="preserve">Journal of Optometry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17</w:t>
      </w:r>
      <w:r>
        <w:rPr>
          <w:rFonts w:ascii="Times New Roman" w:cs="Times New Roman" w:eastAsia="Times New Roman" w:hAnsi="Times New Roman"/>
          <w:b w:val="false"/>
          <w:bCs w:val="false"/>
          <w:i w:val="false"/>
          <w:iCs w:val="false"/>
          <w:sz w:val="24"/>
          <w:szCs w:val="24"/>
        </w:rPr>
        <w:t xml:space="preserve">(1), 100482. https://doi.org/10.1016/j.optom.2023.100482</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Delgado, P., Vargas, C., Ackerman, R., &amp; Salmerón, L. (2018). Don't throw away your printed books: A meta-analysis on the effects of reading media on reading comprehension. </w:t>
      </w:r>
      <w:r>
        <w:rPr>
          <w:rFonts w:ascii="Times New Roman" w:cs="Times New Roman" w:eastAsia="Times New Roman" w:hAnsi="Times New Roman"/>
          <w:b w:val="false"/>
          <w:bCs w:val="false"/>
          <w:i/>
          <w:iCs/>
          <w:sz w:val="24"/>
          <w:szCs w:val="24"/>
        </w:rPr>
        <w:t xml:space="preserve">Educational Research Review</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25</w:t>
      </w:r>
      <w:r>
        <w:rPr>
          <w:rFonts w:ascii="Times New Roman" w:cs="Times New Roman" w:eastAsia="Times New Roman" w:hAnsi="Times New Roman"/>
          <w:b w:val="false"/>
          <w:bCs w:val="false"/>
          <w:i w:val="false"/>
          <w:iCs w:val="false"/>
          <w:sz w:val="24"/>
          <w:szCs w:val="24"/>
        </w:rPr>
        <w:t xml:space="preserve">, 23–38. https://doi.org/10.1016/j.edurev.2018.09.003</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Dobres, J., Chahine, N., Reimer, B., Gould, D., Mehler, B., &amp; Coughlin, J. F. (2016). Utilising psychophysical techniques to investigate the effects of age, typeface design, size and display polarity on glance legibility.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59</w:t>
      </w:r>
      <w:r>
        <w:rPr>
          <w:rFonts w:ascii="Times New Roman" w:cs="Times New Roman" w:eastAsia="Times New Roman" w:hAnsi="Times New Roman"/>
          <w:b w:val="false"/>
          <w:bCs w:val="false"/>
          <w:i w:val="false"/>
          <w:iCs w:val="false"/>
          <w:sz w:val="24"/>
          <w:szCs w:val="24"/>
        </w:rPr>
        <w:t xml:space="preserve">(10), 1377–1391. https://doi.org/10.1080/00140139.2015.1137637</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Dobres, J., Chahine, N., &amp; Reimer, B. (2017). Effects of ambient illumination, contrast polarity, and letter size on text legibility under glance-like reading. </w:t>
      </w:r>
      <w:r>
        <w:rPr>
          <w:rFonts w:ascii="Times New Roman" w:cs="Times New Roman" w:eastAsia="Times New Roman" w:hAnsi="Times New Roman"/>
          <w:b w:val="false"/>
          <w:bCs w:val="false"/>
          <w:i/>
          <w:iCs/>
          <w:sz w:val="24"/>
          <w:szCs w:val="24"/>
        </w:rPr>
        <w:t xml:space="preserve">Applied 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60</w:t>
      </w:r>
      <w:r>
        <w:rPr>
          <w:rFonts w:ascii="Times New Roman" w:cs="Times New Roman" w:eastAsia="Times New Roman" w:hAnsi="Times New Roman"/>
          <w:b w:val="false"/>
          <w:bCs w:val="false"/>
          <w:i w:val="false"/>
          <w:iCs w:val="false"/>
          <w:sz w:val="24"/>
          <w:szCs w:val="24"/>
        </w:rPr>
        <w:t xml:space="preserve">, 68–73. https://doi.org/10.1016/j.apergo.2016.11.001</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Fan, Q., Xie, J., Dong, Z., &amp; Wang, Y. (2024). The effect of ambient illumination and text color on visual fatigue under negative polarity. </w:t>
      </w:r>
      <w:r>
        <w:rPr>
          <w:rFonts w:ascii="Times New Roman" w:cs="Times New Roman" w:eastAsia="Times New Roman" w:hAnsi="Times New Roman"/>
          <w:b w:val="false"/>
          <w:bCs w:val="false"/>
          <w:i/>
          <w:iCs/>
          <w:sz w:val="24"/>
          <w:szCs w:val="24"/>
        </w:rPr>
        <w:t xml:space="preserve">Sensors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24</w:t>
      </w:r>
      <w:r>
        <w:rPr>
          <w:rFonts w:ascii="Times New Roman" w:cs="Times New Roman" w:eastAsia="Times New Roman" w:hAnsi="Times New Roman"/>
          <w:b w:val="false"/>
          <w:bCs w:val="false"/>
          <w:i w:val="false"/>
          <w:iCs w:val="false"/>
          <w:sz w:val="24"/>
          <w:szCs w:val="24"/>
        </w:rPr>
        <w:t xml:space="preserve">(11), 3516. https://doi.org/10.3390/s24113516</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Fjaervoll, K., Fjaervoll, H., Magno, M., Nøland, S. T., Dartt, D. A., Vehof, J., &amp; Utheim, T. P. (2022). Review on the possible pathophysiological mechanisms underlying visual display terminal-associated dry eye disease. </w:t>
      </w:r>
      <w:r>
        <w:rPr>
          <w:rFonts w:ascii="Times New Roman" w:cs="Times New Roman" w:eastAsia="Times New Roman" w:hAnsi="Times New Roman"/>
          <w:b w:val="false"/>
          <w:bCs w:val="false"/>
          <w:i/>
          <w:iCs/>
          <w:sz w:val="24"/>
          <w:szCs w:val="24"/>
        </w:rPr>
        <w:t xml:space="preserve">Acta Ophthalmologica</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100</w:t>
      </w:r>
      <w:r>
        <w:rPr>
          <w:rFonts w:ascii="Times New Roman" w:cs="Times New Roman" w:eastAsia="Times New Roman" w:hAnsi="Times New Roman"/>
          <w:b w:val="false"/>
          <w:bCs w:val="false"/>
          <w:i w:val="false"/>
          <w:iCs w:val="false"/>
          <w:sz w:val="24"/>
          <w:szCs w:val="24"/>
        </w:rPr>
        <w:t xml:space="preserve">(8), 861–877. https://doi.org/10.1111/aos.15150</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Hart, S. G., &amp; Staveland, L. E. (1988). Development of NASA-TLX (Task Load Index): Results of empirical and theoretical research. In P. A. Hancock &amp; N. Meshkati (Eds.), </w:t>
      </w:r>
      <w:r>
        <w:rPr>
          <w:rFonts w:ascii="Times New Roman" w:cs="Times New Roman" w:eastAsia="Times New Roman" w:hAnsi="Times New Roman"/>
          <w:b w:val="false"/>
          <w:bCs w:val="false"/>
          <w:i/>
          <w:iCs/>
          <w:sz w:val="24"/>
          <w:szCs w:val="24"/>
        </w:rPr>
        <w:t xml:space="preserve">Human mental workload</w:t>
      </w:r>
      <w:r>
        <w:rPr>
          <w:rFonts w:ascii="Times New Roman" w:cs="Times New Roman" w:eastAsia="Times New Roman" w:hAnsi="Times New Roman"/>
          <w:b w:val="false"/>
          <w:bCs w:val="false"/>
          <w:i w:val="false"/>
          <w:iCs w:val="false"/>
          <w:sz w:val="24"/>
          <w:szCs w:val="24"/>
        </w:rPr>
        <w:t xml:space="preserve"> (Advances in Psychology, Vol. 52, pp. 139–183). North-Holland.</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Hirota, M., Uozato, H., Kawamorita, T., Shibata, Y., &amp; Yamamoto, S. (2013). Effect of incomplete blinking on tear film stability. </w:t>
      </w:r>
      <w:r>
        <w:rPr>
          <w:rFonts w:ascii="Times New Roman" w:cs="Times New Roman" w:eastAsia="Times New Roman" w:hAnsi="Times New Roman"/>
          <w:b w:val="false"/>
          <w:bCs w:val="false"/>
          <w:i/>
          <w:iCs/>
          <w:sz w:val="24"/>
          <w:szCs w:val="24"/>
        </w:rPr>
        <w:t xml:space="preserve">Optometry and Vision Science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90</w:t>
      </w:r>
      <w:r>
        <w:rPr>
          <w:rFonts w:ascii="Times New Roman" w:cs="Times New Roman" w:eastAsia="Times New Roman" w:hAnsi="Times New Roman"/>
          <w:b w:val="false"/>
          <w:bCs w:val="false"/>
          <w:i w:val="false"/>
          <w:iCs w:val="false"/>
          <w:sz w:val="24"/>
          <w:szCs w:val="24"/>
        </w:rPr>
        <w:t xml:space="preserve">(7), 650–657. https://doi.org/10.1097/OPX.0b013e31829962ec</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Jackson, M. L., Raj, S., Croft, R. J., Hayley, A. C., Downey, L. A., Kennedy, G. A., &amp; Howard, M. E. (2016). Slow eyelid closure as a measure of driver drowsiness and its relationship to performance. </w:t>
      </w:r>
      <w:r>
        <w:rPr>
          <w:rFonts w:ascii="Times New Roman" w:cs="Times New Roman" w:eastAsia="Times New Roman" w:hAnsi="Times New Roman"/>
          <w:b w:val="false"/>
          <w:bCs w:val="false"/>
          <w:i/>
          <w:iCs/>
          <w:sz w:val="24"/>
          <w:szCs w:val="24"/>
        </w:rPr>
        <w:t xml:space="preserve">Traffic Injury Prevention</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17</w:t>
      </w:r>
      <w:r>
        <w:rPr>
          <w:rFonts w:ascii="Times New Roman" w:cs="Times New Roman" w:eastAsia="Times New Roman" w:hAnsi="Times New Roman"/>
          <w:b w:val="false"/>
          <w:bCs w:val="false"/>
          <w:i w:val="false"/>
          <w:iCs w:val="false"/>
          <w:sz w:val="24"/>
          <w:szCs w:val="24"/>
        </w:rPr>
        <w:t xml:space="preserve">(3), 251–257. https://doi.org/10.1080/15389588.2015.1055327</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Jiménez, R., Redondo, B., Molina, R., Martínez-Domingo, M. Á., Hernández-Andrés, J., &amp; Vera, J. (2020). Short-term effects of text-background color combinations on the dynamics of the accommodative response. </w:t>
      </w:r>
      <w:r>
        <w:rPr>
          <w:rFonts w:ascii="Times New Roman" w:cs="Times New Roman" w:eastAsia="Times New Roman" w:hAnsi="Times New Roman"/>
          <w:b w:val="false"/>
          <w:bCs w:val="false"/>
          <w:i/>
          <w:iCs/>
          <w:sz w:val="24"/>
          <w:szCs w:val="24"/>
        </w:rPr>
        <w:t xml:space="preserve">Vision Research</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166</w:t>
      </w:r>
      <w:r>
        <w:rPr>
          <w:rFonts w:ascii="Times New Roman" w:cs="Times New Roman" w:eastAsia="Times New Roman" w:hAnsi="Times New Roman"/>
          <w:b w:val="false"/>
          <w:bCs w:val="false"/>
          <w:i w:val="false"/>
          <w:iCs w:val="false"/>
          <w:sz w:val="24"/>
          <w:szCs w:val="24"/>
        </w:rPr>
        <w:t xml:space="preserve">, 33–42. https://doi.org/10.1016/j.visres.2019.11.006</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Kamøy, B., Magno, M., Nøland, S. T., Moe, M. C., Petrovski, G., Vehof, J., &amp; Utheim, T. P. (2022). Video display terminal use and dry eye: Preventive measures and future perspectives. </w:t>
      </w:r>
      <w:r>
        <w:rPr>
          <w:rFonts w:ascii="Times New Roman" w:cs="Times New Roman" w:eastAsia="Times New Roman" w:hAnsi="Times New Roman"/>
          <w:b w:val="false"/>
          <w:bCs w:val="false"/>
          <w:i/>
          <w:iCs/>
          <w:sz w:val="24"/>
          <w:szCs w:val="24"/>
        </w:rPr>
        <w:t xml:space="preserve">Acta Ophthalmologica</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100</w:t>
      </w:r>
      <w:r>
        <w:rPr>
          <w:rFonts w:ascii="Times New Roman" w:cs="Times New Roman" w:eastAsia="Times New Roman" w:hAnsi="Times New Roman"/>
          <w:b w:val="false"/>
          <w:bCs w:val="false"/>
          <w:i w:val="false"/>
          <w:iCs w:val="false"/>
          <w:sz w:val="24"/>
          <w:szCs w:val="24"/>
        </w:rPr>
        <w:t xml:space="preserve">(7), 723–739. https://doi.org/10.1111/aos.15105</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Kaur, K., Gurnani, B., Nayak, S., Deori, N., Kaur, S., Jethani, J., Singh, D., Agarkar, S., Hussaindeen, J. R., Sukhija, J., &amp; Mishra, D. (2022). Digital eye strain: A comprehensive review. </w:t>
      </w:r>
      <w:r>
        <w:rPr>
          <w:rFonts w:ascii="Times New Roman" w:cs="Times New Roman" w:eastAsia="Times New Roman" w:hAnsi="Times New Roman"/>
          <w:b w:val="false"/>
          <w:bCs w:val="false"/>
          <w:i/>
          <w:iCs/>
          <w:sz w:val="24"/>
          <w:szCs w:val="24"/>
        </w:rPr>
        <w:t xml:space="preserve">Ophthalmology and Therapy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11</w:t>
      </w:r>
      <w:r>
        <w:rPr>
          <w:rFonts w:ascii="Times New Roman" w:cs="Times New Roman" w:eastAsia="Times New Roman" w:hAnsi="Times New Roman"/>
          <w:b w:val="false"/>
          <w:bCs w:val="false"/>
          <w:i w:val="false"/>
          <w:iCs w:val="false"/>
          <w:sz w:val="24"/>
          <w:szCs w:val="24"/>
        </w:rPr>
        <w:t xml:space="preserve">(5), 1655–1680. https://doi.org/10.1007/s40123-022-00540-9</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Klinke, T., Hannak, W., Böning, K., &amp; Jakstat, H. (2024). A comparative study of the sensitivity and specificity of the Ishihara test with various displays. </w:t>
      </w:r>
      <w:r>
        <w:rPr>
          <w:rFonts w:ascii="Times New Roman" w:cs="Times New Roman" w:eastAsia="Times New Roman" w:hAnsi="Times New Roman"/>
          <w:b w:val="false"/>
          <w:bCs w:val="false"/>
          <w:i/>
          <w:iCs/>
          <w:sz w:val="24"/>
          <w:szCs w:val="24"/>
        </w:rPr>
        <w:t xml:space="preserve">International Dental Journal</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74</w:t>
      </w:r>
      <w:r>
        <w:rPr>
          <w:rFonts w:ascii="Times New Roman" w:cs="Times New Roman" w:eastAsia="Times New Roman" w:hAnsi="Times New Roman"/>
          <w:b w:val="false"/>
          <w:bCs w:val="false"/>
          <w:i w:val="false"/>
          <w:iCs w:val="false"/>
          <w:sz w:val="24"/>
          <w:szCs w:val="24"/>
        </w:rPr>
        <w:t xml:space="preserve">(4), 892–896. https://doi.org/10.1016/j.identj.2023.12.009</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Lin, C., Ji, Z., &amp; Lin, Y. (2024). Optimum display luminance and contrast polarity of desktop head-up display under office lighting level based on visual ergonomic study.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67</w:t>
      </w:r>
      <w:r>
        <w:rPr>
          <w:rFonts w:ascii="Times New Roman" w:cs="Times New Roman" w:eastAsia="Times New Roman" w:hAnsi="Times New Roman"/>
          <w:b w:val="false"/>
          <w:bCs w:val="false"/>
          <w:i w:val="false"/>
          <w:iCs w:val="false"/>
          <w:sz w:val="24"/>
          <w:szCs w:val="24"/>
        </w:rPr>
        <w:t xml:space="preserve">(11), 1491–1503. https://doi.org/10.1080/00140139.2024.2339439</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Mataftsi, A., Seliniotaki, A. K., Moutzouri, S., Prousali, E., Darusman, K. R., Adio, A. O., Haidich, A. B., &amp; Nischal, K. K. (2023). Digital eye strain in young screen users: A systematic review. </w:t>
      </w:r>
      <w:r>
        <w:rPr>
          <w:rFonts w:ascii="Times New Roman" w:cs="Times New Roman" w:eastAsia="Times New Roman" w:hAnsi="Times New Roman"/>
          <w:b w:val="false"/>
          <w:bCs w:val="false"/>
          <w:i/>
          <w:iCs/>
          <w:sz w:val="24"/>
          <w:szCs w:val="24"/>
        </w:rPr>
        <w:t xml:space="preserve">Preventive Medicine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170</w:t>
      </w:r>
      <w:r>
        <w:rPr>
          <w:rFonts w:ascii="Times New Roman" w:cs="Times New Roman" w:eastAsia="Times New Roman" w:hAnsi="Times New Roman"/>
          <w:b w:val="false"/>
          <w:bCs w:val="false"/>
          <w:i w:val="false"/>
          <w:iCs w:val="false"/>
          <w:sz w:val="24"/>
          <w:szCs w:val="24"/>
        </w:rPr>
        <w:t xml:space="preserve">, 107493. https://doi.org/10.1016/j.ypmed.2023.107493</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Piepenbrock, C., Mayr, S., &amp; Buchner, A. (2014a). Positive display polarity is particularly advantageous for small character sizes: Implications for display design. </w:t>
      </w:r>
      <w:r>
        <w:rPr>
          <w:rFonts w:ascii="Times New Roman" w:cs="Times New Roman" w:eastAsia="Times New Roman" w:hAnsi="Times New Roman"/>
          <w:b w:val="false"/>
          <w:bCs w:val="false"/>
          <w:i/>
          <w:iCs/>
          <w:sz w:val="24"/>
          <w:szCs w:val="24"/>
        </w:rPr>
        <w:t xml:space="preserve">Human Factors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56</w:t>
      </w:r>
      <w:r>
        <w:rPr>
          <w:rFonts w:ascii="Times New Roman" w:cs="Times New Roman" w:eastAsia="Times New Roman" w:hAnsi="Times New Roman"/>
          <w:b w:val="false"/>
          <w:bCs w:val="false"/>
          <w:i w:val="false"/>
          <w:iCs w:val="false"/>
          <w:sz w:val="24"/>
          <w:szCs w:val="24"/>
        </w:rPr>
        <w:t xml:space="preserve">(5), 942–951. https://doi.org/10.1177/0018720813515509</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Piepenbrock, C., Mayr, S., &amp; Buchner, A. (2014b). Smaller pupil size and better proofreading performance with positive than with negative polarity displays.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57</w:t>
      </w:r>
      <w:r>
        <w:rPr>
          <w:rFonts w:ascii="Times New Roman" w:cs="Times New Roman" w:eastAsia="Times New Roman" w:hAnsi="Times New Roman"/>
          <w:b w:val="false"/>
          <w:bCs w:val="false"/>
          <w:i w:val="false"/>
          <w:iCs w:val="false"/>
          <w:sz w:val="24"/>
          <w:szCs w:val="24"/>
        </w:rPr>
        <w:t xml:space="preserve">(11), 1670–1677. https://doi.org/10.1080/00140139.2014.948496</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Portello, J. K., Rosenfield, M., &amp; Chu, C. A. (2013). Blink rate, incomplete blinks and computer vision syndrome. </w:t>
      </w:r>
      <w:r>
        <w:rPr>
          <w:rFonts w:ascii="Times New Roman" w:cs="Times New Roman" w:eastAsia="Times New Roman" w:hAnsi="Times New Roman"/>
          <w:b w:val="false"/>
          <w:bCs w:val="false"/>
          <w:i/>
          <w:iCs/>
          <w:sz w:val="24"/>
          <w:szCs w:val="24"/>
        </w:rPr>
        <w:t xml:space="preserve">Optometry and Vision Science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90</w:t>
      </w:r>
      <w:r>
        <w:rPr>
          <w:rFonts w:ascii="Times New Roman" w:cs="Times New Roman" w:eastAsia="Times New Roman" w:hAnsi="Times New Roman"/>
          <w:b w:val="false"/>
          <w:bCs w:val="false"/>
          <w:i w:val="false"/>
          <w:iCs w:val="false"/>
          <w:sz w:val="24"/>
          <w:szCs w:val="24"/>
        </w:rPr>
        <w:t xml:space="preserve">(5), 482–487. https://doi.org/10.1097/OPX.0b013e31828f09a7</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Pucker, A. D., Kerr, A. M., Sanderson, J., &amp; Lievens, C. (2024). Digital eye strain: Updated perspectives. </w:t>
      </w:r>
      <w:r>
        <w:rPr>
          <w:rFonts w:ascii="Times New Roman" w:cs="Times New Roman" w:eastAsia="Times New Roman" w:hAnsi="Times New Roman"/>
          <w:b w:val="false"/>
          <w:bCs w:val="false"/>
          <w:i/>
          <w:iCs/>
          <w:sz w:val="24"/>
          <w:szCs w:val="24"/>
        </w:rPr>
        <w:t xml:space="preserve">Clinical Optometry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16</w:t>
      </w:r>
      <w:r>
        <w:rPr>
          <w:rFonts w:ascii="Times New Roman" w:cs="Times New Roman" w:eastAsia="Times New Roman" w:hAnsi="Times New Roman"/>
          <w:b w:val="false"/>
          <w:bCs w:val="false"/>
          <w:i w:val="false"/>
          <w:iCs w:val="false"/>
          <w:sz w:val="24"/>
          <w:szCs w:val="24"/>
        </w:rPr>
        <w:t xml:space="preserve">, 233–246. https://doi.org/10.2147/OPTO.S412382</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Redondo, B., Jiménez, R., Vera, J., &amp; Rosenfield, M. (2025). The impact of break schedules on digital eye strain symptoms and ocular accommodation during prolonged near work. </w:t>
      </w:r>
      <w:r>
        <w:rPr>
          <w:rFonts w:ascii="Times New Roman" w:cs="Times New Roman" w:eastAsia="Times New Roman" w:hAnsi="Times New Roman"/>
          <w:b w:val="false"/>
          <w:bCs w:val="false"/>
          <w:i/>
          <w:iCs/>
          <w:sz w:val="24"/>
          <w:szCs w:val="24"/>
        </w:rPr>
        <w:t xml:space="preserve">Experimental Eye Research</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258</w:t>
      </w:r>
      <w:r>
        <w:rPr>
          <w:rFonts w:ascii="Times New Roman" w:cs="Times New Roman" w:eastAsia="Times New Roman" w:hAnsi="Times New Roman"/>
          <w:b w:val="false"/>
          <w:bCs w:val="false"/>
          <w:i w:val="false"/>
          <w:iCs w:val="false"/>
          <w:sz w:val="24"/>
          <w:szCs w:val="24"/>
        </w:rPr>
        <w:t xml:space="preserve">, 110463. https://doi.org/10.1016/j.exer.2025.110463</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Seguí, M. del M., Cabrero-García, J., Crespo, A., Verdú, J., &amp; Ronda, E. (2015). A reliable and valid questionnaire was developed to measure computer vision syndrome at the workplace. </w:t>
      </w:r>
      <w:r>
        <w:rPr>
          <w:rFonts w:ascii="Times New Roman" w:cs="Times New Roman" w:eastAsia="Times New Roman" w:hAnsi="Times New Roman"/>
          <w:b w:val="false"/>
          <w:bCs w:val="false"/>
          <w:i/>
          <w:iCs/>
          <w:sz w:val="24"/>
          <w:szCs w:val="24"/>
        </w:rPr>
        <w:t xml:space="preserve">Journal of Clinical Epidemiology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68</w:t>
      </w:r>
      <w:r>
        <w:rPr>
          <w:rFonts w:ascii="Times New Roman" w:cs="Times New Roman" w:eastAsia="Times New Roman" w:hAnsi="Times New Roman"/>
          <w:b w:val="false"/>
          <w:bCs w:val="false"/>
          <w:i w:val="false"/>
          <w:iCs w:val="false"/>
          <w:sz w:val="24"/>
          <w:szCs w:val="24"/>
        </w:rPr>
        <w:t xml:space="preserve">(6), 662–673. https://doi.org/10.1016/j.jclinepi.2015.01.015</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Sethi, T., &amp; Ziat, M. (2023). Dark mode vogue: Do light-on-dark displays have measurable benefits to users?.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66</w:t>
      </w:r>
      <w:r>
        <w:rPr>
          <w:rFonts w:ascii="Times New Roman" w:cs="Times New Roman" w:eastAsia="Times New Roman" w:hAnsi="Times New Roman"/>
          <w:b w:val="false"/>
          <w:bCs w:val="false"/>
          <w:i w:val="false"/>
          <w:iCs w:val="false"/>
          <w:sz w:val="24"/>
          <w:szCs w:val="24"/>
        </w:rPr>
        <w:t xml:space="preserve">(12), 1814–1828. https://doi.org/10.1080/00140139.2022.2160879</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Sheppard, A. L., &amp; Wolffsohn, J. S. (2018). Digital eye strain: Prevalence, measurement and amelioration. </w:t>
      </w:r>
      <w:r>
        <w:rPr>
          <w:rFonts w:ascii="Times New Roman" w:cs="Times New Roman" w:eastAsia="Times New Roman" w:hAnsi="Times New Roman"/>
          <w:b w:val="false"/>
          <w:bCs w:val="false"/>
          <w:i/>
          <w:iCs/>
          <w:sz w:val="24"/>
          <w:szCs w:val="24"/>
        </w:rPr>
        <w:t xml:space="preserve">BMJ Open Ophthalmology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3</w:t>
      </w:r>
      <w:r>
        <w:rPr>
          <w:rFonts w:ascii="Times New Roman" w:cs="Times New Roman" w:eastAsia="Times New Roman" w:hAnsi="Times New Roman"/>
          <w:b w:val="false"/>
          <w:bCs w:val="false"/>
          <w:i w:val="false"/>
          <w:iCs w:val="false"/>
          <w:sz w:val="24"/>
          <w:szCs w:val="24"/>
        </w:rPr>
        <w:t xml:space="preserve">(1), e000146. https://doi.org/10.1136/bmjophth-2018-000146</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Singh, S., McGuinness, M. B., Anderson, A. J., &amp; Downie, L. E. (2022). Interventions for the management of computer vision syndrome: A systematic review and meta-analysis. </w:t>
      </w:r>
      <w:r>
        <w:rPr>
          <w:rFonts w:ascii="Times New Roman" w:cs="Times New Roman" w:eastAsia="Times New Roman" w:hAnsi="Times New Roman"/>
          <w:b w:val="false"/>
          <w:bCs w:val="false"/>
          <w:i/>
          <w:iCs/>
          <w:sz w:val="24"/>
          <w:szCs w:val="24"/>
        </w:rPr>
        <w:t xml:space="preserve">Ophthalmology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129</w:t>
      </w:r>
      <w:r>
        <w:rPr>
          <w:rFonts w:ascii="Times New Roman" w:cs="Times New Roman" w:eastAsia="Times New Roman" w:hAnsi="Times New Roman"/>
          <w:b w:val="false"/>
          <w:bCs w:val="false"/>
          <w:i w:val="false"/>
          <w:iCs w:val="false"/>
          <w:sz w:val="24"/>
          <w:szCs w:val="24"/>
        </w:rPr>
        <w:t xml:space="preserve">(10), 1192–1215. https://doi.org/10.1016/j.ophtha.2022.05.009</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Soukupová, T., &amp; Čech, J. (2016). Real-time eye blink detection using facial landmarks. In </w:t>
      </w:r>
      <w:r>
        <w:rPr>
          <w:rFonts w:ascii="Times New Roman" w:cs="Times New Roman" w:eastAsia="Times New Roman" w:hAnsi="Times New Roman"/>
          <w:b w:val="false"/>
          <w:bCs w:val="false"/>
          <w:i/>
          <w:iCs/>
          <w:sz w:val="24"/>
          <w:szCs w:val="24"/>
        </w:rPr>
        <w:t xml:space="preserve">Proceedings of the 21st Computer Vision Winter Workshop</w:t>
      </w:r>
      <w:r>
        <w:rPr>
          <w:rFonts w:ascii="Times New Roman" w:cs="Times New Roman" w:eastAsia="Times New Roman" w:hAnsi="Times New Roman"/>
          <w:b w:val="false"/>
          <w:bCs w:val="false"/>
          <w:i w:val="false"/>
          <w:iCs w:val="false"/>
          <w:sz w:val="24"/>
          <w:szCs w:val="24"/>
        </w:rPr>
        <w:t xml:space="preserve"> (pp. 1–8). Rimske Toplice, Slovenia.</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Tian, P., Xu, G., Han, C., Zheng, X., Zhang, K., Du, C., Wei, F., &amp; Zhang, S. (2022). Effects of paradigm color and screen brightness on visual fatigue in light environment of night based on eye tracker and EEG acquisition equipment. </w:t>
      </w:r>
      <w:r>
        <w:rPr>
          <w:rFonts w:ascii="Times New Roman" w:cs="Times New Roman" w:eastAsia="Times New Roman" w:hAnsi="Times New Roman"/>
          <w:b w:val="false"/>
          <w:bCs w:val="false"/>
          <w:i/>
          <w:iCs/>
          <w:sz w:val="24"/>
          <w:szCs w:val="24"/>
        </w:rPr>
        <w:t xml:space="preserve">Sensors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22</w:t>
      </w:r>
      <w:r>
        <w:rPr>
          <w:rFonts w:ascii="Times New Roman" w:cs="Times New Roman" w:eastAsia="Times New Roman" w:hAnsi="Times New Roman"/>
          <w:b w:val="false"/>
          <w:bCs w:val="false"/>
          <w:i w:val="false"/>
          <w:iCs w:val="false"/>
          <w:sz w:val="24"/>
          <w:szCs w:val="24"/>
        </w:rPr>
        <w:t xml:space="preserve">(11), 4082. https://doi.org/10.3390/s22114082</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Warm, J. S., Parasuraman, R., &amp; Matthews, G. (2008). Vigilance requires hard mental work and is stressful. </w:t>
      </w:r>
      <w:r>
        <w:rPr>
          <w:rFonts w:ascii="Times New Roman" w:cs="Times New Roman" w:eastAsia="Times New Roman" w:hAnsi="Times New Roman"/>
          <w:b w:val="false"/>
          <w:bCs w:val="false"/>
          <w:i/>
          <w:iCs/>
          <w:sz w:val="24"/>
          <w:szCs w:val="24"/>
        </w:rPr>
        <w:t xml:space="preserve">Human Factors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50</w:t>
      </w:r>
      <w:r>
        <w:rPr>
          <w:rFonts w:ascii="Times New Roman" w:cs="Times New Roman" w:eastAsia="Times New Roman" w:hAnsi="Times New Roman"/>
          <w:b w:val="false"/>
          <w:bCs w:val="false"/>
          <w:i w:val="false"/>
          <w:iCs w:val="false"/>
          <w:sz w:val="24"/>
          <w:szCs w:val="24"/>
        </w:rPr>
        <w:t xml:space="preserve">(3), 433–441. https://doi.org/10.1518/001872008X312152</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World Wide Web Consortium. (2023). Web content accessibility guidelines (WCAG) 2.2. https://www.w3.org/TR/WCAG22/</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Xie, X., Song, F., Liu, Y., Wang, S., &amp; Yu, D. (2021). Study on the effects of display color mode and luminance contrast on visual fatigue. </w:t>
      </w:r>
      <w:r>
        <w:rPr>
          <w:rFonts w:ascii="Times New Roman" w:cs="Times New Roman" w:eastAsia="Times New Roman" w:hAnsi="Times New Roman"/>
          <w:b w:val="false"/>
          <w:bCs w:val="false"/>
          <w:i/>
          <w:iCs/>
          <w:sz w:val="24"/>
          <w:szCs w:val="24"/>
        </w:rPr>
        <w:t xml:space="preserve">IEEE Access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9</w:t>
      </w:r>
      <w:r>
        <w:rPr>
          <w:rFonts w:ascii="Times New Roman" w:cs="Times New Roman" w:eastAsia="Times New Roman" w:hAnsi="Times New Roman"/>
          <w:b w:val="false"/>
          <w:bCs w:val="false"/>
          <w:i w:val="false"/>
          <w:iCs w:val="false"/>
          <w:sz w:val="24"/>
          <w:szCs w:val="24"/>
        </w:rPr>
        <w:t xml:space="preserve">, 35915–35923. https://doi.org/10.1109/ACCESS.2021.3061770</w:t>
      </w:r>
    </w:p>
    <w:p>
      <w:pPr>
        <w:pBdr>
          <w:bottom w:val="single" w:color="AAAAAA" w:sz="6" w:space="1"/>
        </w:pBdr>
        <w:spacing w:after="40" w:before="0"/>
      </w:pPr>
      <w:r>
        <w:rPr>
          <w:rFonts w:ascii="Times New Roman" w:cs="Times New Roman" w:eastAsia="Times New Roman" w:hAnsi="Times New Roman"/>
          <w:sz w:val="24"/>
          <w:szCs w:val="24"/>
        </w:rPr>
        <w:t xml:space="preserve"/>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Date: ……………………………                     Signature of Scholar</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Signature of Supervisor                              Signature of Supervisor</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Seal                                                              Seal</w:t>
      </w:r>
    </w:p>
    <w:sectPr>
      <w:pgSz w:w="11906" w:h="16838" w:orient="portrait"/>
      <w:pgMar w:top="1440" w:right="1134" w:bottom="1440"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40" w:before="140" w:line="36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40" w:before="100" w:line="360"/>
    </w:pPr>
    <w:rPr>
      <w:rFonts w:ascii="Times New Roman" w:cs="Times New Roman" w:eastAsia="Times New Roman" w:hAnsi="Times New Roman"/>
      <w:b/>
      <w:bCs/>
      <w:color w:val="000000"/>
      <w:sz w:val="27"/>
      <w:szCs w:val="27"/>
    </w:rPr>
  </w:style>
  <w:style w:type="paragraph" w:styleId="Heading3">
    <w:name w:val="Heading 3"/>
    <w:basedOn w:val="Normal"/>
    <w:next w:val="Normal"/>
    <w:qFormat/>
    <w:pPr>
      <w:spacing w:after="40" w:before="100" w:line="360"/>
    </w:pPr>
    <w:rPr>
      <w:rFonts w:ascii="Times New Roman" w:cs="Times New Roman" w:eastAsia="Times New Roman" w:hAnsi="Times New Roman"/>
      <w:b/>
      <w:bCs/>
      <w:color w:val="000000"/>
      <w:sz w:val="25"/>
      <w:szCs w:val="25"/>
    </w:rPr>
  </w:style>
  <w:style w:type="paragraph" w:styleId="Heading4">
    <w:name w:val="Heading 4"/>
    <w:basedOn w:val="Normal"/>
    <w:next w:val="Normal"/>
    <w:qFormat/>
    <w:pPr>
      <w:spacing w:after="40" w:before="100" w:line="360"/>
    </w:pPr>
    <w:rPr>
      <w:rFonts w:ascii="Times New Roman" w:cs="Times New Roman" w:eastAsia="Times New Roman" w:hAnsi="Times New Roman"/>
      <w:b/>
      <w:bCs/>
      <w:i/>
      <w:iCs/>
      <w:color w:val="000000"/>
      <w:sz w:val="24"/>
      <w:szCs w:val="24"/>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Ergonomics of Visual Perception — PhD Synopsis</dc:title>
  <dc:creator>Gyandeep Nath</dc:creator>
  <dc:description>PhD synopsis submitted to Assam down town University</dc:description>
  <cp:lastModifiedBy>Un-named</cp:lastModifiedBy>
  <cp:revision>1</cp:revision>
  <dcterms:created xsi:type="dcterms:W3CDTF">2026-08-27T12:21:26.468Z</dcterms:created>
  <dcterms:modified xsi:type="dcterms:W3CDTF">2026-08-27T12:21:26.468Z</dcterms:modified>
</cp:coreProperties>
</file>

<file path=docProps/custom.xml><?xml version="1.0" encoding="utf-8"?>
<Properties xmlns="http://schemas.openxmlformats.org/officeDocument/2006/custom-properties" xmlns:vt="http://schemas.openxmlformats.org/officeDocument/2006/docPropsVTypes"/>
</file>