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line="360"/>
        <w:jc w:val="center"/>
      </w:pPr>
      <w:r>
        <w:rPr>
          <w:rFonts w:ascii="Times New Roman" w:cs="Times New Roman" w:eastAsia="Times New Roman" w:hAnsi="Times New Roman"/>
          <w:b/>
          <w:bCs/>
          <w:i w:val="false"/>
          <w:iCs w:val="false"/>
          <w:sz w:val="28"/>
          <w:szCs w:val="28"/>
        </w:rPr>
        <w:t xml:space="preserve">ERGONOMICS OF VISUAL PERCEPTION: EFFECTS OF DISPLAY POLARITY, TEXT COLOUR AND AMBIENT ILLUMINATION ON VISUAL FATIGUE, OCULAR BEHAVIOUR AND TASK PERFORMANCE</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A Synopsis Submitted in Partial Fulfilment of the Requirements for the</w:t>
      </w:r>
    </w:p>
    <w:p>
      <w:pPr>
        <w:spacing w:after="200" w:before="200" w:line="360"/>
        <w:jc w:val="center"/>
      </w:pPr>
      <w:r>
        <w:rPr>
          <w:rFonts w:ascii="Times New Roman" w:cs="Times New Roman" w:eastAsia="Times New Roman" w:hAnsi="Times New Roman"/>
          <w:b/>
          <w:bCs/>
          <w:i w:val="false"/>
          <w:iCs w:val="false"/>
          <w:sz w:val="24"/>
          <w:szCs w:val="24"/>
        </w:rPr>
        <w:t xml:space="preserve">DEGREE OF DOCTOR OF PHILOSOPHY</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in</w:t>
      </w:r>
    </w:p>
    <w:p>
      <w:pPr>
        <w:spacing w:after="200" w:before="200" w:line="360"/>
        <w:jc w:val="center"/>
      </w:pPr>
      <w:r>
        <w:rPr>
          <w:rFonts w:ascii="Times New Roman" w:cs="Times New Roman" w:eastAsia="Times New Roman" w:hAnsi="Times New Roman"/>
          <w:b/>
          <w:bCs/>
          <w:i w:val="false"/>
          <w:iCs w:val="false"/>
          <w:sz w:val="24"/>
          <w:szCs w:val="24"/>
        </w:rPr>
        <w:t xml:space="preserve">OPTOMETRY</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By</w:t>
      </w:r>
    </w:p>
    <w:p>
      <w:pPr>
        <w:spacing w:after="200" w:before="200" w:line="360"/>
        <w:jc w:val="center"/>
      </w:pPr>
      <w:r>
        <w:rPr>
          <w:rFonts w:ascii="Times New Roman" w:cs="Times New Roman" w:eastAsia="Times New Roman" w:hAnsi="Times New Roman"/>
          <w:b/>
          <w:bCs/>
          <w:i w:val="false"/>
          <w:iCs w:val="false"/>
          <w:sz w:val="24"/>
          <w:szCs w:val="24"/>
        </w:rPr>
        <w:t xml:space="preserve">GYANDEEP NATH</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Registration No. ………………………………………</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Assam down town University</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Panikhaiti, Guwahati-781026, Assam, India</w:t>
      </w:r>
    </w:p>
    <w:p>
      <w:pPr>
        <w:spacing w:after="200" w:before="200" w:line="360"/>
        <w:jc w:val="center"/>
      </w:pPr>
      <w:r>
        <w:rPr>
          <w:rFonts w:ascii="Times New Roman" w:cs="Times New Roman" w:eastAsia="Times New Roman" w:hAnsi="Times New Roman"/>
          <w:b w:val="false"/>
          <w:bCs w:val="false"/>
          <w:i w:val="false"/>
          <w:iCs w:val="false"/>
          <w:sz w:val="24"/>
          <w:szCs w:val="24"/>
        </w:rPr>
        <w:t xml:space="preserve">……………</w:t>
      </w:r>
    </w:p>
    <w:p>
      <w:r>
        <w:br w:type="page"/>
      </w:r>
    </w:p>
    <w:p>
      <w:pPr>
        <w:spacing w:after="160" w:before="160" w:line="360"/>
      </w:pPr>
      <w:r>
        <w:rPr>
          <w:rFonts w:ascii="Times New Roman" w:cs="Times New Roman" w:eastAsia="Times New Roman" w:hAnsi="Times New Roman"/>
          <w:b w:val="false"/>
          <w:bCs w:val="false"/>
          <w:i w:val="false"/>
          <w:iCs w:val="false"/>
          <w:sz w:val="24"/>
          <w:szCs w:val="24"/>
        </w:rPr>
        <w:t xml:space="preserve">Name of the Scholar : Gyandeep Nath</w:t>
      </w:r>
    </w:p>
    <w:p>
      <w:pPr>
        <w:spacing w:after="160" w:before="160" w:line="360"/>
      </w:pPr>
      <w:r>
        <w:rPr>
          <w:rFonts w:ascii="Times New Roman" w:cs="Times New Roman" w:eastAsia="Times New Roman" w:hAnsi="Times New Roman"/>
          <w:b w:val="false"/>
          <w:bCs w:val="false"/>
          <w:i w:val="false"/>
          <w:iCs w:val="false"/>
          <w:sz w:val="24"/>
          <w:szCs w:val="24"/>
        </w:rPr>
        <w:t xml:space="preserve">Faculty of Study : Faculty of Allied and Healthcare Sciences</w:t>
      </w:r>
    </w:p>
    <w:p>
      <w:pPr>
        <w:spacing w:after="160" w:before="160" w:line="360"/>
      </w:pPr>
      <w:r>
        <w:rPr>
          <w:rFonts w:ascii="Times New Roman" w:cs="Times New Roman" w:eastAsia="Times New Roman" w:hAnsi="Times New Roman"/>
          <w:b w:val="false"/>
          <w:bCs w:val="false"/>
          <w:i w:val="false"/>
          <w:iCs w:val="false"/>
          <w:sz w:val="24"/>
          <w:szCs w:val="24"/>
        </w:rPr>
        <w:t xml:space="preserve">Department/Discipline : Optometry</w:t>
      </w:r>
    </w:p>
    <w:p>
      <w:pPr>
        <w:spacing w:after="160" w:before="160" w:line="360"/>
      </w:pPr>
      <w:r>
        <w:rPr>
          <w:rFonts w:ascii="Times New Roman" w:cs="Times New Roman" w:eastAsia="Times New Roman" w:hAnsi="Times New Roman"/>
          <w:b w:val="false"/>
          <w:bCs w:val="false"/>
          <w:i w:val="false"/>
          <w:iCs w:val="false"/>
          <w:sz w:val="24"/>
          <w:szCs w:val="24"/>
        </w:rPr>
        <w:t xml:space="preserve">Batch/session : …………………………………………………</w:t>
      </w:r>
    </w:p>
    <w:p>
      <w:pPr>
        <w:spacing w:after="160" w:before="160" w:line="360"/>
      </w:pPr>
      <w:r>
        <w:rPr>
          <w:rFonts w:ascii="Times New Roman" w:cs="Times New Roman" w:eastAsia="Times New Roman" w:hAnsi="Times New Roman"/>
          <w:b w:val="false"/>
          <w:bCs w:val="false"/>
          <w:i w:val="false"/>
          <w:iCs w:val="false"/>
          <w:sz w:val="24"/>
          <w:szCs w:val="24"/>
        </w:rPr>
        <w:t xml:space="preserve">Name of Supervisor (from AdtU) &amp; affiliation:</w:t>
      </w:r>
    </w:p>
    <w:p>
      <w:pPr>
        <w:spacing w:after="160" w:before="160" w:line="360"/>
      </w:pPr>
      <w:r>
        <w:rPr>
          <w:rFonts w:ascii="Times New Roman" w:cs="Times New Roman" w:eastAsia="Times New Roman" w:hAnsi="Times New Roman"/>
          <w:b w:val="false"/>
          <w:bCs w:val="false"/>
          <w:i w:val="false"/>
          <w:iCs w:val="false"/>
          <w:sz w:val="24"/>
          <w:szCs w:val="24"/>
        </w:rPr>
        <w:t xml:space="preserve">……………………………………………………………………………….</w:t>
      </w:r>
    </w:p>
    <w:p>
      <w:pPr>
        <w:spacing w:after="160" w:before="160" w:line="360"/>
      </w:pPr>
      <w:r>
        <w:rPr>
          <w:rFonts w:ascii="Times New Roman" w:cs="Times New Roman" w:eastAsia="Times New Roman" w:hAnsi="Times New Roman"/>
          <w:b w:val="false"/>
          <w:bCs w:val="false"/>
          <w:i w:val="false"/>
          <w:iCs w:val="false"/>
          <w:sz w:val="24"/>
          <w:szCs w:val="24"/>
        </w:rPr>
        <w:t xml:space="preserve">……………………………………………………………………………….</w:t>
      </w:r>
    </w:p>
    <w:p>
      <w:pPr>
        <w:spacing w:after="160" w:before="160" w:line="360"/>
      </w:pPr>
      <w:r>
        <w:rPr>
          <w:rFonts w:ascii="Times New Roman" w:cs="Times New Roman" w:eastAsia="Times New Roman" w:hAnsi="Times New Roman"/>
          <w:b w:val="false"/>
          <w:bCs w:val="false"/>
          <w:i w:val="false"/>
          <w:iCs w:val="false"/>
          <w:sz w:val="24"/>
          <w:szCs w:val="24"/>
        </w:rPr>
        <w:t xml:space="preserve">Name of Supervisor &amp; affiliation:</w:t>
      </w:r>
    </w:p>
    <w:p>
      <w:pPr>
        <w:spacing w:after="160" w:before="160" w:line="360"/>
      </w:pPr>
      <w:r>
        <w:rPr>
          <w:rFonts w:ascii="Times New Roman" w:cs="Times New Roman" w:eastAsia="Times New Roman" w:hAnsi="Times New Roman"/>
          <w:b w:val="false"/>
          <w:bCs w:val="false"/>
          <w:i w:val="false"/>
          <w:iCs w:val="false"/>
          <w:sz w:val="24"/>
          <w:szCs w:val="24"/>
        </w:rPr>
        <w:t xml:space="preserve">……………………………………………………………………………….</w:t>
      </w:r>
    </w:p>
    <w:p>
      <w:pPr>
        <w:spacing w:after="160" w:before="160" w:line="360"/>
      </w:pPr>
      <w:r>
        <w:rPr>
          <w:rFonts w:ascii="Times New Roman" w:cs="Times New Roman" w:eastAsia="Times New Roman" w:hAnsi="Times New Roman"/>
          <w:b w:val="false"/>
          <w:bCs w:val="false"/>
          <w:i w:val="false"/>
          <w:iCs w:val="false"/>
          <w:sz w:val="24"/>
          <w:szCs w:val="24"/>
        </w:rPr>
        <w:t xml:space="preserve">……………………………………………………………………………….</w:t>
      </w:r>
    </w:p>
    <w:p>
      <w:r>
        <w:br w:type="page"/>
      </w:r>
    </w:p>
    <w:p>
      <w:pPr>
        <w:pStyle w:val="Heading1"/>
        <w:keepNext/>
        <w:spacing w:after="40" w:before="140" w:line="360"/>
        <w:jc w:val="center"/>
      </w:pPr>
      <w:r>
        <w:rPr>
          <w:rFonts w:ascii="Times New Roman" w:cs="Times New Roman" w:eastAsia="Times New Roman" w:hAnsi="Times New Roman"/>
          <w:b/>
          <w:bCs/>
          <w:i w:val="false"/>
          <w:iCs w:val="false"/>
          <w:sz w:val="30"/>
          <w:szCs w:val="30"/>
        </w:rPr>
        <w:t xml:space="preserve">CHAPTER 1: INTRODUCTION</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1.1 Background</w:t>
      </w:r>
    </w:p>
    <w:p>
      <w:pPr>
        <w:spacing w:after="0" w:line="360"/>
        <w:jc w:val="both"/>
      </w:pPr>
      <w:r>
        <w:rPr>
          <w:rFonts w:ascii="Times New Roman" w:cs="Times New Roman" w:eastAsia="Times New Roman" w:hAnsi="Times New Roman"/>
          <w:b w:val="false"/>
          <w:bCs w:val="false"/>
          <w:i w:val="false"/>
          <w:iCs w:val="false"/>
          <w:sz w:val="24"/>
          <w:szCs w:val="24"/>
        </w:rPr>
        <w:t xml:space="preserve">Reading has moved off paper and onto screens. Tablets in particular now serve for study, work and leisure reading, often for several unbroken hours. A printed page reflects whatever light falls on it and cannot be altered once it leaves the press. A screen emits its own light, and almost every property of what it shows can be changed in software. Three of those properties are manipulated in this study, and a fourth governs all three.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Display polarity describes which of the two elements is lighter. Positive polarity places dark text on a light background, the arrangement of a printed book; negative polarity places light text on a dark background and is known popularly as dark mode. Text colour, or chromaticity, is the hue of the letters, which need not be black or white. Ambient illumination is the light of the room in which the screen is read. Governing all three is luminance contrast, the difference in brightness between letters and background. Luminance contrast determines whether text can be resolved comfortably, and it is not the same thing as colour difference: two hues may look very different from one another and still be difficult to read in combination.</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Designers set these properties when they build an application, and users reset them every time they switch a theme. The choices are therefore made at very large scale, yet the evidence on what combinations of them do during prolonged reading is thin.</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Prolonged screen reading carries a recognised pattern of discomfort. The eyes feel dry, tired, sore or gritty; vision blurs or takes a moment to refocus after looking up; headache and neck or shoulder ache follow long sessions. Where these complaints occur together and can be attributed to display use, they are grouped under one label. Two names remain in circulation for the same entity, computer vision syndrome and digital eye strain. This document uses digital eye strain for the condition, reserving computer vision syndrome for places where the source literature or a named instrument uses it.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condition is common. A systematic review and meta-analysis of 103 cross-sectional studies covering 66,577 participants placed pooled prevalence at 69.0 per cent (95% CI 62.3 to 75.3), rising to 76.1 per cent among university students, with individual estimates spanning 12.1 to 97.3 per cent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That spread is itself informative, since case definitions across the primary studies are not standardised.</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1.2 Biophysiological basis</w:t>
      </w:r>
    </w:p>
    <w:p>
      <w:pPr>
        <w:spacing w:after="0" w:line="360"/>
        <w:jc w:val="both"/>
      </w:pPr>
      <w:r>
        <w:rPr>
          <w:rFonts w:ascii="Times New Roman" w:cs="Times New Roman" w:eastAsia="Times New Roman" w:hAnsi="Times New Roman"/>
          <w:b w:val="false"/>
          <w:bCs w:val="false"/>
          <w:i w:val="false"/>
          <w:iCs w:val="false"/>
          <w:sz w:val="24"/>
          <w:szCs w:val="24"/>
        </w:rPr>
        <w:t xml:space="preserve">Not all of these symptoms arise the same way, and separating them is what makes them measurable. Two mechanisms are involved (Sheppard &amp; Wolffsohn, 2018).</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first is a matter of focusing. Reading at arm's length requires the lens of the eye to change shape, which is accommodation, while both eyes turn inward so that the two images fuse, which is vergence. Sustaining either for long is effortful. The accumulated effort shows up as difficulty focusing, blurred vision, near-work-induced transient myopia and headache.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second concerns the ocular surface, kept smooth by a thin tear film that is renewed whenever the eyelids close fully. Where that renewal is interrupted the surface dries, producing dryness, burning and irritation. This second mechanism is the one the present study measures most directly.</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 blink spreads fresh tear fluid across the surface and draws an oily secretion from the lid margins over the top of it, slowing evaporation. Concentrated screen work interferes with both actions. It lowers how often people blink, and it raises the proportion of blinks in which the lids approach one another without meeting. Blinks of that kind are termed incomplete. An incomplete blink leaves part of the surface unwetted, so the tear film breaks up sooner and the surface enters the inflammatory cycle of dry eye disease (K.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For that reason the completeness of blinking, rather than its frequency, is the ocular measure treated here as primary. A review of the candidate mechanisms attributes display-associated dry eye principally to impaired blinking and finds insufficient support for parasympathetic or blue-light contributions (K.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accommodative route does respond measurably to display parameters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Redondo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but the present study does not measure accommodative responses directly. That pathway is reviewed as mechanistic context and is not tested.</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1.3 The three display properties under study</w:t>
      </w:r>
    </w:p>
    <w:p>
      <w:pPr>
        <w:spacing w:after="0" w:line="360"/>
        <w:jc w:val="both"/>
      </w:pPr>
      <w:r>
        <w:rPr>
          <w:rFonts w:ascii="Times New Roman" w:cs="Times New Roman" w:eastAsia="Times New Roman" w:hAnsi="Times New Roman"/>
          <w:b w:val="false"/>
          <w:bCs w:val="false"/>
          <w:i w:val="false"/>
          <w:iCs w:val="false"/>
          <w:sz w:val="24"/>
          <w:szCs w:val="24"/>
        </w:rPr>
        <w:t xml:space="preserve">Having defined the display properties in Section 1.1 and the two symptom mechanisms in Section 1.2, the question that follows is how the former act on the latter. Chapter 2 examines the evidence for each in turn; what follows here is the shape of the argument.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most reliably replicated finding concerns polarity and is known as the positive polarity advantage: reading is better for dark text on a light field than for light text on a dark one. The accepted explanation runs through the pupil. A positive-polarity screen is mostly white and so emits more light; the pupil constricts in response; a smaller pupil admits light through the optically cleaner centre of the lens and holds a wider range of distances in focus; and the retinal image is sharper as a result (Buchner &amp; Baumgartner, 2007; Piepenbrock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2014a, 2014b). On this account the advantage is a matter of how much light the screen puts out, not of colour preference.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Text colour has attracted far less attention, and no located study has evaluated it in combination with polarity while measuring fatigue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Any manipulation of text colour is also a manipulation of luminance contrast, because chromatic pigments differ intrinsically in relative luminance and because chromatic contrast cannot substitute for luminance contrast (Buchner &amp; Baumgartner, 2007). An apparent effect of colour may therefore be an effect of contrast unless the two are measured apart. Ambient light adds veiling luminance and drives pupil size independently of the display, so it acts on the same mechanism from the other side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w:t>
      </w:r>
    </w:p>
    <w:p>
      <w:pPr>
        <w:pBdr>
          <w:bottom w:val="single" w:color="AAAAAA" w:sz="6" w:space="1"/>
        </w:pBdr>
        <w:spacing w:after="40" w:before="0"/>
      </w:pPr>
      <w:r>
        <w:rPr>
          <w:rFonts w:ascii="Times New Roman" w:cs="Times New Roman" w:eastAsia="Times New Roman" w:hAnsi="Times New Roman"/>
          <w:sz w:val="24"/>
          <w:szCs w:val="24"/>
        </w:rPr>
        <w:t xml:space="preserve"/>
      </w:r>
    </w:p>
    <w:p>
      <w:pPr>
        <w:pStyle w:val="Heading1"/>
        <w:keepNext/>
        <w:spacing w:after="40" w:before="140" w:line="360"/>
        <w:jc w:val="center"/>
      </w:pPr>
      <w:r>
        <w:rPr>
          <w:rFonts w:ascii="Times New Roman" w:cs="Times New Roman" w:eastAsia="Times New Roman" w:hAnsi="Times New Roman"/>
          <w:b/>
          <w:bCs/>
          <w:i w:val="false"/>
          <w:iCs w:val="false"/>
          <w:sz w:val="30"/>
          <w:szCs w:val="30"/>
        </w:rPr>
        <w:t xml:space="preserve">CHAPTER 2: REVIEW OF LITERATURE</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2.1 Burden, risk factors and measurement</w:t>
      </w:r>
    </w:p>
    <w:p>
      <w:pPr>
        <w:spacing w:after="0" w:line="360"/>
        <w:jc w:val="both"/>
      </w:pPr>
      <w:r>
        <w:rPr>
          <w:rFonts w:ascii="Times New Roman" w:cs="Times New Roman" w:eastAsia="Times New Roman" w:hAnsi="Times New Roman"/>
          <w:b w:val="false"/>
          <w:bCs w:val="false"/>
          <w:i w:val="false"/>
          <w:iCs w:val="false"/>
          <w:sz w:val="24"/>
          <w:szCs w:val="24"/>
        </w:rPr>
        <w:t xml:space="preserve">The pooled prevalence of 69.0 per cent quoted in Chapter 1 conceals considerable heterogeneity, part of which is traceable to inconsistent case definition. Prevalence was higher in studies that did not use the Computer Vision Syndrome Questionnaire, at 75.4 per cent, which suggests that ad hoc symptom checklists inflate the figure and that a validated instrument with a defined cut-off is the safer choice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Among display users specifically, definite or probable dry eye disease has been reported between 26 and 70 per cent, with as little as one to two hours of daily exposure already showing an association (H.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 comprehensive review covering the same period records pre-pandemic estimates spanning 5 to 65 per cent and reports that prevalence among children rose to 50 to 60 per cent once digital learning became the norm, with recent-onset esotropia and vergence anomalies entering the symptom spectrum alongside the established ocular complaints (Kaur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Reviews converge on a familiar list of risk factors: exposure beyond four to five hours daily, uncorrected refractive error, accommodative and vergence anomalies, altered blinking, close working distance, small font size, adverse lighting and contact-lens wear (Mataftsi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Pucker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Sheppard &amp; Wolffsohn, 2018). Preventive measures that act at different points of the dry-eye cycle may be complementary rather than competing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2.2 Display polarity, text colour and ambient illumination</w:t>
      </w:r>
    </w:p>
    <w:p>
      <w:pPr>
        <w:spacing w:after="0" w:line="360"/>
        <w:jc w:val="both"/>
      </w:pPr>
      <w:r>
        <w:rPr>
          <w:rFonts w:ascii="Times New Roman" w:cs="Times New Roman" w:eastAsia="Times New Roman" w:hAnsi="Times New Roman"/>
          <w:b w:val="false"/>
          <w:bCs w:val="false"/>
          <w:i w:val="false"/>
          <w:iCs w:val="false"/>
          <w:sz w:val="24"/>
          <w:szCs w:val="24"/>
        </w:rPr>
        <w:t xml:space="preserve">The three properties manipulated in this study have been investigated to very unequal depths. Table 2.1 sets out the studies that manipulated at least one of them, and four statements can be drawn from that body of work. In the table, findings are marked primary where they bear directly on the question posed here, and secondary where they supply supporting or contextual evidence.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positive polarity advantage is consistent across paradigms, tasks and display technologies. Proofreading, pupillometry, adaptive-staircase psychophysics, lexical decision, eye tracking and visual-ergonomic optimisation all favour dark text on a light field (Buchner &amp; Baumgartner, 2007;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2017; C. 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Piepenbrock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2014a, 2014b; Sethi &amp; Ziat, 2023).</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That corpus is nevertheless narrow in precisely the way this study is broad. Its paradigms are short and threshold-limited, its stimuli almost entirely achromatic, and none of the studies measures blinking, validated symptoms or fatigue accumulated over an hour. An advantage in legibility does not license an inference about visual fatigue, although popular argument about dark mode routinely makes that inference in both directions.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Third, the literature manipulating text chromaticity is small, and no located study has crossed colour with polarity while measuring fatigue. Exposure in these studies is brief, so duration is a plausible moderator of the discrepancy between one study that found no effect on reading speed over two-minute passages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and another that found clear effects on fatigue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More consequentially, none of them separates hue from luminance contrast. Because chromatic pigments differ in relative luminance, a fixed colour set rendered on light and on dark fields produces unequal and polarity-asymmetric contrasts, so contrast is an inseparable covarying property of any colour manipulation and has to be modelled (Buchner &amp; Baumgartner, 2007). Xie and colleagues (2021) add a complication that bears directly on the present design: their objective and subjective indices pointed in opposite directions, dark mode improving blink measures while light mode was preferred and rated less fatiguing.</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Fourth, ambient illumination modulates both the legibility cost of negative polarity and the fatigue cost of coloured text under it, which is consistent with a pupil-mediated account in which room light and display polarity trade against one another. The evidence is not uniform. The proofreading advantage was independent of ambient lighting in one experiment (Buchner &amp; Baumgartner, 2007) whereas threshold legibility showed a clear interaction in another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a pattern more suggestive of a threshold-like relationship than of smooth scaling, and one that requires illumination to be measured rather than described. The same trade appears from the display side, since lowering screen brightness in a dark room reduced fatigue (Tian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which implicates the ratio of display to ambient luminance rather than either term alone. The most directly relevant study found that reading in a dark room from a bright screen produced the greatest tear-film destabilisation, the highest incomplete-blink rate and the highest subjective fatigue score, with incomplete blinking rising over time in every condition (M. 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spacing w:after="0" w:line="360"/>
        <w:ind w:firstLine="360"/>
        <w:jc w:val="both"/>
      </w:pPr>
      <w:r>
        <w:rPr>
          <w:rFonts w:ascii="Times New Roman" w:cs="Times New Roman" w:eastAsia="Times New Roman" w:hAnsi="Times New Roman"/>
          <w:b/>
          <w:bCs/>
          <w:i w:val="false"/>
          <w:iCs w:val="false"/>
          <w:sz w:val="24"/>
          <w:szCs w:val="24"/>
        </w:rPr>
        <w:t xml:space="preserve">Table 2.1.</w:t>
      </w:r>
      <w:r>
        <w:rPr>
          <w:rFonts w:ascii="Times New Roman" w:cs="Times New Roman" w:eastAsia="Times New Roman" w:hAnsi="Times New Roman"/>
          <w:b w:val="false"/>
          <w:bCs w:val="false"/>
          <w:i w:val="false"/>
          <w:iCs w:val="false"/>
          <w:sz w:val="24"/>
          <w:szCs w:val="24"/>
        </w:rPr>
        <w:t xml:space="preserve"> Studies manipulating display polarity, text colour or ambient illumination.** N denotes reported sample size; NR = not reported in the retrieved record. Finding type indicates relevance to the present research question.</w:t>
      </w:r>
    </w:p>
    <w:p>
      <w:pPr>
        <w:sectPr>
          <w:pgSz w:w="11906" w:h="16838" w:orient="portrait"/>
          <w:pgMar w:top="1440" w:right="1134" w:bottom="1440" w:left="1701" w:header="708" w:footer="708" w:gutter="0"/>
          <w:pgNumType/>
          <w:docGrid w:linePitch="360"/>
        </w:sectPr>
      </w:pPr>
    </w:p>
    <w:tbl>
      <w:tblPr>
        <w:tblW w:type="dxa" w:w="14003"/>
        <w:tblBorders>
          <w:top w:val="single" w:color="7A8896" w:sz="4"/>
          <w:left w:val="single" w:color="7A8896" w:sz="4"/>
          <w:bottom w:val="single" w:color="7A8896" w:sz="4"/>
          <w:right w:val="single" w:color="7A8896" w:sz="4"/>
          <w:insideH w:val="single" w:color="B4BCC4" w:sz="2"/>
          <w:insideV w:val="single" w:color="B4BCC4" w:sz="2"/>
        </w:tblBorders>
      </w:tblPr>
      <w:tblGrid>
        <w:gridCol w:w="650"/>
        <w:gridCol w:w="1170"/>
        <w:gridCol w:w="698"/>
        <w:gridCol w:w="650"/>
        <w:gridCol w:w="2801"/>
        <w:gridCol w:w="4272"/>
        <w:gridCol w:w="698"/>
        <w:gridCol w:w="3064"/>
      </w:tblGrid>
      <w:tr>
        <w:trPr>
          <w:tblHeader/>
        </w:trPr>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Sl.</w:t>
            </w:r>
          </w:p>
        </w:tc>
        <w:tc>
          <w:tcPr>
            <w:tcW w:type="dxa" w:w="117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Study</w:t>
            </w:r>
          </w:p>
        </w:tc>
        <w:tc>
          <w:tcPr>
            <w:tcW w:type="dxa" w:w="698"/>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Year</w:t>
            </w:r>
          </w:p>
        </w:tc>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w:t>
            </w:r>
          </w:p>
        </w:tc>
        <w:tc>
          <w:tcPr>
            <w:tcW w:type="dxa" w:w="2801"/>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Parameter manipulated</w:t>
            </w:r>
          </w:p>
        </w:tc>
        <w:tc>
          <w:tcPr>
            <w:tcW w:type="dxa" w:w="427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Principal finding</w:t>
            </w:r>
          </w:p>
        </w:tc>
        <w:tc>
          <w:tcPr>
            <w:tcW w:type="dxa" w:w="698"/>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Finding type</w:t>
            </w:r>
          </w:p>
        </w:tc>
        <w:tc>
          <w:tcPr>
            <w:tcW w:type="dxa" w:w="3064"/>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Limitation</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Buchner &amp; Baumgartner</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2007</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Polarity, illumination, chromaticity</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Polarity advantage held irrespective of ambient lighting; colour contrast could not compensate for absent luminance contrast</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Proofreading only; no ocular or symptom measures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Piepenbrock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2014a, 2014b</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Polarity; pupil size; character size</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Smaller pupils and better proofreading under positive polarity; the advantage grew linearly as characters shrank</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Achromatic text; brief exposure</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Dobres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2016</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Typeface, polarity, size, age</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Black-on-white more legible than white-on-black; typeface interacted with age</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Secondary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Glance reading; threshold outcome</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Dobres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2017</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Polarity, illumination, letter size</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Thresholds worst for negative polarity under near-dark light; raising illumination or switching polarity restored legibility</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 fatigue or ocular-surface outcomes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Jiménez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2020</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14 text-background colour pairs</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Colour modulated accommodative and pupillary dynamics; reading speed unaffected; low-contrast pairs rated least legible</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Two-minute exposure; no symptom outcome</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Xie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2021</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Colour mode and luminance contrast at night</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Dark mode raised blink rate, yet light mode was preferred and rated less fatiguing</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Objective-subjective dissociation unexplained</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7</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Tian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2022</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Stimulus colour and screen brightness in darkness</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Low screen brightness reduced subjective fatigue; blue preferred to red; no colour effect on EEG indices</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Secondary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Non-reading stimuli; below 3 lux only</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Sethi &amp; Ziat</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2023</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Polarity, environment, age, task</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Higher cognitive load under negative polarity, conditional on age and lighting</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 ocular-surface measures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Fan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2024</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Illumination and text colour under negative polarity</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Red most fatiguing and yellow least; higher illumination reduced fatigue, by an amount that varied with text colour</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Single polarity; hue confounded with contrast</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 Lin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2024</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NR</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Display luminance and polarity at 300 lux</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Positive polarity preferable; optimum luminance 153 cd/m²</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Desktop head-up display; achromatic; office lighting only</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11</w:t>
            </w:r>
          </w:p>
        </w:tc>
        <w:tc>
          <w:tcPr>
            <w:tcW w:type="dxa" w:w="117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M. Lin </w:t>
            </w:r>
            <w:r>
              <w:rPr>
                <w:rFonts w:ascii="Times New Roman" w:cs="Times New Roman" w:eastAsia="Times New Roman" w:hAnsi="Times New Roman"/>
                <w:b w:val="false"/>
                <w:bCs w:val="false"/>
                <w:i/>
                <w:iCs/>
                <w:sz w:val="15"/>
                <w:szCs w:val="15"/>
              </w:rPr>
              <w:t xml:space="preserve">et al.</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2025</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30</w:t>
            </w:r>
          </w:p>
        </w:tc>
        <w:tc>
          <w:tcPr>
            <w:tcW w:type="dxa" w:w="280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Room and screen brightness, 30-minute reading</w:t>
            </w:r>
          </w:p>
        </w:tc>
        <w:tc>
          <w:tcPr>
            <w:tcW w:type="dxa" w:w="4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Dark room with bright screen most destabilised the tear film and raised incomplete blinking; incomplete-blink frequency correlated with fatigue score</w:t>
            </w:r>
          </w:p>
        </w:tc>
        <w:tc>
          <w:tcPr>
            <w:tcW w:type="dxa" w:w="69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3064"/>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Smartphone; polarity not manipulated</w:t>
            </w:r>
          </w:p>
        </w:tc>
      </w:tr>
    </w:tbl>
    <w:p>
      <w:pPr>
        <w:spacing w:after="40" w:line="120"/>
      </w:pPr>
      <w:r>
        <w:rPr>
          <w:sz w:val="8"/>
          <w:szCs w:val="8"/>
        </w:rPr>
        <w:t xml:space="preserve"/>
      </w:r>
    </w:p>
    <w:p>
      <w:pPr>
        <w:sectPr>
          <w:pgSz w:w="16838" w:h="11906" w:orient="portrait"/>
          <w:pgMar w:top="1440" w:right="1134" w:bottom="1440" w:left="1701" w:header="708" w:footer="708" w:gutter="0"/>
          <w:pgNumType/>
          <w:docGrid w:linePitch="360"/>
        </w:sectPr>
      </w:pP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2.3 Ocular behaviour as an objective marker</w:t>
      </w:r>
    </w:p>
    <w:p>
      <w:pPr>
        <w:spacing w:after="0" w:line="360"/>
        <w:jc w:val="both"/>
      </w:pPr>
      <w:r>
        <w:rPr>
          <w:rFonts w:ascii="Times New Roman" w:cs="Times New Roman" w:eastAsia="Times New Roman" w:hAnsi="Times New Roman"/>
          <w:b w:val="false"/>
          <w:bCs w:val="false"/>
          <w:i w:val="false"/>
          <w:iCs w:val="false"/>
          <w:sz w:val="24"/>
          <w:szCs w:val="24"/>
        </w:rPr>
        <w:t xml:space="preserve">Suppression of spontaneous blinking during display use is among the most reproducible findings in this field (H.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Sheppard &amp; Wolffsohn, 2018), and of the available blink indices the proportion that fail to close fully has the strongest claim to specificity. Three findings summarised in Table 2.2 together forbid reading blink rate as a simple index of fatigue.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Rate falls during reading irrespective of the medium, and only electronic reading raises the proportion of incomplete blinks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it also falls with task dynamism at matched cognitive load (Cardona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2011). Total rate can hold steady while the complete-to-incomplete composition shifts, with non-invasive break-up time dropping from 8.62 to 4.33 seconds at thirty minutes and recovering as incomplete blinking declined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Raising blink rate experimentally from 11.6 to 23.5 blinks per minute produced no change in symptom score, whereas the percentage of incomplete blinks correlated with symptoms at p = 0.002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The incomplete-blink ratio, referenced to a within-participant baseline, is therefore the better-justified primary marker.</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Two further observations follow from the same table. Every study in it relied on manual frame-by-frame coding or on dedicated hardware, which is why the samples run from eleven to fifty. And none of them manipulated display polarity or text colour, so the marker with the strongest claim to specificity has never been used as the outcome of the manipulation most likely to move it.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PERCLOS, the proportion of time for which the eyes are more than 80 per cent closed, is among the most validated indices for passive detection of drowsiness (Abe, 2023) and correlates with vigilance variability after sleep deprivation (Jackson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Its documented insensitivity under moderate drowsiness dictates its role here as a covariate for sleepiness rather than as a measure of visual fatigue.</w:t>
      </w:r>
    </w:p>
    <w:p>
      <w:pPr>
        <w:spacing w:after="0" w:line="360"/>
        <w:ind w:firstLine="360"/>
        <w:jc w:val="both"/>
      </w:pPr>
      <w:r>
        <w:rPr>
          <w:rFonts w:ascii="Times New Roman" w:cs="Times New Roman" w:eastAsia="Times New Roman" w:hAnsi="Times New Roman"/>
          <w:b/>
          <w:bCs/>
          <w:i w:val="false"/>
          <w:iCs w:val="false"/>
          <w:sz w:val="24"/>
          <w:szCs w:val="24"/>
        </w:rPr>
        <w:t xml:space="preserve">Table 2.2.</w:t>
      </w:r>
      <w:r>
        <w:rPr>
          <w:rFonts w:ascii="Times New Roman" w:cs="Times New Roman" w:eastAsia="Times New Roman" w:hAnsi="Times New Roman"/>
          <w:b w:val="false"/>
          <w:bCs w:val="false"/>
          <w:i w:val="false"/>
          <w:iCs w:val="false"/>
          <w:sz w:val="24"/>
          <w:szCs w:val="24"/>
        </w:rPr>
        <w:t xml:space="preserve"> Studies of ocular behaviour as an objective marker.**</w:t>
      </w:r>
    </w:p>
    <w:p>
      <w:pPr>
        <w:sectPr>
          <w:pgSz w:w="11906" w:h="16838" w:orient="portrait"/>
          <w:pgMar w:top="1440" w:right="1134" w:bottom="1440" w:left="1701" w:header="708" w:footer="708" w:gutter="0"/>
          <w:pgNumType/>
          <w:docGrid w:linePitch="360"/>
        </w:sectPr>
      </w:pPr>
    </w:p>
    <w:tbl>
      <w:tblPr>
        <w:tblW w:type="dxa" w:w="14003"/>
        <w:tblBorders>
          <w:top w:val="single" w:color="7A8896" w:sz="4"/>
          <w:left w:val="single" w:color="7A8896" w:sz="4"/>
          <w:bottom w:val="single" w:color="7A8896" w:sz="4"/>
          <w:right w:val="single" w:color="7A8896" w:sz="4"/>
          <w:insideH w:val="single" w:color="B4BCC4" w:sz="2"/>
          <w:insideV w:val="single" w:color="B4BCC4" w:sz="2"/>
        </w:tblBorders>
      </w:tblPr>
      <w:tblGrid>
        <w:gridCol w:w="650"/>
        <w:gridCol w:w="922"/>
        <w:gridCol w:w="650"/>
        <w:gridCol w:w="650"/>
        <w:gridCol w:w="3311"/>
        <w:gridCol w:w="4533"/>
        <w:gridCol w:w="755"/>
        <w:gridCol w:w="2532"/>
      </w:tblGrid>
      <w:tr>
        <w:trPr>
          <w:tblHeader/>
        </w:trPr>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Sl.</w:t>
            </w:r>
          </w:p>
        </w:tc>
        <w:tc>
          <w:tcPr>
            <w:tcW w:type="dxa" w:w="92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Study</w:t>
            </w:r>
          </w:p>
        </w:tc>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Year</w:t>
            </w:r>
          </w:p>
        </w:tc>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w:t>
            </w:r>
          </w:p>
        </w:tc>
        <w:tc>
          <w:tcPr>
            <w:tcW w:type="dxa" w:w="3311"/>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Measure and task</w:t>
            </w:r>
          </w:p>
        </w:tc>
        <w:tc>
          <w:tcPr>
            <w:tcW w:type="dxa" w:w="4533"/>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Principal finding</w:t>
            </w:r>
          </w:p>
        </w:tc>
        <w:tc>
          <w:tcPr>
            <w:tcW w:type="dxa" w:w="755"/>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Finding type</w:t>
            </w:r>
          </w:p>
        </w:tc>
        <w:tc>
          <w:tcPr>
            <w:tcW w:type="dxa" w:w="253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Limitation</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w:t>
            </w:r>
          </w:p>
        </w:tc>
        <w:tc>
          <w:tcPr>
            <w:tcW w:type="dxa" w:w="92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Cardona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2011</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25</w:t>
            </w:r>
          </w:p>
        </w:tc>
        <w:tc>
          <w:tcPr>
            <w:tcW w:type="dxa" w:w="331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rate and amplitude; fast against slow display task</w:t>
            </w:r>
          </w:p>
        </w:tc>
        <w:tc>
          <w:tcPr>
            <w:tcW w:type="dxa" w:w="453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Rate fell to one-third of baseline in the fast task and one-half in the slow task, with more incomplete blinks when dynamic</w:t>
            </w:r>
          </w:p>
        </w:tc>
        <w:tc>
          <w:tcPr>
            <w:tcW w:type="dxa" w:w="75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Secondary</w:t>
            </w:r>
          </w:p>
        </w:tc>
        <w:tc>
          <w:tcPr>
            <w:tcW w:type="dxa" w:w="253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Game task rather than reading; manual coding</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w:t>
            </w:r>
          </w:p>
        </w:tc>
        <w:tc>
          <w:tcPr>
            <w:tcW w:type="dxa" w:w="92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Portello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2013</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21</w:t>
            </w:r>
          </w:p>
        </w:tc>
        <w:tc>
          <w:tcPr>
            <w:tcW w:type="dxa" w:w="331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rate and completeness; 15-minute reading</w:t>
            </w:r>
          </w:p>
        </w:tc>
        <w:tc>
          <w:tcPr>
            <w:tcW w:type="dxa" w:w="453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Incomplete blinks 0.9 to 56.5 per cent (mean 16.1); symptom score correlated with the incomplete percentage at p = 0.002</w:t>
            </w:r>
          </w:p>
        </w:tc>
        <w:tc>
          <w:tcPr>
            <w:tcW w:type="dxa" w:w="75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253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Single condition; small sample</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w:t>
            </w:r>
          </w:p>
        </w:tc>
        <w:tc>
          <w:tcPr>
            <w:tcW w:type="dxa" w:w="92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Hirota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2013</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11</w:t>
            </w:r>
          </w:p>
        </w:tc>
        <w:tc>
          <w:tcPr>
            <w:tcW w:type="dxa" w:w="331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composition and tear break-up; 60-minute task</w:t>
            </w:r>
          </w:p>
        </w:tc>
        <w:tc>
          <w:tcPr>
            <w:tcW w:type="dxa" w:w="453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Break-up time fell 8.62 to 4.33 s by 30 min and recovered as incomplete blinking declined</w:t>
            </w:r>
          </w:p>
        </w:tc>
        <w:tc>
          <w:tcPr>
            <w:tcW w:type="dxa" w:w="75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253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Very small sample; single condition</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w:t>
            </w:r>
          </w:p>
        </w:tc>
        <w:tc>
          <w:tcPr>
            <w:tcW w:type="dxa" w:w="92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Argilés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2015</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50</w:t>
            </w:r>
          </w:p>
        </w:tc>
        <w:tc>
          <w:tcPr>
            <w:tcW w:type="dxa" w:w="331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completeness; six print and screen conditions</w:t>
            </w:r>
          </w:p>
        </w:tc>
        <w:tc>
          <w:tcPr>
            <w:tcW w:type="dxa" w:w="453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All reading lowered blink rate; incomplete blinks rose only on electronic platforms</w:t>
            </w:r>
          </w:p>
        </w:tc>
        <w:tc>
          <w:tcPr>
            <w:tcW w:type="dxa" w:w="75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253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Display parameters held fixed</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w:t>
            </w:r>
          </w:p>
        </w:tc>
        <w:tc>
          <w:tcPr>
            <w:tcW w:type="dxa" w:w="92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Jackson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2016</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12</w:t>
            </w:r>
          </w:p>
        </w:tc>
        <w:tc>
          <w:tcPr>
            <w:tcW w:type="dxa" w:w="331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PERCLOS; simulated driving after 24-hour sleep deprivation</w:t>
            </w:r>
          </w:p>
        </w:tc>
        <w:tc>
          <w:tcPr>
            <w:tcW w:type="dxa" w:w="453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PERCLOS correlated with vigilance variability (r = 0.68)</w:t>
            </w:r>
          </w:p>
        </w:tc>
        <w:tc>
          <w:tcPr>
            <w:tcW w:type="dxa" w:w="75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Secondary</w:t>
            </w:r>
          </w:p>
        </w:tc>
        <w:tc>
          <w:tcPr>
            <w:tcW w:type="dxa" w:w="253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Drowsiness rather than visual fatigue</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w:t>
            </w:r>
          </w:p>
        </w:tc>
        <w:tc>
          <w:tcPr>
            <w:tcW w:type="dxa" w:w="92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M. Lin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2025</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30</w:t>
            </w:r>
          </w:p>
        </w:tc>
        <w:tc>
          <w:tcPr>
            <w:tcW w:type="dxa" w:w="331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Tear-film indices and blink parameters; 30-minute reading</w:t>
            </w:r>
          </w:p>
        </w:tc>
        <w:tc>
          <w:tcPr>
            <w:tcW w:type="dxa" w:w="453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Incomplete-blink rate rose over time in every group</w:t>
            </w:r>
          </w:p>
        </w:tc>
        <w:tc>
          <w:tcPr>
            <w:tcW w:type="dxa" w:w="75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Primary</w:t>
            </w:r>
          </w:p>
        </w:tc>
        <w:tc>
          <w:tcPr>
            <w:tcW w:type="dxa" w:w="253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Polarity not manipulated</w:t>
            </w:r>
          </w:p>
        </w:tc>
      </w:tr>
    </w:tbl>
    <w:p>
      <w:pPr>
        <w:spacing w:after="40" w:line="120"/>
      </w:pPr>
      <w:r>
        <w:rPr>
          <w:sz w:val="8"/>
          <w:szCs w:val="8"/>
        </w:rPr>
        <w:t xml:space="preserve"/>
      </w:r>
    </w:p>
    <w:p>
      <w:pPr>
        <w:sectPr>
          <w:pgSz w:w="16838" w:h="11906" w:orient="portrait"/>
          <w:pgMar w:top="1440" w:right="1134" w:bottom="1440" w:left="1701" w:header="708" w:footer="708" w:gutter="0"/>
          <w:pgNumType/>
          <w:docGrid w:linePitch="360"/>
        </w:sectPr>
      </w:pP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2.4 Performance, subjective instruments and scalability</w:t>
      </w:r>
    </w:p>
    <w:p>
      <w:pPr>
        <w:spacing w:after="0" w:line="360"/>
        <w:jc w:val="both"/>
      </w:pPr>
      <w:r>
        <w:rPr>
          <w:rFonts w:ascii="Times New Roman" w:cs="Times New Roman" w:eastAsia="Times New Roman" w:hAnsi="Times New Roman"/>
          <w:b w:val="false"/>
          <w:bCs w:val="false"/>
          <w:i w:val="false"/>
          <w:iCs w:val="false"/>
          <w:sz w:val="24"/>
          <w:szCs w:val="24"/>
        </w:rPr>
        <w:t xml:space="preserve">Print retains an advantage over screen for comprehension, moderated by genre and by time pressure (Delgado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That constrains how comprehension ought to be measured, since genre, difficulty and pacing must be held constant, but it does not bear on the hypothesis under test, because a design that stays within one medium removes the medium confound altogether. Prolonged monotonous tasks also produce a vigilance decrement, best accounted for by resource depletion rather than by understimulation (Warm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and lapses of attention are among the indices most sensitive to sleep loss (Abe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Attentional and visual-fatigue outcomes share time on task as a driver and have to be measured together if they are to be told apart.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For subjective measurement the Computer Vision Syndrome Questionnaire assesses sixteen symptoms on a Rasch-fitting scale, with sensitivity and specificity above 70 per cent and test-retest intraclass correlation of 0.802 (Seguí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Cross-cultural validation in a sample of 280 workers reported internal consistency of 0.793, temporal stability of 0.847, sensitivity of 78.5 per cent and specificity of 70.7 per cent (Cantó-Sancho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Cognitive workload is conventionally indexed by the NASA Task Load Index (Hart &amp; Staveland, 1988). Review notes that correlations between objective and subjective measures are not always apparent (Sheppard &amp; Wolffsohn, 2018), a discrepancy treated here as an object of study rather than as a nuisance.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Automated blink detection derives a scalar eye aspect ratio from facial landmarks and identifies blinks as a temporal pattern in that signal (Soukupová &amp; Čech, 2016). Being continuous and normalised, the measure can distinguish partial from complete closure, which automates what the clinical literature has done by hand. Validity differs by target. Camera-based gaze estimation is defensible only for coarse zone classification, whereas blink proportions need temporal rather than spatial precision and stay robust where duration-based metrics fail below roughly 25 frames per second. No published study has validated a camera-based incomplete-blink measure against manual annotation.</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2.5 Research gaps</w:t>
      </w:r>
    </w:p>
    <w:p>
      <w:pPr>
        <w:spacing w:after="0" w:line="360"/>
        <w:jc w:val="both"/>
      </w:pPr>
      <w:r>
        <w:rPr>
          <w:rFonts w:ascii="Times New Roman" w:cs="Times New Roman" w:eastAsia="Times New Roman" w:hAnsi="Times New Roman"/>
          <w:b w:val="false"/>
          <w:bCs w:val="false"/>
          <w:i w:val="false"/>
          <w:iCs w:val="false"/>
          <w:sz w:val="24"/>
          <w:szCs w:val="24"/>
        </w:rPr>
        <w:t xml:space="preserve">Six gaps follow from the foregoing and together define the study. The positive polarity advantage is established for brief achromatic legibility tasks but untested for prolonged reading with fatigue accumulation and ocular-surface outcomes. The interaction of polarity with text colour on visual fatigue appears unestimated, the only located text-colour fatigue study having held polarity constant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and hue has nowhere been separated from luminance contrast. No located study reports contrast metrics alongside measured display photometry; the prevailing accessibility standard is polarity-blind (Somers, n.d.; World Wide Web Consortium, 2023); and three-way effects of polarity, colour and illumination remain uncharacterised. Few studies co-register a validated symptom instrument with objective markers in the same condition, and where both were measured they pointed in opposite directions (Xie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The incomplete-blink ratio has not been tested as the outcome of a display manipulation despite its specificity, and no automated implementation has been validated against manual annotation, so the measure does not scale. Individual differences in habitual display preference, exposure and lighting environment are seldom modelled as moderators, and tablet-specific protocols of any ecological validity are scarce.</w:t>
      </w:r>
    </w:p>
    <w:p>
      <w:pPr>
        <w:pBdr>
          <w:bottom w:val="single" w:color="AAAAAA" w:sz="6" w:space="1"/>
        </w:pBdr>
        <w:spacing w:after="40" w:before="0"/>
      </w:pPr>
      <w:r>
        <w:rPr>
          <w:rFonts w:ascii="Times New Roman" w:cs="Times New Roman" w:eastAsia="Times New Roman" w:hAnsi="Times New Roman"/>
          <w:sz w:val="24"/>
          <w:szCs w:val="24"/>
        </w:rPr>
        <w:t xml:space="preserve"/>
      </w:r>
    </w:p>
    <w:p>
      <w:pPr>
        <w:pStyle w:val="Heading1"/>
        <w:keepNext/>
        <w:spacing w:after="40" w:before="140" w:line="360"/>
        <w:jc w:val="center"/>
      </w:pPr>
      <w:r>
        <w:rPr>
          <w:rFonts w:ascii="Times New Roman" w:cs="Times New Roman" w:eastAsia="Times New Roman" w:hAnsi="Times New Roman"/>
          <w:b/>
          <w:bCs/>
          <w:i w:val="false"/>
          <w:iCs w:val="false"/>
          <w:sz w:val="30"/>
          <w:szCs w:val="30"/>
        </w:rPr>
        <w:t xml:space="preserve">CHAPTER 3: RATIONALE AND RESEARCH QUESTION</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3.1 Statement of the problem</w:t>
      </w:r>
    </w:p>
    <w:p>
      <w:pPr>
        <w:spacing w:after="0" w:line="360"/>
        <w:jc w:val="both"/>
      </w:pPr>
      <w:r>
        <w:rPr>
          <w:rFonts w:ascii="Times New Roman" w:cs="Times New Roman" w:eastAsia="Times New Roman" w:hAnsi="Times New Roman"/>
          <w:b w:val="false"/>
          <w:bCs w:val="false"/>
          <w:i w:val="false"/>
          <w:iCs w:val="false"/>
          <w:sz w:val="24"/>
          <w:szCs w:val="24"/>
        </w:rPr>
        <w:t xml:space="preserve">The gaps set out at the close of Chapter 2 converge on a single practical difficulty. Roughly seven in ten screen users report symptoms of digital eye strain (Ccami-Bernal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yet the remedies promoted most heavily for it lack trial support. A meta-analysis of 45 randomised controlled trials involving 4,497 participants found no high-certainty evidence for any therapy examined, blue-blocking lenses included, and only low-certainty benefit for oral omega-3 in dry-eye symptoms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A review restricted to younger users reached the same conclusion on blue-blocking filters and recommended ergonomic optimisation and shorter exposure instead (Mataftsi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properties of the displayed stimulus sit upstream of the visual load, cost nothing to change and can be deployed universally, yet they remain the least investigated part of the problem. Work on polarity is confined to brief, threshold-limited tasks using achromatic text; work on text colour is limited either to short exposures without symptom outcomes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or to a single polarity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No study has estimated how polarity and text colour interact, separated hue from luminance contrast, crossed either with ambient illumination, or measured a validated symptom instrument alongside the ocular marker most specific to the condition. Because blink completeness has been scored by hand, frame by frame, the literature is confined to samples of eleven to fifty participants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 clinician, a designer or a standards body therefore has no evidence base from which to advise how a tablet should be configured for prolonged reading, or how that configuration ought to change with the light in which it is used.</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3.2 Rationale of the study</w:t>
      </w:r>
    </w:p>
    <w:p>
      <w:pPr>
        <w:spacing w:after="0" w:line="360"/>
        <w:jc w:val="both"/>
      </w:pPr>
      <w:r>
        <w:rPr>
          <w:rFonts w:ascii="Times New Roman" w:cs="Times New Roman" w:eastAsia="Times New Roman" w:hAnsi="Times New Roman"/>
          <w:b w:val="false"/>
          <w:bCs w:val="false"/>
          <w:i w:val="false"/>
          <w:iCs w:val="false"/>
          <w:sz w:val="24"/>
          <w:szCs w:val="24"/>
        </w:rPr>
        <w:t xml:space="preserve">The study takes up a determinant of visual health that is common, freely modifiable and poorly evidenced, and it does so with a design capable of answering a question the existing literature cannot.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design turns on an arithmetical property of contrast. Because the accessibility contrast ratio on a white field falls as the relative luminance of the text rises, while the ratio on a black field rises with it, the rank order of the chromatic conditions is exactly inverted between the two polarities, as Table 4.4 shows. Blue and red sit high in contrast on white but fall below the accessibility minimum on black, and yellow and green behave in the opposite way. The achromatic pair is the anchor: black on white and white on black both yield 21.00:1, so that one pair varies polarity while holding luminance contrast constant. The polarity-by-colour interaction can therefore be used to model contrast-mediated effects and to distinguish them from residual, hue-specific ones. The separation is statistical rather than experimental, since hue and luminance contrast cannot be orthogonalised within a fixed colour set, and it is interpreted with that limit in view.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reported red as most fatiguing and yellow as least under negative polarity, which is precisely what luminance contrast alone would predict for those hues on a black background; a single-polarity design cannot tell the two explanations apart.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Manipulating ambient light between sessions tests the polarity effect where it matters behaviourally, because devices are used extensively at night and in dim domestic settings, and it is there that negative polarity is predicted to cost most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M. 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Validating an automated measure of blink completeness would lift the annotation bottleneck that has kept this literature small. The findings bear on interface design, on accessibility standards whose contrast criterion takes no account of polarity (Somers, n.d.; World Wide Web Consortium, 2023), on public health guidance, and on the advice optometrists give patients in an area where practitioners are documented to lack quality evidence (Sheppard &amp; Wolffsohn, 2018).</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3.3 Aim</w:t>
      </w:r>
    </w:p>
    <w:p>
      <w:pPr>
        <w:spacing w:after="0" w:line="360"/>
        <w:jc w:val="both"/>
      </w:pPr>
      <w:r>
        <w:rPr>
          <w:rFonts w:ascii="Times New Roman" w:cs="Times New Roman" w:eastAsia="Times New Roman" w:hAnsi="Times New Roman"/>
          <w:b w:val="false"/>
          <w:bCs w:val="false"/>
          <w:i w:val="false"/>
          <w:iCs w:val="false"/>
          <w:sz w:val="24"/>
          <w:szCs w:val="24"/>
        </w:rPr>
        <w:t xml:space="preserve">To determine the effects and interactions of display polarity, text colour and ambient illumination on visual fatigue, ocular behaviour and visual task performance during prolonged tablet-based reading, and, as a secondary methodological aim, to evaluate the validity and feasibility of camera-based blink assessment as an objective measure of ocular response.</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3.4 Objectives</w:t>
      </w:r>
    </w:p>
    <w:p>
      <w:pPr>
        <w:spacing w:after="0" w:line="360"/>
        <w:jc w:val="both"/>
      </w:pPr>
      <w:r>
        <w:rPr>
          <w:rFonts w:ascii="Times New Roman" w:cs="Times New Roman" w:eastAsia="Times New Roman" w:hAnsi="Times New Roman"/>
          <w:b w:val="false"/>
          <w:bCs w:val="false"/>
          <w:i w:val="false"/>
          <w:iCs w:val="false"/>
          <w:sz w:val="24"/>
          <w:szCs w:val="24"/>
        </w:rPr>
        <w:t xml:space="preserve">Primary objectives</w:t>
      </w:r>
    </w:p>
    <w:p>
      <w:pPr>
        <w:spacing w:after="0" w:line="360"/>
        <w:ind w:left="640" w:hanging="640"/>
        <w:jc w:val="both"/>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investigate the individual and interactive effects of display polarity, text colour and ambient illumination on subjective visual fatigue, ocular behaviour, cognitive workload and task performance during prolonged tablet reading.</w:t>
      </w:r>
    </w:p>
    <w:p>
      <w:pPr>
        <w:spacing w:after="0" w:line="360"/>
        <w:ind w:left="640" w:hanging="640"/>
        <w:jc w:val="both"/>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model the contribution of luminance contrast and to distinguish it from residual, hue-specific effects, by computing standards-based contrast metrics for every condition and entering contrast explicitly alongside colour.</w:t>
      </w:r>
    </w:p>
    <w:p>
      <w:pPr>
        <w:spacing w:after="0" w:line="360"/>
        <w:ind w:left="640" w:hanging="640"/>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determine the configuration of polarity, colour and illumination that minimises visual fatigue and maximises task performance, and to examine how participant characteristics moderate these effects.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Methodological objective</w:t>
      </w:r>
    </w:p>
    <w:p>
      <w:pPr>
        <w:spacing w:after="0" w:line="360"/>
        <w:ind w:left="640" w:hanging="640"/>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To establish the feasibility and criterion validity of tablet-based camera metrology for this purpose, including agreement of automated blink classification against manual annotation and the correspondence between subjective and objective indices.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3.5 Hypotheses</w:t>
      </w:r>
    </w:p>
    <w:p>
      <w:pPr>
        <w:spacing w:after="0" w:line="360"/>
        <w:jc w:val="both"/>
      </w:pPr>
      <w:r>
        <w:rPr>
          <w:rFonts w:ascii="Times New Roman" w:cs="Times New Roman" w:eastAsia="Times New Roman" w:hAnsi="Times New Roman"/>
          <w:b w:val="false"/>
          <w:bCs w:val="false"/>
          <w:i w:val="false"/>
          <w:iCs w:val="false"/>
          <w:sz w:val="24"/>
          <w:szCs w:val="24"/>
        </w:rPr>
        <w:t xml:space="preserve">Null hypothesis (H0). Display polarity, text colour and ambient illumination, individually or in combination, have no significant effect on visual fatigue, ocular behaviour or visual task performance during prolonged tablet reading.</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Alternative hypothesis (H1). At least one of these factors, individually or in combination, significantly affects these outcomes. Four directional hypotheses follow from the objectives.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H1a, main effects (Objective 1). Positive polarity, higher luminance contrast and higher ambient illumination are each associated with a lower incomplete-blink ratio, lower subjective visual fatigue and better task performance.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H1b, interactions (Objective 1). The effect of text colour depends on polarity, and the cost of negative polarity is greater under dim than under moderate illumination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H1c, contrast mediation (Objective 2). Colour-related variance is largely accounted for by luminance contrast. Because the computed contrast ordering reverses between the two polarities, a contrast-mediated effect predicts a corresponding reversal of the colour ordering across polarity, whereas a residual hue-specific effect predicts a consistent ordering, with red the candidate exception identified in advance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H1d, moderation (Objective 3). Habitual display-mode preference, habitual screen exposure, typical ambient-lighting environment and digital literacy moderate the magnitude of these effects.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3.6 Conceptual framework</w:t>
      </w:r>
    </w:p>
    <w:p>
      <w:pPr>
        <w:spacing w:after="0" w:line="360"/>
        <w:jc w:val="both"/>
      </w:pPr>
      <w:r>
        <w:rPr>
          <w:rFonts w:ascii="Times New Roman" w:cs="Times New Roman" w:eastAsia="Times New Roman" w:hAnsi="Times New Roman"/>
          <w:b w:val="false"/>
          <w:bCs w:val="false"/>
          <w:i w:val="false"/>
          <w:iCs w:val="false"/>
          <w:sz w:val="24"/>
          <w:szCs w:val="24"/>
        </w:rPr>
        <w:t xml:space="preserve">Display configuration and ambient illuminance act on the measured outcomes through two proximal mechanisms, shown in Figure 3.1.</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Along the optical route, display and room luminance together determine pupil diameter, which governs aberration and depth of focus and so sets retinal image quality and accommodative demand. This route is expressed in accommodative and vergence symptoms and is measured through reading rate, comprehension, visual search and perceived clarity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Piepenbrock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2014a, 2014b; Redondo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Along the ocular-surface route, visual and cognitive demand suppress blink rate and raise incomplete blinking, which exposes evaporative area and destabilises the tear film. This route is expressed in dryness, burning and irritation, and is measured by the incomplete-blink ratio, the primary outcome, together with change in the Computer Vision Syndrome Questionnaire score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K. Fjaervoll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Hirota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Kamøy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Portello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Cutting across both routes, time on task depletes sustained-attention capacity and is counterbalanced and modelled rather than eliminated (Abe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Warm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Sleepiness, indexed by PERCLOS, and disengagement are treated as measured confounders (Abe, 2023; Jackson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and participant characteristics modulate susceptibility throughout.</w:t>
      </w:r>
    </w:p>
    <w:p>
      <w:pPr>
        <w:spacing w:after="0" w:line="360"/>
        <w:ind w:firstLine="360"/>
        <w:jc w:val="both"/>
      </w:pPr>
      <w:r>
        <w:rPr>
          <w:rFonts w:ascii="Times New Roman" w:cs="Times New Roman" w:eastAsia="Times New Roman" w:hAnsi="Times New Roman"/>
          <w:b/>
          <w:bCs/>
          <w:i w:val="false"/>
          <w:iCs w:val="false"/>
          <w:sz w:val="24"/>
          <w:szCs w:val="24"/>
        </w:rPr>
        <w:t xml:space="preserve">Figure 3.1.</w:t>
      </w:r>
      <w:r>
        <w:rPr>
          <w:rFonts w:ascii="Times New Roman" w:cs="Times New Roman" w:eastAsia="Times New Roman" w:hAnsi="Times New Roman"/>
          <w:b w:val="false"/>
          <w:bCs w:val="false"/>
          <w:i w:val="false"/>
          <w:iCs w:val="false"/>
          <w:sz w:val="24"/>
          <w:szCs w:val="24"/>
        </w:rPr>
        <w:t xml:space="preserve"> Conceptual model of the two pathways from display configuration to measured outcome.**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5"/>
      </w:tblGrid>
      <w:tr>
        <w:tc>
          <w:tcPr>
            <w:tcW w:type="dxa" w:w="3023"/>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Display polarity</w:t>
            </w:r>
          </w:p>
        </w:tc>
        <w:tc>
          <w:tcPr>
            <w:tcW w:type="dxa" w:w="3023"/>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Text colour</w:t>
            </w:r>
          </w:p>
        </w:tc>
        <w:tc>
          <w:tcPr>
            <w:tcW w:type="dxa" w:w="3025"/>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Ambient illumination</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Luminance contrast and total light reaching the eye</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Optical route: pupil size, depth of focus, retinal image quality</w:t>
            </w:r>
          </w:p>
        </w:tc>
        <w:tc>
          <w:tcPr>
            <w:tcW w:type="dxa" w:w="4536"/>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Ocular-surface route: blink rate and blink completeness</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Reading rate, comprehension, visual search, perceived clarity (secondary outcomes)</w:t>
            </w:r>
          </w:p>
        </w:tc>
        <w:tc>
          <w:tcPr>
            <w:tcW w:type="dxa" w:w="4536"/>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Incomplete-blink ratio (primary outcome) and CVS-Q change (key secondary)</w:t>
            </w:r>
          </w:p>
        </w:tc>
      </w:tr>
    </w:tbl>
    <w:p>
      <w:pPr>
        <w:spacing w:after="60" w:line="120"/>
      </w:pPr>
      <w:r>
        <w:rPr>
          <w:sz w:val="8"/>
          <w:szCs w:val="8"/>
        </w:rPr>
        <w:t xml:space="preserve"/>
      </w:r>
    </w:p>
    <w:p>
      <w:pPr>
        <w:pBdr>
          <w:bottom w:val="single" w:color="AAAAAA" w:sz="6" w:space="1"/>
        </w:pBdr>
        <w:spacing w:after="40" w:before="0"/>
      </w:pPr>
      <w:r>
        <w:rPr>
          <w:rFonts w:ascii="Times New Roman" w:cs="Times New Roman" w:eastAsia="Times New Roman" w:hAnsi="Times New Roman"/>
          <w:sz w:val="24"/>
          <w:szCs w:val="24"/>
        </w:rPr>
        <w:t xml:space="preserve"/>
      </w:r>
    </w:p>
    <w:p>
      <w:pPr>
        <w:pStyle w:val="Heading1"/>
        <w:keepNext/>
        <w:spacing w:after="40" w:before="140" w:line="360"/>
        <w:jc w:val="center"/>
      </w:pPr>
      <w:r>
        <w:rPr>
          <w:rFonts w:ascii="Times New Roman" w:cs="Times New Roman" w:eastAsia="Times New Roman" w:hAnsi="Times New Roman"/>
          <w:b/>
          <w:bCs/>
          <w:i w:val="false"/>
          <w:iCs w:val="false"/>
          <w:sz w:val="30"/>
          <w:szCs w:val="30"/>
        </w:rPr>
        <w:t xml:space="preserve">CHAPTER 4: MATERIALS AND METHODS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4.1 Study design</w:t>
      </w:r>
    </w:p>
    <w:p>
      <w:pPr>
        <w:spacing w:after="0" w:line="360"/>
        <w:jc w:val="both"/>
      </w:pPr>
      <w:r>
        <w:rPr>
          <w:rFonts w:ascii="Times New Roman" w:cs="Times New Roman" w:eastAsia="Times New Roman" w:hAnsi="Times New Roman"/>
          <w:b w:val="false"/>
          <w:bCs w:val="false"/>
          <w:i w:val="false"/>
          <w:iCs w:val="false"/>
          <w:sz w:val="24"/>
          <w:szCs w:val="24"/>
        </w:rPr>
        <w:t xml:space="preserve">The study uses a repeated-measures crossover design of the split-plot type. Display polarity, at two levels, and text colour, at five, are manipulated within session; ambient illumination, at two levels, is manipulated at session level, each participant receiving both levels in counterbalanced order. All three factors are therefore within-participant, with illumination acting as the whole-plot factor and polarity and text colour as sub-plot factors.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Polarity and colour together give ten display conditions. Each is administered under both illumination levels, so every participant contributes twenty condition-runs. Illumination is varied between sessions rather than within, because a fully crossed within-session design would be unmanageable in one sitting and because room light cannot be switched without re-adaptation. The two sessions are separated by 48 to 72 hours. Figure 4.1 sets out the sequence of phases.</w:t>
      </w:r>
    </w:p>
    <w:p>
      <w:pPr>
        <w:spacing w:after="0" w:line="360"/>
        <w:ind w:firstLine="360"/>
        <w:jc w:val="both"/>
      </w:pPr>
      <w:r>
        <w:rPr>
          <w:rFonts w:ascii="Times New Roman" w:cs="Times New Roman" w:eastAsia="Times New Roman" w:hAnsi="Times New Roman"/>
          <w:b/>
          <w:bCs/>
          <w:i w:val="false"/>
          <w:iCs w:val="false"/>
          <w:sz w:val="24"/>
          <w:szCs w:val="24"/>
        </w:rPr>
        <w:t xml:space="preserve">Figure 4.1.</w:t>
      </w:r>
      <w:r>
        <w:rPr>
          <w:rFonts w:ascii="Times New Roman" w:cs="Times New Roman" w:eastAsia="Times New Roman" w:hAnsi="Times New Roman"/>
          <w:b w:val="false"/>
          <w:bCs w:val="false"/>
          <w:i w:val="false"/>
          <w:iCs w:val="false"/>
          <w:sz w:val="24"/>
          <w:szCs w:val="24"/>
        </w:rPr>
        <w:t xml:space="preserve"> Flow of the proposed study.**</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Phase I. Ethics approval, instrument development and pilot, photometric characterisation of the tablet</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Phase II. Recruitment (about 180 approached), screening, consent (n = 145), baseline profiling</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Phase III. Session 1: ten display conditions under illumination level A, in Williams order</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Phase IV. Session 2 after 48 to 72 hours: the same ten conditions under illumination level B</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Phase V. Automated ocular metrics, quality-control gating, manual-annotation validation sub-study</w:t>
            </w:r>
          </w:p>
        </w:tc>
      </w:tr>
    </w:tbl>
    <w:p>
      <w:pPr>
        <w:spacing w:after="0" w:before="0" w:line="60"/>
      </w:pPr>
      <w:r>
        <w:rPr>
          <w:sz w:val="4"/>
          <w:szCs w:val="4"/>
        </w:rPr>
        <w:t xml:space="preserve"/>
      </w:r>
    </w:p>
    <w:p>
      <w:pPr>
        <w:keepNext/>
        <w:spacing w:after="0" w:before="0" w:line="180"/>
        <w:jc w:val="center"/>
      </w:pPr>
      <w:r>
        <w:rPr>
          <w:rFonts w:ascii="Times New Roman" w:cs="Times New Roman" w:eastAsia="Times New Roman" w:hAnsi="Times New Roman"/>
          <w:sz w:val="18"/>
          <w:szCs w:val="18"/>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single" w:color="5B6B7C" w:sz="6"/>
              <w:left w:val="single" w:color="5B6B7C" w:sz="6"/>
              <w:bottom w:val="single" w:color="5B6B7C" w:sz="6"/>
              <w:right w:val="single" w:color="5B6B7C" w:sz="6"/>
            </w:tcBorders>
            <w:shd w:fill="EDF2F9" w:color="auto"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17"/>
                <w:szCs w:val="17"/>
              </w:rPr>
              <w:t xml:space="preserve">Phase VI. Mixed-effects analysis (target n = 130, 2,600 condition-runs) and design recommendations</w:t>
            </w:r>
          </w:p>
        </w:tc>
      </w:tr>
    </w:tbl>
    <w:p>
      <w:pPr>
        <w:spacing w:after="60" w:line="120"/>
      </w:pPr>
      <w:r>
        <w:rPr>
          <w:sz w:val="8"/>
          <w:szCs w:val="8"/>
        </w:rPr>
        <w:t xml:space="preserve"/>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4.2 Setting, participants and sampling</w:t>
      </w:r>
    </w:p>
    <w:p>
      <w:pPr>
        <w:spacing w:after="0" w:line="360"/>
        <w:jc w:val="both"/>
      </w:pPr>
      <w:r>
        <w:rPr>
          <w:rFonts w:ascii="Times New Roman" w:cs="Times New Roman" w:eastAsia="Times New Roman" w:hAnsi="Times New Roman"/>
          <w:b w:val="false"/>
          <w:bCs w:val="false"/>
          <w:i w:val="false"/>
          <w:iCs w:val="false"/>
          <w:sz w:val="24"/>
          <w:szCs w:val="24"/>
        </w:rPr>
        <w:t xml:space="preserve">The study will be conducted in a controlled laboratory room at Assam down town University in which ambient illuminance can be held constant and daylight excluded. Data collection is expected to run for approximately 24 months following ethics approval and piloting.</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Recruitment uses non-probability purposive sampling, with consecutive enrolment of eligible volunteers from the university and its associated institutions, so that cognitive, visual and digital-exposure characteristics stay reasonably homogeneous and the within-subject contrasts are not diluted by uncontrolled heterogeneity. The findings are accordingly not intended to estimate population prevalence, and generalisation beyond comparable young-adult screen users is made with caution. Infinite-population formulae of the form n = Z²pq/e² do not apply, since this is a controlled repeated-measures experiment in which each participant serves as their own control.</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target is 130 participants aged 18 to 35 for analysis, with 145 enrolled to allow for attrition. The figure is a multiple of ten, which the counterbalancing scheme described in Section 4.7 requires for complete balance, and it follows from a simulation-based power analysis conducted by the investigator rather than from a formula that assumes independent observations. The design has two units of replication. Within-participant contrasts, which carry Objectives 1 and 2 and both the primary and key secondary outcomes, are efficient because each participant contributes twenty condition-runs. Between-participant moderation, which is Objective 3, is far more demanding. Table 4.1 gives the simulated power. The binding constraint is the polarity-by-colour interaction central to Objective 2: reaching 80 per cent power for that interaction at a within-participant effect size (dz) of 0.25 requires approximately 128 participants, and moderate between-participant moderation of 0.50 SD requires approximately 127, so a sample of 130 satisfies both while giving better than 90 per cent power for the polarity main effect. Detecting small moderation of 0.40 SD would require approximately 200 participants, so moderation of that magnitude is declared exploratory in advance and will be reported with confidence intervals rather than as a confirmatory test.</w:t>
      </w:r>
    </w:p>
    <w:p>
      <w:pPr>
        <w:spacing w:after="0" w:line="360"/>
        <w:ind w:firstLine="360"/>
        <w:jc w:val="both"/>
      </w:pPr>
      <w:r>
        <w:rPr>
          <w:rFonts w:ascii="Times New Roman" w:cs="Times New Roman" w:eastAsia="Times New Roman" w:hAnsi="Times New Roman"/>
          <w:b/>
          <w:bCs/>
          <w:i w:val="false"/>
          <w:iCs w:val="false"/>
          <w:sz w:val="24"/>
          <w:szCs w:val="24"/>
        </w:rPr>
        <w:t xml:space="preserve">Table 4.1.</w:t>
      </w:r>
      <w:r>
        <w:rPr>
          <w:rFonts w:ascii="Times New Roman" w:cs="Times New Roman" w:eastAsia="Times New Roman" w:hAnsi="Times New Roman"/>
          <w:b w:val="false"/>
          <w:bCs w:val="false"/>
          <w:i w:val="false"/>
          <w:iCs w:val="false"/>
          <w:sz w:val="24"/>
          <w:szCs w:val="24"/>
        </w:rPr>
        <w:t xml:space="preserve"> Simulation-based power (20,000 replications per cell, two-sided alpha of 0.05).**</w:t>
      </w:r>
    </w:p>
    <w:tbl>
      <w:tblPr>
        <w:tblW w:type="dxa" w:w="9071"/>
        <w:tblBorders>
          <w:top w:val="single" w:color="7A8896" w:sz="4"/>
          <w:left w:val="single" w:color="7A8896" w:sz="4"/>
          <w:bottom w:val="single" w:color="7A8896" w:sz="4"/>
          <w:right w:val="single" w:color="7A8896" w:sz="4"/>
          <w:insideH w:val="single" w:color="B4BCC4" w:sz="2"/>
          <w:insideV w:val="single" w:color="B4BCC4" w:sz="2"/>
        </w:tblBorders>
      </w:tblPr>
      <w:tblGrid>
        <w:gridCol w:w="4537"/>
        <w:gridCol w:w="1313"/>
        <w:gridCol w:w="716"/>
        <w:gridCol w:w="835"/>
        <w:gridCol w:w="835"/>
        <w:gridCol w:w="835"/>
      </w:tblGrid>
      <w:tr>
        <w:trPr>
          <w:tblHeader/>
        </w:trPr>
        <w:tc>
          <w:tcPr>
            <w:tcW w:type="dxa" w:w="4537"/>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Analysis</w:t>
            </w:r>
          </w:p>
        </w:tc>
        <w:tc>
          <w:tcPr>
            <w:tcW w:type="dxa" w:w="1313"/>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Effect size</w:t>
            </w:r>
          </w:p>
        </w:tc>
        <w:tc>
          <w:tcPr>
            <w:tcW w:type="dxa" w:w="716"/>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 = 60</w:t>
            </w:r>
          </w:p>
        </w:tc>
        <w:tc>
          <w:tcPr>
            <w:tcW w:type="dxa" w:w="835"/>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 = 100</w:t>
            </w:r>
          </w:p>
        </w:tc>
        <w:tc>
          <w:tcPr>
            <w:tcW w:type="dxa" w:w="835"/>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 = 130</w:t>
            </w:r>
          </w:p>
        </w:tc>
        <w:tc>
          <w:tcPr>
            <w:tcW w:type="dxa" w:w="835"/>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 = 200</w:t>
            </w:r>
          </w:p>
        </w:tc>
      </w:tr>
      <w:tr>
        <w:tc>
          <w:tcPr>
            <w:tcW w:type="dxa" w:w="453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Within: polarity main effect</w:t>
            </w:r>
          </w:p>
        </w:tc>
        <w:tc>
          <w:tcPr>
            <w:tcW w:type="dxa" w:w="131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dz = 0.40</w:t>
            </w:r>
          </w:p>
        </w:tc>
        <w:tc>
          <w:tcPr>
            <w:tcW w:type="dxa" w:w="71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86%</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98%</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&gt;99%</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&gt;99%</w:t>
            </w:r>
          </w:p>
        </w:tc>
      </w:tr>
      <w:tr>
        <w:tc>
          <w:tcPr>
            <w:tcW w:type="dxa" w:w="453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Within: polarity main effect</w:t>
            </w:r>
          </w:p>
        </w:tc>
        <w:tc>
          <w:tcPr>
            <w:tcW w:type="dxa" w:w="131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dz = 0.30</w:t>
            </w:r>
          </w:p>
        </w:tc>
        <w:tc>
          <w:tcPr>
            <w:tcW w:type="dxa" w:w="71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62%</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84%</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92%</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99%</w:t>
            </w:r>
          </w:p>
        </w:tc>
      </w:tr>
      <w:tr>
        <w:tc>
          <w:tcPr>
            <w:tcW w:type="dxa" w:w="453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Within: polarity by colour interaction</w:t>
            </w:r>
          </w:p>
        </w:tc>
        <w:tc>
          <w:tcPr>
            <w:tcW w:type="dxa" w:w="131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dz = 0.25</w:t>
            </w:r>
          </w:p>
        </w:tc>
        <w:tc>
          <w:tcPr>
            <w:tcW w:type="dxa" w:w="71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47%</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71%</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81%</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94%</w:t>
            </w:r>
          </w:p>
        </w:tc>
      </w:tr>
      <w:tr>
        <w:tc>
          <w:tcPr>
            <w:tcW w:type="dxa" w:w="453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Between: moderation, large</w:t>
            </w:r>
          </w:p>
        </w:tc>
        <w:tc>
          <w:tcPr>
            <w:tcW w:type="dxa" w:w="131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0.60 SD</w:t>
            </w:r>
          </w:p>
        </w:tc>
        <w:tc>
          <w:tcPr>
            <w:tcW w:type="dxa" w:w="71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62%</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84%</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92%</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99%</w:t>
            </w:r>
          </w:p>
        </w:tc>
      </w:tr>
      <w:tr>
        <w:tc>
          <w:tcPr>
            <w:tcW w:type="dxa" w:w="453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Between: moderation, moderate</w:t>
            </w:r>
          </w:p>
        </w:tc>
        <w:tc>
          <w:tcPr>
            <w:tcW w:type="dxa" w:w="131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0.50 SD</w:t>
            </w:r>
          </w:p>
        </w:tc>
        <w:tc>
          <w:tcPr>
            <w:tcW w:type="dxa" w:w="71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48%</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70%</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81%</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94%</w:t>
            </w:r>
          </w:p>
        </w:tc>
      </w:tr>
      <w:tr>
        <w:tc>
          <w:tcPr>
            <w:tcW w:type="dxa" w:w="453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Between: moderation, small</w:t>
            </w:r>
          </w:p>
        </w:tc>
        <w:tc>
          <w:tcPr>
            <w:tcW w:type="dxa" w:w="131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0.40 SD</w:t>
            </w:r>
          </w:p>
        </w:tc>
        <w:tc>
          <w:tcPr>
            <w:tcW w:type="dxa" w:w="71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34%</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51%</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62%</w:t>
            </w:r>
          </w:p>
        </w:tc>
        <w:tc>
          <w:tcPr>
            <w:tcW w:type="dxa" w:w="8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80%</w:t>
            </w:r>
          </w:p>
        </w:tc>
      </w:tr>
    </w:tbl>
    <w:p>
      <w:pPr>
        <w:spacing w:after="40" w:line="120"/>
      </w:pPr>
      <w:r>
        <w:rPr>
          <w:sz w:val="8"/>
          <w:szCs w:val="8"/>
        </w:rPr>
        <w:t xml:space="preserve"/>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 sample of 130 is smaller than those typical of between-participant survey research, but the quantity governing precision here is the number of condition-runs rather than the number of participants, and on that quantity the proposed design is substantially larger than the studies from which its measures are drawn. Those studies, set against the present design in Table 4.2, enrolled between 11 and 50 participants and obtained between 11 and 300 condition-runs in total, the largest being Argilés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at 300 and Jiménez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at 280. The proposed 130 participants at 20 runs each yield 2,600 condition-runs, roughly nine times the largest comparable study. None of these studies combined a sample of this size with per-condition ocular measurement under a manipulated display parameter, and none manipulated polarity, text colour and ambient illumination together: where a display parameter was manipulated at all it was a single one, and the studies that measured blink composition most carefully manipulated no display property whatever.</w:t>
      </w:r>
    </w:p>
    <w:p>
      <w:pPr>
        <w:spacing w:after="0" w:line="360"/>
        <w:ind w:firstLine="360"/>
        <w:jc w:val="both"/>
      </w:pPr>
      <w:r>
        <w:rPr>
          <w:rFonts w:ascii="Times New Roman" w:cs="Times New Roman" w:eastAsia="Times New Roman" w:hAnsi="Times New Roman"/>
          <w:b/>
          <w:bCs/>
          <w:i w:val="false"/>
          <w:iCs w:val="false"/>
          <w:sz w:val="24"/>
          <w:szCs w:val="24"/>
        </w:rPr>
        <w:t xml:space="preserve">Table 4.2.</w:t>
      </w:r>
      <w:r>
        <w:rPr>
          <w:rFonts w:ascii="Times New Roman" w:cs="Times New Roman" w:eastAsia="Times New Roman" w:hAnsi="Times New Roman"/>
          <w:b w:val="false"/>
          <w:bCs w:val="false"/>
          <w:i w:val="false"/>
          <w:iCs w:val="false"/>
          <w:sz w:val="24"/>
          <w:szCs w:val="24"/>
        </w:rPr>
        <w:t xml:space="preserve"> The proposed design set against the published studies from which its measures are drawn.**</w:t>
      </w:r>
    </w:p>
    <w:tbl>
      <w:tblPr>
        <w:tblW w:type="dxa" w:w="9071"/>
        <w:tblBorders>
          <w:top w:val="single" w:color="7A8896" w:sz="4"/>
          <w:left w:val="single" w:color="7A8896" w:sz="4"/>
          <w:bottom w:val="single" w:color="7A8896" w:sz="4"/>
          <w:right w:val="single" w:color="7A8896" w:sz="4"/>
          <w:insideH w:val="single" w:color="B4BCC4" w:sz="2"/>
          <w:insideV w:val="single" w:color="B4BCC4" w:sz="2"/>
        </w:tblBorders>
      </w:tblPr>
      <w:tblGrid>
        <w:gridCol w:w="772"/>
        <w:gridCol w:w="650"/>
        <w:gridCol w:w="650"/>
        <w:gridCol w:w="1272"/>
        <w:gridCol w:w="999"/>
        <w:gridCol w:w="3046"/>
        <w:gridCol w:w="1682"/>
      </w:tblGrid>
      <w:tr>
        <w:trPr>
          <w:tblHeader/>
        </w:trPr>
        <w:tc>
          <w:tcPr>
            <w:tcW w:type="dxa" w:w="77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Study</w:t>
            </w:r>
          </w:p>
        </w:tc>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Year</w:t>
            </w:r>
          </w:p>
        </w:tc>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N</w:t>
            </w:r>
          </w:p>
        </w:tc>
        <w:tc>
          <w:tcPr>
            <w:tcW w:type="dxa" w:w="127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Conditions per participant</w:t>
            </w:r>
          </w:p>
        </w:tc>
        <w:tc>
          <w:tcPr>
            <w:tcW w:type="dxa" w:w="999"/>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Total condition-runs</w:t>
            </w:r>
          </w:p>
        </w:tc>
        <w:tc>
          <w:tcPr>
            <w:tcW w:type="dxa" w:w="3046"/>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Ocular measure</w:t>
            </w:r>
          </w:p>
        </w:tc>
        <w:tc>
          <w:tcPr>
            <w:tcW w:type="dxa" w:w="168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Display parameter manipulated</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Hirota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2013</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11</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11</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composition, tear break-up</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None</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Jackson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2016</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12</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24</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PERCLOS</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None</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Jiménez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2020</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14</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280</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Accommodation, pupil</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Text-background colour</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Portello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2013</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21</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42</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rate, completeness</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None</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Cardona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2011</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25</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75</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rate, amplitude</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Task dynamism</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M. Lin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2025</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30</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120</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patterns, tear film</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Ambient light and screen brightness</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Argilés </w:t>
            </w:r>
            <w:r>
              <w:rPr>
                <w:rFonts w:ascii="Times New Roman" w:cs="Times New Roman" w:eastAsia="Times New Roman" w:hAnsi="Times New Roman"/>
                <w:b w:val="false"/>
                <w:bCs w:val="false"/>
                <w:i/>
                <w:iCs/>
                <w:sz w:val="15"/>
                <w:szCs w:val="15"/>
              </w:rPr>
              <w:t xml:space="preserve">et al.</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2015</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50</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300</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Blink rate, completeness</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Reading medium</w:t>
            </w:r>
          </w:p>
        </w:tc>
      </w:tr>
      <w:tr>
        <w:tc>
          <w:tcPr>
            <w:tcW w:type="dxa" w:w="772"/>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Proposed study</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Proposed</w:t>
            </w:r>
          </w:p>
        </w:tc>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130</w:t>
            </w:r>
          </w:p>
        </w:tc>
        <w:tc>
          <w:tcPr>
            <w:tcW w:type="dxa" w:w="1272"/>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20</w:t>
            </w:r>
          </w:p>
        </w:tc>
        <w:tc>
          <w:tcPr>
            <w:tcW w:type="dxa" w:w="999"/>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2,600</w:t>
            </w:r>
          </w:p>
        </w:tc>
        <w:tc>
          <w:tcPr>
            <w:tcW w:type="dxa" w:w="3046"/>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Incomplete-blink ratio, blink rate, inter-blink interval, PERCLOS</w:t>
            </w:r>
          </w:p>
        </w:tc>
        <w:tc>
          <w:tcPr>
            <w:tcW w:type="dxa" w:w="1682"/>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Polarity, colour and illumination</w:t>
            </w:r>
          </w:p>
        </w:tc>
      </w:tr>
    </w:tbl>
    <w:p>
      <w:pPr>
        <w:spacing w:after="40" w:line="120"/>
      </w:pPr>
      <w:r>
        <w:rPr>
          <w:sz w:val="8"/>
          <w:szCs w:val="8"/>
        </w:rPr>
        <w:t xml:space="preserve"/>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Participants must be young adults with normal or corrected acuity and substantial habitual screen exposure, and free of any ocular, systemic, neurological or psychiatric condition, medication or optical state that would independently affect the tear film, accommodation, colour discrimination or reading. The criteria are applied at screening in the operational form given in Table 4.3.</w:t>
      </w:r>
    </w:p>
    <w:p>
      <w:pPr>
        <w:spacing w:after="0" w:line="360"/>
        <w:ind w:firstLine="360"/>
        <w:jc w:val="both"/>
      </w:pPr>
      <w:r>
        <w:rPr>
          <w:rFonts w:ascii="Times New Roman" w:cs="Times New Roman" w:eastAsia="Times New Roman" w:hAnsi="Times New Roman"/>
          <w:b/>
          <w:bCs/>
          <w:i w:val="false"/>
          <w:iCs w:val="false"/>
          <w:sz w:val="24"/>
          <w:szCs w:val="24"/>
        </w:rPr>
        <w:t xml:space="preserve">Table 4.3.</w:t>
      </w:r>
      <w:r>
        <w:rPr>
          <w:rFonts w:ascii="Times New Roman" w:cs="Times New Roman" w:eastAsia="Times New Roman" w:hAnsi="Times New Roman"/>
          <w:b w:val="false"/>
          <w:bCs w:val="false"/>
          <w:i w:val="false"/>
          <w:iCs w:val="false"/>
          <w:sz w:val="24"/>
          <w:szCs w:val="24"/>
        </w:rPr>
        <w:t xml:space="preserve"> Eligibility criteria.**</w:t>
      </w:r>
    </w:p>
    <w:tbl>
      <w:tblPr>
        <w:tblW w:type="dxa" w:w="9071"/>
        <w:tblBorders>
          <w:top w:val="single" w:color="7A8896" w:sz="4"/>
          <w:left w:val="single" w:color="7A8896" w:sz="4"/>
          <w:bottom w:val="single" w:color="7A8896" w:sz="4"/>
          <w:right w:val="single" w:color="7A8896" w:sz="4"/>
          <w:insideH w:val="single" w:color="B4BCC4" w:sz="2"/>
          <w:insideV w:val="single" w:color="B4BCC4" w:sz="2"/>
        </w:tblBorders>
      </w:tblPr>
      <w:tblGrid>
        <w:gridCol w:w="4536"/>
        <w:gridCol w:w="4535"/>
      </w:tblGrid>
      <w:tr>
        <w:trPr>
          <w:tblHeader/>
        </w:trPr>
        <w:tc>
          <w:tcPr>
            <w:tcW w:type="dxa" w:w="4536"/>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Inclusion</w:t>
            </w:r>
          </w:p>
        </w:tc>
        <w:tc>
          <w:tcPr>
            <w:tcW w:type="dxa" w:w="4535"/>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Exclusion</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Age 18 to 35 years</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Refractive error beyond ±3.00 D</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Distance visual acuity 6/6 or better, with or without correction</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Manifest binocular vision disorder</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Habitual screen use of at least four hours daily</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Colour-vision deficiency on screening</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 known ocular, systemic or neurological illness</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History of photosensitivity or migraine</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Able to give written informed consent</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Medication affecting vision, accommodation or tear film</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Available for two sessions 48 to 72 hours apart</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Diagnosed learning or psychiatric disorder</w:t>
            </w:r>
          </w:p>
        </w:tc>
      </w:tr>
      <w:tr>
        <w:tc>
          <w:tcPr>
            <w:tcW w:type="dxa" w:w="4536"/>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 further inclusion criteria</w:t>
            </w:r>
          </w:p>
        </w:tc>
        <w:tc>
          <w:tcPr>
            <w:tcW w:type="dxa" w:w="4535"/>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Contact-lens wear on test days; ocular surgery within six months</w:t>
            </w:r>
          </w:p>
        </w:tc>
      </w:tr>
    </w:tbl>
    <w:p>
      <w:pPr>
        <w:spacing w:after="40" w:line="120"/>
      </w:pPr>
      <w:r>
        <w:rPr>
          <w:sz w:val="8"/>
          <w:szCs w:val="8"/>
        </w:rPr>
        <w:t xml:space="preserve"/>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Screening comprises visual acuity, non-cycloplegic refraction, cover test, near point of convergence and Ishihara colour-vision screening presented on the study display. Presenting the plates on a display rather than in the booklet is defensible: sensitivity was 94.4 per cent and specificity 82.4 per cent on a calibrated monitor, and 96.0 and 94.7 per cent on a smartphone, with no significant difference between modes (Klinke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and a multicentre evaluation of a display-based colour-vision screener reported sensitivity of 1.00 and specificity of 0.99 against the Colour Assessment and Diagnosis test (Evans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Screening is an aid rather than a diagnosis, and its outcomes are recorded as covariates. A profiling questionnaire covering habitual display-mode preference, screen exposure, lighting environment, digital literacy, hours since waking and recent caffeine intake supplies the moderators for Objective 3 and the sleepiness covariates.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4.3 Display conditions and photometric characterisation</w:t>
      </w:r>
    </w:p>
    <w:p>
      <w:pPr>
        <w:spacing w:after="0" w:line="360"/>
        <w:jc w:val="both"/>
      </w:pPr>
      <w:r>
        <w:rPr>
          <w:rFonts w:ascii="Times New Roman" w:cs="Times New Roman" w:eastAsia="Times New Roman" w:hAnsi="Times New Roman"/>
          <w:b w:val="false"/>
          <w:bCs w:val="false"/>
          <w:i w:val="false"/>
          <w:iCs w:val="false"/>
          <w:sz w:val="24"/>
          <w:szCs w:val="24"/>
        </w:rPr>
        <w:t xml:space="preserve">All conditions are presented on a single fixed tablet at a viewing distance of 50 to 60 cm, with brightness fixed, automatic brightness and any blue-light filter disabled, and the screen cleaned before each session. Display white-point luminance is measured photometrically and recorded per session, with a working target of 120 to 150 cd/m². That target is informed by the optimum of 153 cd/m² determined under 300 lux (C. Lin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and scaled for the lower domestic illuminance used here. Typography, line height and margins are fixed across conditions, so polarity and colour are the only stimulus properties that vary. Contrast is computed from linearised sRGB relative luminance following the accessibility standard (World Wide Web Consortium, 2023).</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Four properties of the resulting matrix, tabulated in Table 4.4, matter for the analysis. The contrast ordering is inverted between the polarities, and this is arithmetic rather than design, since contrast on a white field falls as the text lightens while contrast on a black field rises. The achromatic pair is contrast-matched at 21.00:1 and gives the cleanest test of polarity, being an experimental rather than a statistical control and the one comparison in which a polarity effect cannot be attributed to contrast. Conditions falling below the accessibility minimum are balanced two per polarity, so polarity is not confounded with accessibility compliance. Michelson contrast is uninformative under negative polarity, because a pure black background sets the minimum luminance to zero and the metric saturates at 1.000 for every colour; the accessibility contrast ratio, supported by measured photometry, therefore serves as the analytic contrast variable.</w:t>
      </w:r>
    </w:p>
    <w:p>
      <w:pPr>
        <w:spacing w:after="0" w:line="360"/>
        <w:ind w:firstLine="360"/>
        <w:jc w:val="both"/>
      </w:pPr>
      <w:r>
        <w:rPr>
          <w:rFonts w:ascii="Times New Roman" w:cs="Times New Roman" w:eastAsia="Times New Roman" w:hAnsi="Times New Roman"/>
          <w:b/>
          <w:bCs/>
          <w:i w:val="false"/>
          <w:iCs w:val="false"/>
          <w:sz w:val="24"/>
          <w:szCs w:val="24"/>
        </w:rPr>
        <w:t xml:space="preserve">Table 4.4.</w:t>
      </w:r>
      <w:r>
        <w:rPr>
          <w:rFonts w:ascii="Times New Roman" w:cs="Times New Roman" w:eastAsia="Times New Roman" w:hAnsi="Times New Roman"/>
          <w:b w:val="false"/>
          <w:bCs w:val="false"/>
          <w:i w:val="false"/>
          <w:iCs w:val="false"/>
          <w:sz w:val="24"/>
          <w:szCs w:val="24"/>
        </w:rPr>
        <w:t xml:space="preserve"> The ten display conditions with computed contrast.** Ratios are calculated from linearised sRGB relative luminance (World Wide Web Consortium, 2023) and will be confirmed against measured display photometry.</w:t>
      </w:r>
    </w:p>
    <w:p>
      <w:pPr>
        <w:sectPr>
          <w:pgSz w:w="11906" w:h="16838" w:orient="portrait"/>
          <w:pgMar w:top="1440" w:right="1134" w:bottom="1440" w:left="1701" w:header="708" w:footer="708" w:gutter="0"/>
          <w:pgNumType/>
          <w:docGrid w:linePitch="360"/>
        </w:sectPr>
      </w:pPr>
    </w:p>
    <w:tbl>
      <w:tblPr>
        <w:tblW w:type="dxa" w:w="14003"/>
        <w:tblBorders>
          <w:top w:val="single" w:color="7A8896" w:sz="4"/>
          <w:left w:val="single" w:color="7A8896" w:sz="4"/>
          <w:bottom w:val="single" w:color="7A8896" w:sz="4"/>
          <w:right w:val="single" w:color="7A8896" w:sz="4"/>
          <w:insideH w:val="single" w:color="B4BCC4" w:sz="2"/>
          <w:insideV w:val="single" w:color="B4BCC4" w:sz="2"/>
        </w:tblBorders>
      </w:tblPr>
      <w:tblGrid>
        <w:gridCol w:w="650"/>
        <w:gridCol w:w="788"/>
        <w:gridCol w:w="2159"/>
        <w:gridCol w:w="1571"/>
        <w:gridCol w:w="1963"/>
        <w:gridCol w:w="1963"/>
        <w:gridCol w:w="1571"/>
        <w:gridCol w:w="1767"/>
        <w:gridCol w:w="1571"/>
      </w:tblGrid>
      <w:tr>
        <w:trPr>
          <w:tblHeader/>
        </w:trPr>
        <w:tc>
          <w:tcPr>
            <w:tcW w:type="dxa" w:w="650"/>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Sl.</w:t>
            </w:r>
          </w:p>
        </w:tc>
        <w:tc>
          <w:tcPr>
            <w:tcW w:type="dxa" w:w="788"/>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Code</w:t>
            </w:r>
          </w:p>
        </w:tc>
        <w:tc>
          <w:tcPr>
            <w:tcW w:type="dxa" w:w="2159"/>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Text colour</w:t>
            </w:r>
          </w:p>
        </w:tc>
        <w:tc>
          <w:tcPr>
            <w:tcW w:type="dxa" w:w="1571"/>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Text hex</w:t>
            </w:r>
          </w:p>
        </w:tc>
        <w:tc>
          <w:tcPr>
            <w:tcW w:type="dxa" w:w="1963"/>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Background</w:t>
            </w:r>
          </w:p>
        </w:tc>
        <w:tc>
          <w:tcPr>
            <w:tcW w:type="dxa" w:w="1963"/>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WCAG ratio</w:t>
            </w:r>
          </w:p>
        </w:tc>
        <w:tc>
          <w:tcPr>
            <w:tcW w:type="dxa" w:w="1571"/>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Level</w:t>
            </w:r>
          </w:p>
        </w:tc>
        <w:tc>
          <w:tcPr>
            <w:tcW w:type="dxa" w:w="1767"/>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Michelson</w:t>
            </w:r>
          </w:p>
        </w:tc>
        <w:tc>
          <w:tcPr>
            <w:tcW w:type="dxa" w:w="1571"/>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Below AA</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P1</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Achromatic</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#000000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#FFFFFF</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21.00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AAA</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1.000</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P2</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Blue</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#1E4ED8</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#FFFFFF</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6.70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0.807</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P3</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Red</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#C81E1E</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#FFFFFF</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5.74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0.765</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4</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P4</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Yellow</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#C9A400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#FFFFFF</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2.39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Fail</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0.439</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Yes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5</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P5</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Green</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#00A651</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#FFFFFF</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3.19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 Large</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0.564</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Yes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N1</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Achromatic</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#FFFFFF</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#000000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21.00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AAA</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1.000</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7</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N2</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Blue</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#1E4ED8</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#000000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3.14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 Large</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1.000</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Yes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N3</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Red</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#C81E1E</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#000000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3.66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 Large</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1.000</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Yes</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9</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N4</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Yellow</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#C9A400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#000000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8.79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AAA</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1.000</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w:t>
            </w:r>
          </w:p>
        </w:tc>
      </w:tr>
      <w:tr>
        <w:tc>
          <w:tcPr>
            <w:tcW w:type="dxa" w:w="650"/>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w:t>
            </w:r>
          </w:p>
        </w:tc>
        <w:tc>
          <w:tcPr>
            <w:tcW w:type="dxa" w:w="788"/>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N5</w:t>
            </w:r>
          </w:p>
        </w:tc>
        <w:tc>
          <w:tcPr>
            <w:tcW w:type="dxa" w:w="215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Green</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#00A651</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#000000</w:t>
            </w:r>
          </w:p>
        </w:tc>
        <w:tc>
          <w:tcPr>
            <w:tcW w:type="dxa" w:w="1963"/>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6.57 : 1</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AA</w:t>
            </w:r>
          </w:p>
        </w:tc>
        <w:tc>
          <w:tcPr>
            <w:tcW w:type="dxa" w:w="1767"/>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1.000</w:t>
            </w:r>
          </w:p>
        </w:tc>
        <w:tc>
          <w:tcPr>
            <w:tcW w:type="dxa" w:w="1571"/>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No</w:t>
            </w:r>
          </w:p>
        </w:tc>
      </w:tr>
    </w:tbl>
    <w:p>
      <w:pPr>
        <w:spacing w:after="40" w:line="120"/>
      </w:pPr>
      <w:r>
        <w:rPr>
          <w:sz w:val="8"/>
          <w:szCs w:val="8"/>
        </w:rPr>
        <w:t xml:space="preserve"/>
      </w:r>
    </w:p>
    <w:p>
      <w:pPr>
        <w:sectPr>
          <w:pgSz w:w="16838" w:h="11906" w:orient="portrait"/>
          <w:pgMar w:top="1440" w:right="1134" w:bottom="1440" w:left="1701" w:header="708" w:footer="708" w:gutter="0"/>
          <w:pgNumType/>
          <w:docGrid w:linePitch="360"/>
        </w:sectPr>
      </w:pP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4.4 Ambient illumination</w:t>
      </w:r>
    </w:p>
    <w:p>
      <w:pPr>
        <w:spacing w:after="0" w:line="360"/>
        <w:jc w:val="both"/>
      </w:pPr>
      <w:r>
        <w:rPr>
          <w:rFonts w:ascii="Times New Roman" w:cs="Times New Roman" w:eastAsia="Times New Roman" w:hAnsi="Times New Roman"/>
          <w:b w:val="false"/>
          <w:bCs w:val="false"/>
          <w:i w:val="false"/>
          <w:iCs w:val="false"/>
          <w:sz w:val="24"/>
          <w:szCs w:val="24"/>
        </w:rPr>
        <w:t xml:space="preserve">Illuminance is set and verified at the participant's eye position and at the display plane with a calibrated lux meter, and is logged at the start, middle and end of each session. The dim level targets approximately 10 lux, representing night-time and low-light domestic use. The moderate level targets approximately 150 lux, representing general indoor domestic lighting, and is set deliberately below the 300 to 500 lux specified for offices and classrooms in the Indian interior-illumination code (Bureau of Indian Standards, 2009). Two levels rather than a graded series were chosen so that illumination could be crossed with all ten display conditions within a feasible protocol. The values fall either side of the range at which negative-polarity penalties have been reported to emerge (Dobres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Fan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and differ by approximately one log unit, which makes a pupillary difference physiologically plausible. Because display white luminance is held constant, the ratio of display to ambient luminance, the quantity the polarity account implicates, differs by design between sessions. Correlated colour temperature and light-source type are held constant, so illuminance is the only photometric property of the room that varies.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4.5 Instrumentation and outcome measures</w:t>
      </w:r>
    </w:p>
    <w:p>
      <w:pPr>
        <w:spacing w:after="0" w:line="360"/>
        <w:jc w:val="both"/>
      </w:pPr>
      <w:r>
        <w:rPr>
          <w:rFonts w:ascii="Times New Roman" w:cs="Times New Roman" w:eastAsia="Times New Roman" w:hAnsi="Times New Roman"/>
          <w:b w:val="false"/>
          <w:bCs w:val="false"/>
          <w:i w:val="false"/>
          <w:iCs w:val="false"/>
          <w:sz w:val="24"/>
          <w:szCs w:val="24"/>
        </w:rPr>
        <w:t xml:space="preserve">A purpose-built, offline-capable tablet application administers the protocol. It presents the ten conditions with locked colour values and a neutral grey adaptation field between them, and runs the tasks with frame-accurate onset timestamping and hardware-timestamped responses.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Ocular measurement uses camera-based facial-landmark tracking. The eye aspect ratio is computed for each processed frame, and blink events are classified by depth of closure as complete or incomplete against a baseline established for that participant at calibration. A blink is registered when the ratio falls below a fixed fraction of baseline and is classified as incomplete when the lids descend without achieving full apposition. The classification thresholds are provisional and will be finalised against manually annotated video before the main analysis is run. A pre-specified subsample of participants will contribute synchronised video, coded frame by frame by two annotators masked to condition and to algorithm output, so that agreement between the automated classifier and the adjudicated manual standard can be reported. Camera processing runs entirely on the device, and quality-control indices such as achieved sampling rate and face-presence ratio are recorded alongside every measure rather than discarded.</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primary outcome is the incomplete-blink ratio during the reading task, analysed per condition. The principal secondary outcome is change in the Computer Vision Syndrome Questionnaire score from session baseline. Remaining measures are secondary or exploratory, and PERCLOS, head pose, face-presence ratio and achieved sampling rate serve as covariates or data-quality indices rather than as outcomes. Confirmatory inference is confined to the primary outcome. Independent variables are display polarity, text colour and ambient illumination; covariates comprise serial position, illumination order, session index, measured ambient illuminance and display luminance, computed contrast metrics, PERCLOS, achieved sampling rate, refractive and binocular status, and the profiling variables. The dependent measures are grouped by domain in Table 4.5.</w:t>
      </w:r>
    </w:p>
    <w:p>
      <w:pPr>
        <w:spacing w:after="0" w:line="360"/>
        <w:ind w:firstLine="360"/>
        <w:jc w:val="both"/>
      </w:pPr>
      <w:r>
        <w:rPr>
          <w:rFonts w:ascii="Times New Roman" w:cs="Times New Roman" w:eastAsia="Times New Roman" w:hAnsi="Times New Roman"/>
          <w:b/>
          <w:bCs/>
          <w:i w:val="false"/>
          <w:iCs w:val="false"/>
          <w:sz w:val="24"/>
          <w:szCs w:val="24"/>
        </w:rPr>
        <w:t xml:space="preserve">Table 4.5.</w:t>
      </w:r>
      <w:r>
        <w:rPr>
          <w:rFonts w:ascii="Times New Roman" w:cs="Times New Roman" w:eastAsia="Times New Roman" w:hAnsi="Times New Roman"/>
          <w:b w:val="false"/>
          <w:bCs w:val="false"/>
          <w:i w:val="false"/>
          <w:iCs w:val="false"/>
          <w:sz w:val="24"/>
          <w:szCs w:val="24"/>
        </w:rPr>
        <w:t xml:space="preserve"> Dependent variables by domain.**</w:t>
      </w:r>
    </w:p>
    <w:tbl>
      <w:tblPr>
        <w:tblW w:type="dxa" w:w="9071"/>
        <w:tblBorders>
          <w:top w:val="single" w:color="7A8896" w:sz="4"/>
          <w:left w:val="single" w:color="7A8896" w:sz="4"/>
          <w:bottom w:val="single" w:color="7A8896" w:sz="4"/>
          <w:right w:val="single" w:color="7A8896" w:sz="4"/>
          <w:insideH w:val="single" w:color="B4BCC4" w:sz="2"/>
          <w:insideV w:val="single" w:color="B4BCC4" w:sz="2"/>
        </w:tblBorders>
      </w:tblPr>
      <w:tblGrid>
        <w:gridCol w:w="2352"/>
        <w:gridCol w:w="6719"/>
      </w:tblGrid>
      <w:tr>
        <w:trPr>
          <w:tblHeader/>
        </w:trPr>
        <w:tc>
          <w:tcPr>
            <w:tcW w:type="dxa" w:w="2352"/>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Domain</w:t>
            </w:r>
          </w:p>
        </w:tc>
        <w:tc>
          <w:tcPr>
            <w:tcW w:type="dxa" w:w="6719"/>
            <w:shd w:fill="E8EEF7" w:color="auto" w:val="clear"/>
            <w:tcMar>
              <w:top w:type="dxa" w:w="20"/>
              <w:left w:type="dxa" w:w="60"/>
              <w:bottom w:type="dxa" w:w="20"/>
              <w:right w:type="dxa" w:w="60"/>
            </w:tcMar>
          </w:tcPr>
          <w:p>
            <w:pPr>
              <w:spacing w:after="0" w:before="0" w:line="240"/>
            </w:pPr>
            <w:r>
              <w:rPr>
                <w:rFonts w:ascii="Times New Roman" w:cs="Times New Roman" w:eastAsia="Times New Roman" w:hAnsi="Times New Roman"/>
                <w:b/>
                <w:bCs/>
                <w:i w:val="false"/>
                <w:iCs w:val="false"/>
                <w:sz w:val="15"/>
                <w:szCs w:val="15"/>
              </w:rPr>
              <w:t xml:space="preserve">Measures</w:t>
            </w:r>
          </w:p>
        </w:tc>
      </w:tr>
      <w:tr>
        <w:tc>
          <w:tcPr>
            <w:tcW w:type="dxa" w:w="235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Ocular behaviour (objective)</w:t>
            </w:r>
          </w:p>
        </w:tc>
        <w:tc>
          <w:tcPr>
            <w:tcW w:type="dxa" w:w="671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Incomplete-blink ratio (primary); blink rate; inter-blink interval and its variability</w:t>
            </w:r>
          </w:p>
        </w:tc>
      </w:tr>
      <w:tr>
        <w:tc>
          <w:tcPr>
            <w:tcW w:type="dxa" w:w="235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Drowsiness and data quality</w:t>
            </w:r>
          </w:p>
        </w:tc>
        <w:tc>
          <w:tcPr>
            <w:tcW w:type="dxa" w:w="671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PERCLOS and long-closure events; head pose and stability; face-presence ratio; achieved sampling rate</w:t>
            </w:r>
          </w:p>
        </w:tc>
      </w:tr>
      <w:tr>
        <w:tc>
          <w:tcPr>
            <w:tcW w:type="dxa" w:w="235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Subjective fatigue</w:t>
            </w:r>
          </w:p>
        </w:tc>
        <w:tc>
          <w:tcPr>
            <w:tcW w:type="dxa" w:w="671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CVS-Q score and change from baseline, the key secondary outcome (Seguí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2015); five-item visual-fatigue visual analogue scale per condition</w:t>
            </w:r>
          </w:p>
        </w:tc>
      </w:tr>
      <w:tr>
        <w:tc>
          <w:tcPr>
            <w:tcW w:type="dxa" w:w="235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Perceived display quality</w:t>
            </w:r>
          </w:p>
        </w:tc>
        <w:tc>
          <w:tcPr>
            <w:tcW w:type="dxa" w:w="671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Display comfort and text clarity per condition</w:t>
            </w:r>
          </w:p>
        </w:tc>
      </w:tr>
      <w:tr>
        <w:tc>
          <w:tcPr>
            <w:tcW w:type="dxa" w:w="235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Cognitive workload</w:t>
            </w:r>
          </w:p>
        </w:tc>
        <w:tc>
          <w:tcPr>
            <w:tcW w:type="dxa" w:w="671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NASA Task Load Index, six dimensions, once per session (Hart &amp; Staveland, 1988)</w:t>
            </w:r>
          </w:p>
        </w:tc>
      </w:tr>
      <w:tr>
        <w:tc>
          <w:tcPr>
            <w:tcW w:type="dxa" w:w="2352"/>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Task performance (objective)</w:t>
            </w:r>
          </w:p>
        </w:tc>
        <w:tc>
          <w:tcPr>
            <w:tcW w:type="dxa" w:w="6719"/>
            <w:tcMar>
              <w:top w:type="dxa" w:w="20"/>
              <w:left w:type="dxa" w:w="60"/>
              <w:bottom w:type="dxa" w:w="20"/>
              <w:right w:type="dxa" w:w="60"/>
            </w:tcMar>
          </w:tcPr>
          <w:p>
            <w:pPr>
              <w:spacing w:after="0" w:before="0" w:line="240"/>
            </w:pPr>
            <w:r>
              <w:rPr>
                <w:rFonts w:ascii="Times New Roman" w:cs="Times New Roman" w:eastAsia="Times New Roman" w:hAnsi="Times New Roman"/>
                <w:b w:val="false"/>
                <w:bCs w:val="false"/>
                <w:i w:val="false"/>
                <w:iCs w:val="false"/>
                <w:sz w:val="15"/>
                <w:szCs w:val="15"/>
              </w:rPr>
              <w:t xml:space="preserve">Reading rate; comprehension accuracy and response time; visual-search accuracy and efficiency; reaction-time mean, variability, lapse rate, sensitivity (d-prime) and criterion</w:t>
            </w:r>
          </w:p>
        </w:tc>
      </w:tr>
    </w:tbl>
    <w:p>
      <w:pPr>
        <w:spacing w:after="40" w:line="120"/>
      </w:pPr>
      <w:r>
        <w:rPr>
          <w:sz w:val="8"/>
          <w:szCs w:val="8"/>
        </w:rPr>
        <w:t xml:space="preserve"/>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4.6 Procedure</w:t>
      </w:r>
    </w:p>
    <w:p>
      <w:pPr>
        <w:spacing w:after="0" w:line="360"/>
        <w:jc w:val="both"/>
      </w:pPr>
      <w:r>
        <w:rPr>
          <w:rFonts w:ascii="Times New Roman" w:cs="Times New Roman" w:eastAsia="Times New Roman" w:hAnsi="Times New Roman"/>
          <w:b w:val="false"/>
          <w:bCs w:val="false"/>
          <w:i w:val="false"/>
          <w:iCs w:val="false"/>
          <w:sz w:val="24"/>
          <w:szCs w:val="24"/>
        </w:rPr>
        <w:t xml:space="preserve">Each session opens with setup, seating and calibration, followed by a baseline CVS-Q and fatigue rating. It closes with the CVS-Q repeated and the NASA Task Load Index administered once, as a session-level index of cumulative workload.</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ten conditions within a session follow a fixed internal sequence. A neutral grey adaptation field precedes each condition, extended when polarity switches. The participant then reads a standardised passage in the active condition, which is the exposure window for the ocular metrics, and answers comprehension items on it. Ratings of display comfort, text clarity and visual fatigue are taken immediately afterwards, followed by a timed visual-search task and a go/no-go reaction-time task presented on the active background.</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Passages are matched for genre, length and readability, and passage assignment is counterbalanced independently of condition, so passage difficulty stays orthogonal to display condition. A self-paced rest break follows every two conditions. No performance feedback is given, so effort is not differentially modulated across conditions. The reaction-time target is achromatic and defined relative to the active background, black on light fields and white on dark ones, with the chromatic set serving as distractors; target contrast is therefore maximal and identical in both polarities, and no hue coincides with the text-colour manipulation.</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A protocol simulation run by the investigator over 2,000 synthetic participants, using reading rates drawn from the published distribution for adult non-fiction reading together with the timing constants of the instrument itself, estimates a median sitting of 92 minutes at the passage length now fixed in the instrument, with a ninety-fifth percentile of 112 minutes and 1.5 per cent of participants exceeding two hours. A pilot of ten participants will nonetheless precede the main study to test tolerability, dropout, data quality and completion time against observed rather than simulated values. If the median session exceeds two hours, or withdrawal or data quality fall short of pre-specified thresholds, each illumination level will be divided into two shorter sittings of five conditions, preserving the counterbalancing scheme and the record of serial position.</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4.7 Counterbalancing</w:t>
      </w:r>
    </w:p>
    <w:p>
      <w:pPr>
        <w:spacing w:after="0" w:line="360"/>
        <w:jc w:val="both"/>
      </w:pPr>
      <w:r>
        <w:rPr>
          <w:rFonts w:ascii="Times New Roman" w:cs="Times New Roman" w:eastAsia="Times New Roman" w:hAnsi="Times New Roman"/>
          <w:b w:val="false"/>
          <w:bCs w:val="false"/>
          <w:i w:val="false"/>
          <w:iCs w:val="false"/>
          <w:sz w:val="24"/>
          <w:szCs w:val="24"/>
        </w:rPr>
        <w:t xml:space="preserve">Two order-related threats arise. Serial-position effects are driven by the vigilance decrement and by accumulating fatigue, and first-order carryover arises chiefly from the light-adaptation transient that a polarity switch imposes. A balanced Latin square of the Williams type over the ten conditions addresses both, since each condition occupies each serial position equally often across a complete block and precedes and follows every other condition equally often. Participants are assigned to rows by sequential enrolment index, with complete balance achieved in blocks of ten.</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second illumination block advances the row by one, so that a participant does not meet the conditions in the same serial order twice; reusing the row would allow a position effect to masquerade as a condition effect in the same direction in both sessions. Illumination order is counterbalanced orthogonally to the condition row, which requires care, because assigning the order by the parity of the enrolment number alone would not be orthogonal to a row index that is itself the enrolment number modulo ten. Order is therefore alternated by parity and inverted after each completed block, which splits the two orders evenly within every block and pairs each row with both orders across twenty participants.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4.8 Statistical analysis</w:t>
      </w:r>
    </w:p>
    <w:p>
      <w:pPr>
        <w:spacing w:after="0" w:line="360"/>
        <w:jc w:val="both"/>
      </w:pPr>
      <w:r>
        <w:rPr>
          <w:rFonts w:ascii="Times New Roman" w:cs="Times New Roman" w:eastAsia="Times New Roman" w:hAnsi="Times New Roman"/>
          <w:b w:val="false"/>
          <w:bCs w:val="false"/>
          <w:i w:val="false"/>
          <w:iCs w:val="false"/>
          <w:sz w:val="24"/>
          <w:szCs w:val="24"/>
        </w:rPr>
        <w:t xml:space="preserve">The confirmatory analysis is a mixed-effects model of the primary outcome, with fixed effects for polarity, text colour, ambient illumination, their interactions, serial position and illumination order. Because the incomplete-blink ratio is a bounded proportion it will be modelled on the logit scale, or by a beta or binomial mixed model, rather than as an untransformed linear outcome. The random structure follows the split-plot design, with a random intercept for participant and one for session nested within participant. The primary contrast is tested at an alpha of 0.05, and the three-way interaction is treated as exploratory given its lower power.</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For Objective 2, two nested model families are compared: one specifying colour as a categorical factor, the other specifying luminance contrast as a continuous predictor with colour retained to capture residual hue effects, so that comparative fit and the size of the residual hue terms quantify the contribution of each. Moderation under Objective 3 is tested by entering the profiling variables as between-participant terms with condition-by-moderator interactions. Agreement between automated and manual blink classification under Objective 4 is analysed as set out in Section 4.5. Ordinal models are used for rating-scale outcomes and binomial mixed models for accuracy outcomes. Sensitivity analyses re-fit the models excluding condition-runs flagged for poor data quality, and with PERCLOS entered as a covariate so that visual fatigue can be separated from sleepiness. Effect sizes with 95 per cent confidence intervals, residual diagnostics and multiplicity control within outcome families are reported throughout.</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4.9 Ethical considerations</w:t>
      </w:r>
    </w:p>
    <w:p>
      <w:pPr>
        <w:spacing w:after="0" w:line="360"/>
        <w:jc w:val="both"/>
      </w:pPr>
      <w:r>
        <w:rPr>
          <w:rFonts w:ascii="Times New Roman" w:cs="Times New Roman" w:eastAsia="Times New Roman" w:hAnsi="Times New Roman"/>
          <w:b w:val="false"/>
          <w:bCs w:val="false"/>
          <w:i w:val="false"/>
          <w:iCs w:val="false"/>
          <w:sz w:val="24"/>
          <w:szCs w:val="24"/>
        </w:rPr>
        <w:t xml:space="preserve">Approval will be obtained from the Institutional Ethics Committee of Assam down town University before recruitment, and written informed consent will be taken. Camera-based measurement is consented separately from participation itself and may be refused without affecting it: a participant who declines contributes every non-camera measure and remains fully enrolled. Participants may withdraw at any time.</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By default no image or video leaves the device, since the camera produces numeric measures and the frames are discarded as they are processed. Two purposes require imagery, and each is a further independent grant that defaults to refusal. The first is a photograph at the start and end of a session, documenting seating distance and room lighting so that compliance with the setup is evidenced rather than asserted. The second is a short reading-task video segment from the validation subsample, without which Objective 4 cannot be met, since criterion validity requires material that a human assessor can code frame by frame. Neither grant implies the other, and neither is implied by consent to numeric measurement. The permission in force at capture is stored with each file, and retained media are held apart from the research dataset and can be deleted independently of it.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Identifiable enrolment records are stored separately from the de-identified research dataset and linked only by enrolment code, with access restricted to the researcher and the supervisors. Incidental findings at screening, including reduced acuity, uncorrected refractive error, binocular anomaly or colour-vision deficiency, will be recorded and communicated to the participant with written advice to seek a full optometric or ophthalmological examination. No intervention with therapeutic intent is administered, and exposure durations are comparable to habitual device use.</w:t>
      </w:r>
    </w:p>
    <w:p>
      <w:pPr>
        <w:pBdr>
          <w:bottom w:val="single" w:color="AAAAAA" w:sz="6" w:space="1"/>
        </w:pBdr>
        <w:spacing w:after="40" w:before="0"/>
      </w:pPr>
      <w:r>
        <w:rPr>
          <w:rFonts w:ascii="Times New Roman" w:cs="Times New Roman" w:eastAsia="Times New Roman" w:hAnsi="Times New Roman"/>
          <w:sz w:val="24"/>
          <w:szCs w:val="24"/>
        </w:rPr>
        <w:t xml:space="preserve"/>
      </w:r>
    </w:p>
    <w:p>
      <w:pPr>
        <w:pStyle w:val="Heading1"/>
        <w:keepNext/>
        <w:spacing w:after="40" w:before="140" w:line="360"/>
        <w:jc w:val="center"/>
      </w:pPr>
      <w:r>
        <w:rPr>
          <w:rFonts w:ascii="Times New Roman" w:cs="Times New Roman" w:eastAsia="Times New Roman" w:hAnsi="Times New Roman"/>
          <w:b/>
          <w:bCs/>
          <w:i w:val="false"/>
          <w:iCs w:val="false"/>
          <w:sz w:val="30"/>
          <w:szCs w:val="30"/>
        </w:rPr>
        <w:t xml:space="preserve">CHAPTER 5: EXPECTED OUTCOMES AND CONCLUSION</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5.1 Rationale revisited and expected outcomes</w:t>
      </w:r>
    </w:p>
    <w:p>
      <w:pPr>
        <w:spacing w:after="0" w:line="360"/>
        <w:jc w:val="both"/>
      </w:pPr>
      <w:r>
        <w:rPr>
          <w:rFonts w:ascii="Times New Roman" w:cs="Times New Roman" w:eastAsia="Times New Roman" w:hAnsi="Times New Roman"/>
          <w:b w:val="false"/>
          <w:bCs w:val="false"/>
          <w:i w:val="false"/>
          <w:iCs w:val="false"/>
          <w:sz w:val="24"/>
          <w:szCs w:val="24"/>
        </w:rPr>
        <w:t xml:space="preserve">The rationale set out in Chapter 3 rests on three claims: that display configuration is a determinant of visual health which is ubiquitous and free to change, that the existing evidence cannot separate the effect of hue from the effect of luminance contrast, and that the ocular marker with the best claim to specificity has never been used as the outcome of a display manipulation. What the study is expected to produce follows from each in turn.</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study should yield quantified effects, with confidence intervals, of display polarity, text colour and ambient illumination on subjective visual fatigue, ocular behaviour, cognitive workload and task performance. It should provide among the first estimates of the polarity-by-colour interaction on fatigue outcomes, and should establish whether the positive-polarity advantage extends from brief legibility tasks to hour-scale reading.</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Because the contrast ordering of the colours reverses across polarity, the results should indicate how far colour-related effects are mediated by luminance contrast rather than by hue. A crossover interaction would support contrast mediation; a preserved ordering would point to residual hue-specific effects. Contrast is expected to account for most of the colour-related variance, with red the candidate exception. Characterising the polarity-by-illumination interaction should show whether negative polarity is specifically costly under dim domestic lighting, which is where dark mode is most used and most advocated.</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study should also identify the configurations that minimise and maximise fatigue, indicate whether a polarity-blind contrast criterion adequately predicts measured readability, and produce both an account of subjective-objective correspondence and an instrument whose agreement with manual annotation has been reported.</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5.2 Significance of the study</w:t>
      </w:r>
    </w:p>
    <w:p>
      <w:pPr>
        <w:spacing w:after="0" w:line="360"/>
        <w:jc w:val="both"/>
      </w:pPr>
      <w:r>
        <w:rPr>
          <w:rFonts w:ascii="Times New Roman" w:cs="Times New Roman" w:eastAsia="Times New Roman" w:hAnsi="Times New Roman"/>
          <w:b w:val="false"/>
          <w:bCs w:val="false"/>
          <w:i w:val="false"/>
          <w:iCs w:val="false"/>
          <w:sz w:val="24"/>
          <w:szCs w:val="24"/>
        </w:rPr>
        <w:t xml:space="preserve">The findings map onto interface and product design, giving an empirically grounded specification for text presentation and dark-mode implementation in reading applications, e-readers, e-learning platforms and operating-system themes. They bear on accessibility standards by indicating whether and how polarity must enter a contrast criterion. For occupational and public health, display configuration is a preventive measure that costs nothing and can be deployed at population scale against a condition affecting roughly seven in ten screen users. In education the work informs how tablet-based learning materials should be configured. For optometric practice it supplies actionable device-configuration advice in an area where practitioners are documented to lack quality evidence. Methodologically, a scalable instrument would relieve the annotation bottleneck that has confined this literature to small samples.</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5.3 Limitations and delimitations</w:t>
      </w:r>
    </w:p>
    <w:p>
      <w:pPr>
        <w:spacing w:after="0" w:line="360"/>
        <w:jc w:val="both"/>
      </w:pPr>
      <w:r>
        <w:rPr>
          <w:rFonts w:ascii="Times New Roman" w:cs="Times New Roman" w:eastAsia="Times New Roman" w:hAnsi="Times New Roman"/>
          <w:b w:val="false"/>
          <w:bCs w:val="false"/>
          <w:i w:val="false"/>
          <w:iCs w:val="false"/>
          <w:sz w:val="24"/>
          <w:szCs w:val="24"/>
        </w:rPr>
        <w:t xml:space="preserve">Polarity and luminance contrast are not fully orthogonal, because chromatic pigments differ intrinsically in luminance and contrast cannot be equalised across polarity while the colour set is held fixed. Measuring and modelling contrast mitigates this, and the crossover is exploited deliberately as a test, but the constraint on independent causal attribution remains.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Camera-based measurement is screening-grade. It is lower in spatial accuracy and sampling rate than infrared eye tracking and cannot measure accommodation, so gaze measures are limited to coarse zones, duration-based blink metrics are gated on the achieved frame rate, and accommodative outcomes fall outside the scope of the study. The precision of the primary outcome within a single condition is bounded by the number of blinks that condition captures, and measurement error attenuates observed effect sizes, so the figures in Table 4.1 are upper bounds on what the design can detect.</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The manipulation cannot be blinded, because polarity and colour are visible, so expectation effects on subjective ratings cannot be excluded; objective markers, the absence of feedback and counterbalancing mitigate but do not remove them. Sessions accumulate generic fatigue and boredom alongside visual fatigue, and these are counterbalanced, measured and modelled rather than eliminated. Administering the NASA Task Load Index once per session limits workload inference to the illumination contrast. Because illumination is manipulated between sessions, its effect is more exposed to between-session variance in time of day, sleep and circadian phase, although order is counterbalanced and the covariates recorded. PERCLOS, while serving as a sleepiness covariate, is itself insensitive to moderate drowsiness.</w:t>
      </w:r>
    </w:p>
    <w:p>
      <w:pPr>
        <w:spacing w:after="0" w:line="360"/>
        <w:ind w:firstLine="360"/>
        <w:jc w:val="both"/>
      </w:pPr>
      <w:r>
        <w:rPr>
          <w:rFonts w:ascii="Times New Roman" w:cs="Times New Roman" w:eastAsia="Times New Roman" w:hAnsi="Times New Roman"/>
          <w:b w:val="false"/>
          <w:bCs w:val="false"/>
          <w:i w:val="false"/>
          <w:iCs w:val="false"/>
          <w:sz w:val="24"/>
          <w:szCs w:val="24"/>
        </w:rPr>
        <w:t xml:space="preserve">Findings will be specific to the device, display technology, luminance range and population studied. The sample is delimited to adults aged 18 to 35 with normal or corrected vision and no colour-vision deficiency, so presbyopic, paediatric and colour-vision-deficient populations, in whom polarity effects may differ, lie outside the present scope and are identified as future work.</w:t>
      </w:r>
    </w:p>
    <w:p>
      <w:pPr>
        <w:pStyle w:val="Heading2"/>
        <w:keepNext/>
        <w:spacing w:after="40" w:before="100" w:line="360"/>
        <w:jc w:val="left"/>
      </w:pPr>
      <w:r>
        <w:rPr>
          <w:rFonts w:ascii="Times New Roman" w:cs="Times New Roman" w:eastAsia="Times New Roman" w:hAnsi="Times New Roman"/>
          <w:b/>
          <w:bCs/>
          <w:i w:val="false"/>
          <w:iCs w:val="false"/>
          <w:sz w:val="27"/>
          <w:szCs w:val="27"/>
        </w:rPr>
        <w:t xml:space="preserve">5.4 Concluding remarks</w:t>
      </w:r>
    </w:p>
    <w:p>
      <w:pPr>
        <w:spacing w:after="0" w:line="360"/>
        <w:jc w:val="both"/>
      </w:pPr>
      <w:r>
        <w:rPr>
          <w:rFonts w:ascii="Times New Roman" w:cs="Times New Roman" w:eastAsia="Times New Roman" w:hAnsi="Times New Roman"/>
          <w:b w:val="false"/>
          <w:bCs w:val="false"/>
          <w:i w:val="false"/>
          <w:iCs w:val="false"/>
          <w:sz w:val="24"/>
          <w:szCs w:val="24"/>
        </w:rPr>
        <w:t xml:space="preserve">The proposed research addresses a determinant of visual health that is ubiquitous, freely modifiable and inadequately evidenced. By crossing polarity with text colour under two ecologically relevant levels of ambient light, and by measuring validated symptoms alongside ocular behaviour, workload and task performance within a single instrumented protocol, it is intended to produce quantified, standards-relevant evidence on how a display should be configured for prolonged reading, and to contribute a measurement approach that may reduce this field's reliance on manual annotation.</w:t>
      </w:r>
    </w:p>
    <w:p>
      <w:pPr>
        <w:pBdr>
          <w:bottom w:val="single" w:color="AAAAAA" w:sz="6" w:space="1"/>
        </w:pBdr>
        <w:spacing w:after="40" w:before="0"/>
      </w:pPr>
      <w:r>
        <w:rPr>
          <w:rFonts w:ascii="Times New Roman" w:cs="Times New Roman" w:eastAsia="Times New Roman" w:hAnsi="Times New Roman"/>
          <w:sz w:val="24"/>
          <w:szCs w:val="24"/>
        </w:rPr>
        <w:t xml:space="preserve"/>
      </w:r>
    </w:p>
    <w:p>
      <w:pPr>
        <w:pStyle w:val="Heading1"/>
        <w:keepNext/>
        <w:spacing w:after="40" w:before="140" w:line="360"/>
        <w:jc w:val="center"/>
      </w:pPr>
      <w:r>
        <w:rPr>
          <w:rFonts w:ascii="Times New Roman" w:cs="Times New Roman" w:eastAsia="Times New Roman" w:hAnsi="Times New Roman"/>
          <w:b/>
          <w:bCs/>
          <w:i w:val="false"/>
          <w:iCs w:val="false"/>
          <w:sz w:val="30"/>
          <w:szCs w:val="30"/>
        </w:rPr>
        <w:t xml:space="preserve">REFERENCES</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Abe, T. (2023). PERCLOS-based technologies for detecting drowsiness: Current evidence and future directions. </w:t>
      </w:r>
      <w:r>
        <w:rPr>
          <w:rFonts w:ascii="Times New Roman" w:cs="Times New Roman" w:eastAsia="Times New Roman" w:hAnsi="Times New Roman"/>
          <w:b w:val="false"/>
          <w:bCs w:val="false"/>
          <w:i/>
          <w:iCs/>
          <w:sz w:val="24"/>
          <w:szCs w:val="24"/>
        </w:rPr>
        <w:t xml:space="preserve">Sleep Advances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w:t>
      </w:r>
      <w:r>
        <w:rPr>
          <w:rFonts w:ascii="Times New Roman" w:cs="Times New Roman" w:eastAsia="Times New Roman" w:hAnsi="Times New Roman"/>
          <w:b w:val="false"/>
          <w:bCs w:val="false"/>
          <w:i w:val="false"/>
          <w:iCs w:val="false"/>
          <w:sz w:val="24"/>
          <w:szCs w:val="24"/>
        </w:rPr>
        <w:t xml:space="preserve">(1), zpad006. https://doi.org/10.1093/sleepadvances/zpad006</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Abe, T., Mollicone, D., Basner, M., &amp; Dinges, D. F. (2014). Sleepiness and safety: Where biology needs technology. </w:t>
      </w:r>
      <w:r>
        <w:rPr>
          <w:rFonts w:ascii="Times New Roman" w:cs="Times New Roman" w:eastAsia="Times New Roman" w:hAnsi="Times New Roman"/>
          <w:b w:val="false"/>
          <w:bCs w:val="false"/>
          <w:i/>
          <w:iCs/>
          <w:sz w:val="24"/>
          <w:szCs w:val="24"/>
        </w:rPr>
        <w:t xml:space="preserve">Sleep and Biological Rhythms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12</w:t>
      </w:r>
      <w:r>
        <w:rPr>
          <w:rFonts w:ascii="Times New Roman" w:cs="Times New Roman" w:eastAsia="Times New Roman" w:hAnsi="Times New Roman"/>
          <w:b w:val="false"/>
          <w:bCs w:val="false"/>
          <w:i w:val="false"/>
          <w:iCs w:val="false"/>
          <w:sz w:val="24"/>
          <w:szCs w:val="24"/>
        </w:rPr>
        <w:t xml:space="preserve">(2), 74–84. https://doi.org/10.1111/sbr.12067</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Argilés, M., Cardona, G., Pérez-Cabré, E., &amp; Rodríguez, M. (2015). Blink rate and incomplete blinks in six different controlled hard-copy and electronic reading conditions. </w:t>
      </w:r>
      <w:r>
        <w:rPr>
          <w:rFonts w:ascii="Times New Roman" w:cs="Times New Roman" w:eastAsia="Times New Roman" w:hAnsi="Times New Roman"/>
          <w:b w:val="false"/>
          <w:bCs w:val="false"/>
          <w:i/>
          <w:iCs/>
          <w:sz w:val="24"/>
          <w:szCs w:val="24"/>
        </w:rPr>
        <w:t xml:space="preserve">Investigative Ophthalmology &amp; Visual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56</w:t>
      </w:r>
      <w:r>
        <w:rPr>
          <w:rFonts w:ascii="Times New Roman" w:cs="Times New Roman" w:eastAsia="Times New Roman" w:hAnsi="Times New Roman"/>
          <w:b w:val="false"/>
          <w:bCs w:val="false"/>
          <w:i w:val="false"/>
          <w:iCs w:val="false"/>
          <w:sz w:val="24"/>
          <w:szCs w:val="24"/>
        </w:rPr>
        <w:t xml:space="preserve">(11), 6679–6685. https://doi.org/10.1167/iovs.15-16967</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Buchner, A., &amp; Baumgartner, N. (2007). Text–background polarity affects performance irrespective of ambient illumination and colour contrast.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50</w:t>
      </w:r>
      <w:r>
        <w:rPr>
          <w:rFonts w:ascii="Times New Roman" w:cs="Times New Roman" w:eastAsia="Times New Roman" w:hAnsi="Times New Roman"/>
          <w:b w:val="false"/>
          <w:bCs w:val="false"/>
          <w:i w:val="false"/>
          <w:iCs w:val="false"/>
          <w:sz w:val="24"/>
          <w:szCs w:val="24"/>
        </w:rPr>
        <w:t xml:space="preserve">(7), 1036–1063. https://doi.org/10.1080/00140130701306413</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Bureau of Indian Standards. (2009). </w:t>
      </w:r>
      <w:r>
        <w:rPr>
          <w:rFonts w:ascii="Times New Roman" w:cs="Times New Roman" w:eastAsia="Times New Roman" w:hAnsi="Times New Roman"/>
          <w:b w:val="false"/>
          <w:bCs w:val="false"/>
          <w:i/>
          <w:iCs/>
          <w:sz w:val="24"/>
          <w:szCs w:val="24"/>
        </w:rPr>
        <w:t xml:space="preserve">IS 3646: Code of practice for interior illumination</w:t>
      </w:r>
      <w:r>
        <w:rPr>
          <w:rFonts w:ascii="Times New Roman" w:cs="Times New Roman" w:eastAsia="Times New Roman" w:hAnsi="Times New Roman"/>
          <w:b w:val="false"/>
          <w:bCs w:val="false"/>
          <w:i w:val="false"/>
          <w:iCs w:val="false"/>
          <w:sz w:val="24"/>
          <w:szCs w:val="24"/>
        </w:rPr>
        <w:t xml:space="preserve">. Bureau of Indian Standards.</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Cantó-Sancho, N., Linhares, J., Ronda-Pérez, E., Franco, S., Perales, E., &amp; Seguí-Crespo, M. (2024). Cross-cultural validation into Portuguese of a questionnaire to assess computer vision syndrome in workers exposed to digital devices. </w:t>
      </w:r>
      <w:r>
        <w:rPr>
          <w:rFonts w:ascii="Times New Roman" w:cs="Times New Roman" w:eastAsia="Times New Roman" w:hAnsi="Times New Roman"/>
          <w:b w:val="false"/>
          <w:bCs w:val="false"/>
          <w:i/>
          <w:iCs/>
          <w:sz w:val="24"/>
          <w:szCs w:val="24"/>
        </w:rPr>
        <w:t xml:space="preserve">Arquivos Brasileiros de Oftalmologia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87</w:t>
      </w:r>
      <w:r>
        <w:rPr>
          <w:rFonts w:ascii="Times New Roman" w:cs="Times New Roman" w:eastAsia="Times New Roman" w:hAnsi="Times New Roman"/>
          <w:b w:val="false"/>
          <w:bCs w:val="false"/>
          <w:i w:val="false"/>
          <w:iCs w:val="false"/>
          <w:sz w:val="24"/>
          <w:szCs w:val="24"/>
        </w:rPr>
        <w:t xml:space="preserve">(6), e20220256. https://doi.org/10.5935/0004-2749.2022-0256</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Cardona, G., García, C., Serés, C., Vilaseca, M., &amp; Gispets, J. (2011). Blink rate, blink amplitude, and tear film integrity during dynamic visual display terminal tasks. </w:t>
      </w:r>
      <w:r>
        <w:rPr>
          <w:rFonts w:ascii="Times New Roman" w:cs="Times New Roman" w:eastAsia="Times New Roman" w:hAnsi="Times New Roman"/>
          <w:b w:val="false"/>
          <w:bCs w:val="false"/>
          <w:i/>
          <w:iCs/>
          <w:sz w:val="24"/>
          <w:szCs w:val="24"/>
        </w:rPr>
        <w:t xml:space="preserve">Current Eye 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36</w:t>
      </w:r>
      <w:r>
        <w:rPr>
          <w:rFonts w:ascii="Times New Roman" w:cs="Times New Roman" w:eastAsia="Times New Roman" w:hAnsi="Times New Roman"/>
          <w:b w:val="false"/>
          <w:bCs w:val="false"/>
          <w:i w:val="false"/>
          <w:iCs w:val="false"/>
          <w:sz w:val="24"/>
          <w:szCs w:val="24"/>
        </w:rPr>
        <w:t xml:space="preserve">(3), 190–197. https://doi.org/10.3109/02713683.2010.544442</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Ccami-Bernal, F., Soriano-Moreno, D. R., Romero-Robles, M. A., Barriga-Chambi, F., Tuco, K. G., Castro-Diaz, S. D., Nuñez-Lupaca, J. N., Pacheco-Mendoza, J., Galvez-Olortegui, T., &amp; Benites-Zapata, V. A. (2024). Prevalence of computer vision syndrome: A systematic review and meta-analysis. </w:t>
      </w:r>
      <w:r>
        <w:rPr>
          <w:rFonts w:ascii="Times New Roman" w:cs="Times New Roman" w:eastAsia="Times New Roman" w:hAnsi="Times New Roman"/>
          <w:b w:val="false"/>
          <w:bCs w:val="false"/>
          <w:i/>
          <w:iCs/>
          <w:sz w:val="24"/>
          <w:szCs w:val="24"/>
        </w:rPr>
        <w:t xml:space="preserve">Journal of Optometry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17</w:t>
      </w:r>
      <w:r>
        <w:rPr>
          <w:rFonts w:ascii="Times New Roman" w:cs="Times New Roman" w:eastAsia="Times New Roman" w:hAnsi="Times New Roman"/>
          <w:b w:val="false"/>
          <w:bCs w:val="false"/>
          <w:i w:val="false"/>
          <w:iCs w:val="false"/>
          <w:sz w:val="24"/>
          <w:szCs w:val="24"/>
        </w:rPr>
        <w:t xml:space="preserve">(1), 100482. https://doi.org/10.1016/j.optom.2023.100482</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Delgado, P., Vargas, C., Ackerman, R., &amp; Salmerón, L. (2018). Don't throw away your printed books: A meta-analysis on the effects of reading media on reading comprehension. </w:t>
      </w:r>
      <w:r>
        <w:rPr>
          <w:rFonts w:ascii="Times New Roman" w:cs="Times New Roman" w:eastAsia="Times New Roman" w:hAnsi="Times New Roman"/>
          <w:b w:val="false"/>
          <w:bCs w:val="false"/>
          <w:i/>
          <w:iCs/>
          <w:sz w:val="24"/>
          <w:szCs w:val="24"/>
        </w:rPr>
        <w:t xml:space="preserve">Educational Research Review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25</w:t>
      </w:r>
      <w:r>
        <w:rPr>
          <w:rFonts w:ascii="Times New Roman" w:cs="Times New Roman" w:eastAsia="Times New Roman" w:hAnsi="Times New Roman"/>
          <w:b w:val="false"/>
          <w:bCs w:val="false"/>
          <w:i w:val="false"/>
          <w:iCs w:val="false"/>
          <w:sz w:val="24"/>
          <w:szCs w:val="24"/>
        </w:rPr>
        <w:t xml:space="preserve">, 23–38. https://doi.org/10.1016/j.edurev.2018.09.003</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Dobres, J., Chahine, N., &amp; Reimer, B. (2017). Effects of ambient illumination, contrast polarity, and letter size on text legibility under glance-like reading. </w:t>
      </w:r>
      <w:r>
        <w:rPr>
          <w:rFonts w:ascii="Times New Roman" w:cs="Times New Roman" w:eastAsia="Times New Roman" w:hAnsi="Times New Roman"/>
          <w:b w:val="false"/>
          <w:bCs w:val="false"/>
          <w:i/>
          <w:iCs/>
          <w:sz w:val="24"/>
          <w:szCs w:val="24"/>
        </w:rPr>
        <w:t xml:space="preserve">Applied 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60</w:t>
      </w:r>
      <w:r>
        <w:rPr>
          <w:rFonts w:ascii="Times New Roman" w:cs="Times New Roman" w:eastAsia="Times New Roman" w:hAnsi="Times New Roman"/>
          <w:b w:val="false"/>
          <w:bCs w:val="false"/>
          <w:i w:val="false"/>
          <w:iCs w:val="false"/>
          <w:sz w:val="24"/>
          <w:szCs w:val="24"/>
        </w:rPr>
        <w:t xml:space="preserve">, 68–73. https://doi.org/10.1016/j.apergo.2016.11.001</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Dobres, J., Chahine, N., Reimer, B., Gould, D., Mehler, B., &amp; Coughlin, J. F. (2016). Utilising psychophysical techniques to investigate the effects of age, typeface design, size and display polarity on glance legibility.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59</w:t>
      </w:r>
      <w:r>
        <w:rPr>
          <w:rFonts w:ascii="Times New Roman" w:cs="Times New Roman" w:eastAsia="Times New Roman" w:hAnsi="Times New Roman"/>
          <w:b w:val="false"/>
          <w:bCs w:val="false"/>
          <w:i w:val="false"/>
          <w:iCs w:val="false"/>
          <w:sz w:val="24"/>
          <w:szCs w:val="24"/>
        </w:rPr>
        <w:t xml:space="preserve">(10), 1377–1391. https://doi.org/10.1080/00140139.2015.1137637</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Evans, B. E. W., Rodriguez-Carmona, M., Rauscher, F. G., Llapashtica, E., Koefoed, V. F., Ziemssen, F., Nitsche, R., Farini, A., Baldanzi, E., Gómez-Robledo, L., Douglass, A., Baker, M., Quast, R., Roelcke, S., Ho, S. C. C., &amp; Barbur, J. L. (2025). Multicenter evaluation of the color vision screener test. </w:t>
      </w:r>
      <w:r>
        <w:rPr>
          <w:rFonts w:ascii="Times New Roman" w:cs="Times New Roman" w:eastAsia="Times New Roman" w:hAnsi="Times New Roman"/>
          <w:b w:val="false"/>
          <w:bCs w:val="false"/>
          <w:i/>
          <w:iCs/>
          <w:sz w:val="24"/>
          <w:szCs w:val="24"/>
        </w:rPr>
        <w:t xml:space="preserve">Journal of the Optical Society of America 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42</w:t>
      </w:r>
      <w:r>
        <w:rPr>
          <w:rFonts w:ascii="Times New Roman" w:cs="Times New Roman" w:eastAsia="Times New Roman" w:hAnsi="Times New Roman"/>
          <w:b w:val="false"/>
          <w:bCs w:val="false"/>
          <w:i w:val="false"/>
          <w:iCs w:val="false"/>
          <w:sz w:val="24"/>
          <w:szCs w:val="24"/>
        </w:rPr>
        <w:t xml:space="preserve">(5), B190–B198. https://doi.org/10.1364/JOSAA.544985</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Fan, Q., Xie, J., Dong, Z., &amp; Wang, Y. (2024). The effect of ambient illumination and text color on visual fatigue under negative polarity.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24</w:t>
      </w:r>
      <w:r>
        <w:rPr>
          <w:rFonts w:ascii="Times New Roman" w:cs="Times New Roman" w:eastAsia="Times New Roman" w:hAnsi="Times New Roman"/>
          <w:b w:val="false"/>
          <w:bCs w:val="false"/>
          <w:i w:val="false"/>
          <w:iCs w:val="false"/>
          <w:sz w:val="24"/>
          <w:szCs w:val="24"/>
        </w:rPr>
        <w:t xml:space="preserve">(11), 3516. https://doi.org/10.3390/s24113516</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Fjaervoll, H., Fjaervoll, K., Magno, M., Moschowits, E., Vehof, J., Dartt, D. A., &amp; Utheim, T. P. (2022). The association between visual display terminal use and dry eye: A review.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100</w:t>
      </w:r>
      <w:r>
        <w:rPr>
          <w:rFonts w:ascii="Times New Roman" w:cs="Times New Roman" w:eastAsia="Times New Roman" w:hAnsi="Times New Roman"/>
          <w:b w:val="false"/>
          <w:bCs w:val="false"/>
          <w:i w:val="false"/>
          <w:iCs w:val="false"/>
          <w:sz w:val="24"/>
          <w:szCs w:val="24"/>
        </w:rPr>
        <w:t xml:space="preserve">(4), 357–375. https://doi.org/10.1111/aos.15049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Fjaervoll, K., Fjaervoll, H., Magno, M., Nøland, S. T., Dartt, D. A., Vehof, J., &amp; Utheim, T. P. (2022). Review on the possible pathophysiological mechanisms underlying visual display terminal-associated dry eye disease.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100</w:t>
      </w:r>
      <w:r>
        <w:rPr>
          <w:rFonts w:ascii="Times New Roman" w:cs="Times New Roman" w:eastAsia="Times New Roman" w:hAnsi="Times New Roman"/>
          <w:b w:val="false"/>
          <w:bCs w:val="false"/>
          <w:i w:val="false"/>
          <w:iCs w:val="false"/>
          <w:sz w:val="24"/>
          <w:szCs w:val="24"/>
        </w:rPr>
        <w:t xml:space="preserve">(8), 861–877. https://doi.org/10.1111/aos.15150</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Hart, S. G., &amp; Staveland, L. E. (1988). Development of NASA-TLX (Task Load Index): Results of empirical and theoretical research. In P. A. Hancock &amp; N. Meshkati (Eds.), </w:t>
      </w:r>
      <w:r>
        <w:rPr>
          <w:rFonts w:ascii="Times New Roman" w:cs="Times New Roman" w:eastAsia="Times New Roman" w:hAnsi="Times New Roman"/>
          <w:b w:val="false"/>
          <w:bCs w:val="false"/>
          <w:i/>
          <w:iCs/>
          <w:sz w:val="24"/>
          <w:szCs w:val="24"/>
        </w:rPr>
        <w:t xml:space="preserve">Human mental workload</w:t>
      </w:r>
      <w:r>
        <w:rPr>
          <w:rFonts w:ascii="Times New Roman" w:cs="Times New Roman" w:eastAsia="Times New Roman" w:hAnsi="Times New Roman"/>
          <w:b w:val="false"/>
          <w:bCs w:val="false"/>
          <w:i w:val="false"/>
          <w:iCs w:val="false"/>
          <w:sz w:val="24"/>
          <w:szCs w:val="24"/>
        </w:rPr>
        <w:t xml:space="preserve"> (Advances in Psychology, Vol. 52, pp. 139–183). North-Holland.</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Hirota, M., Uozato, H., Kawamorita, T., Shibata, Y., &amp; Yamamoto, S. (2013). Effect of incomplete blinking on tear film stability. </w:t>
      </w:r>
      <w:r>
        <w:rPr>
          <w:rFonts w:ascii="Times New Roman" w:cs="Times New Roman" w:eastAsia="Times New Roman" w:hAnsi="Times New Roman"/>
          <w:b w:val="false"/>
          <w:bCs w:val="false"/>
          <w:i/>
          <w:iCs/>
          <w:sz w:val="24"/>
          <w:szCs w:val="24"/>
        </w:rPr>
        <w:t xml:space="preserve">Optometry and Vision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90</w:t>
      </w:r>
      <w:r>
        <w:rPr>
          <w:rFonts w:ascii="Times New Roman" w:cs="Times New Roman" w:eastAsia="Times New Roman" w:hAnsi="Times New Roman"/>
          <w:b w:val="false"/>
          <w:bCs w:val="false"/>
          <w:i w:val="false"/>
          <w:iCs w:val="false"/>
          <w:sz w:val="24"/>
          <w:szCs w:val="24"/>
        </w:rPr>
        <w:t xml:space="preserve">(7), 650–657. https://doi.org/10.1097/OPX.0b013e31829962ec</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Jackson, M. L., Raj, S., Croft, R. J., Hayley, A. C., Downey, L. A., Kennedy, G. A., &amp; Howard, M. E. (2016). Slow eyelid closure as a measure of driver drowsiness and its relationship to performance. </w:t>
      </w:r>
      <w:r>
        <w:rPr>
          <w:rFonts w:ascii="Times New Roman" w:cs="Times New Roman" w:eastAsia="Times New Roman" w:hAnsi="Times New Roman"/>
          <w:b w:val="false"/>
          <w:bCs w:val="false"/>
          <w:i/>
          <w:iCs/>
          <w:sz w:val="24"/>
          <w:szCs w:val="24"/>
        </w:rPr>
        <w:t xml:space="preserve">Traffic Injury Prevention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17</w:t>
      </w:r>
      <w:r>
        <w:rPr>
          <w:rFonts w:ascii="Times New Roman" w:cs="Times New Roman" w:eastAsia="Times New Roman" w:hAnsi="Times New Roman"/>
          <w:b w:val="false"/>
          <w:bCs w:val="false"/>
          <w:i w:val="false"/>
          <w:iCs w:val="false"/>
          <w:sz w:val="24"/>
          <w:szCs w:val="24"/>
        </w:rPr>
        <w:t xml:space="preserve">(3), 251–257. https://doi.org/10.1080/15389588.2015.1055327</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Jiménez, R., Redondo, B., Molina, R., Martínez-Domingo, M. Á., Hernández-Andrés, J., &amp; Vera, J. (2020). Short-term effects of text-background color combinations on the dynamics of the accommodative response. </w:t>
      </w:r>
      <w:r>
        <w:rPr>
          <w:rFonts w:ascii="Times New Roman" w:cs="Times New Roman" w:eastAsia="Times New Roman" w:hAnsi="Times New Roman"/>
          <w:b w:val="false"/>
          <w:bCs w:val="false"/>
          <w:i/>
          <w:iCs/>
          <w:sz w:val="24"/>
          <w:szCs w:val="24"/>
        </w:rPr>
        <w:t xml:space="preserve">Vision 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166</w:t>
      </w:r>
      <w:r>
        <w:rPr>
          <w:rFonts w:ascii="Times New Roman" w:cs="Times New Roman" w:eastAsia="Times New Roman" w:hAnsi="Times New Roman"/>
          <w:b w:val="false"/>
          <w:bCs w:val="false"/>
          <w:i w:val="false"/>
          <w:iCs w:val="false"/>
          <w:sz w:val="24"/>
          <w:szCs w:val="24"/>
        </w:rPr>
        <w:t xml:space="preserve">, 33–42. https://doi.org/10.1016/j.visres.2019.11.006</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Kamøy, B., Magno, M., Nøland, S. T., Moe, M. C., Petrovski, G., Vehof, J., &amp; Utheim, T. P. (2022). Video display terminal use and dry eye: Preventive measures and future perspectives. </w:t>
      </w:r>
      <w:r>
        <w:rPr>
          <w:rFonts w:ascii="Times New Roman" w:cs="Times New Roman" w:eastAsia="Times New Roman" w:hAnsi="Times New Roman"/>
          <w:b w:val="false"/>
          <w:bCs w:val="false"/>
          <w:i/>
          <w:iCs/>
          <w:sz w:val="24"/>
          <w:szCs w:val="24"/>
        </w:rPr>
        <w:t xml:space="preserve">Acta Ophthalmologica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100</w:t>
      </w:r>
      <w:r>
        <w:rPr>
          <w:rFonts w:ascii="Times New Roman" w:cs="Times New Roman" w:eastAsia="Times New Roman" w:hAnsi="Times New Roman"/>
          <w:b w:val="false"/>
          <w:bCs w:val="false"/>
          <w:i w:val="false"/>
          <w:iCs w:val="false"/>
          <w:sz w:val="24"/>
          <w:szCs w:val="24"/>
        </w:rPr>
        <w:t xml:space="preserve">(7), 723–739. https://doi.org/10.1111/aos.15105</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Kaur, K., Gurnani, B., Nayak, S., Deori, N., Kaur, S., Jethani, J., Singh, D., Agarkar, S., Hussaindeen, J. R., Sukhija, J., &amp; Mishra, D. (2022). Digital eye strain: A comprehensive review. </w:t>
      </w:r>
      <w:r>
        <w:rPr>
          <w:rFonts w:ascii="Times New Roman" w:cs="Times New Roman" w:eastAsia="Times New Roman" w:hAnsi="Times New Roman"/>
          <w:b w:val="false"/>
          <w:bCs w:val="false"/>
          <w:i/>
          <w:iCs/>
          <w:sz w:val="24"/>
          <w:szCs w:val="24"/>
        </w:rPr>
        <w:t xml:space="preserve">Ophthalmology and Therapy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11</w:t>
      </w:r>
      <w:r>
        <w:rPr>
          <w:rFonts w:ascii="Times New Roman" w:cs="Times New Roman" w:eastAsia="Times New Roman" w:hAnsi="Times New Roman"/>
          <w:b w:val="false"/>
          <w:bCs w:val="false"/>
          <w:i w:val="false"/>
          <w:iCs w:val="false"/>
          <w:sz w:val="24"/>
          <w:szCs w:val="24"/>
        </w:rPr>
        <w:t xml:space="preserve">(5), 1655–1680. https://doi.org/10.1007/s40123-022-00540-9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Klinke, T., Hannak, W., Böning, K., &amp; Jakstat, H. (2024). A comparative study of the sensitivity and specificity of the Ishihara test with various displays. </w:t>
      </w:r>
      <w:r>
        <w:rPr>
          <w:rFonts w:ascii="Times New Roman" w:cs="Times New Roman" w:eastAsia="Times New Roman" w:hAnsi="Times New Roman"/>
          <w:b w:val="false"/>
          <w:bCs w:val="false"/>
          <w:i/>
          <w:iCs/>
          <w:sz w:val="24"/>
          <w:szCs w:val="24"/>
        </w:rPr>
        <w:t xml:space="preserve">International Dental Journal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74</w:t>
      </w:r>
      <w:r>
        <w:rPr>
          <w:rFonts w:ascii="Times New Roman" w:cs="Times New Roman" w:eastAsia="Times New Roman" w:hAnsi="Times New Roman"/>
          <w:b w:val="false"/>
          <w:bCs w:val="false"/>
          <w:i w:val="false"/>
          <w:iCs w:val="false"/>
          <w:sz w:val="24"/>
          <w:szCs w:val="24"/>
        </w:rPr>
        <w:t xml:space="preserve">(4), 892–896. https://doi.org/10.1016/j.identj.2023.12.009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Lin, C., Ji, Z., &amp; Lin, Y. (2024). Optimum display luminance and contrast polarity of desktop head-up display under office lighting level based on visual ergonomic study.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67</w:t>
      </w:r>
      <w:r>
        <w:rPr>
          <w:rFonts w:ascii="Times New Roman" w:cs="Times New Roman" w:eastAsia="Times New Roman" w:hAnsi="Times New Roman"/>
          <w:b w:val="false"/>
          <w:bCs w:val="false"/>
          <w:i w:val="false"/>
          <w:iCs w:val="false"/>
          <w:sz w:val="24"/>
          <w:szCs w:val="24"/>
        </w:rPr>
        <w:t xml:space="preserve">(11), 1491–1503. https://doi.org/10.1080/00140139.2024.2339439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Lin, M., Zheng, X., He, C., Li, M., Lu, F., &amp; Hu, L. (2025). Effects of ambient illuminance and mobile phone screen brightness on tear film stability, visual fatigue, and blink patterns during reading. </w:t>
      </w:r>
      <w:r>
        <w:rPr>
          <w:rFonts w:ascii="Times New Roman" w:cs="Times New Roman" w:eastAsia="Times New Roman" w:hAnsi="Times New Roman"/>
          <w:b w:val="false"/>
          <w:bCs w:val="false"/>
          <w:i/>
          <w:iCs/>
          <w:sz w:val="24"/>
          <w:szCs w:val="24"/>
        </w:rPr>
        <w:t xml:space="preserve">Contact Lens &amp; Anterior Eye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49</w:t>
      </w:r>
      <w:r>
        <w:rPr>
          <w:rFonts w:ascii="Times New Roman" w:cs="Times New Roman" w:eastAsia="Times New Roman" w:hAnsi="Times New Roman"/>
          <w:b w:val="false"/>
          <w:bCs w:val="false"/>
          <w:i w:val="false"/>
          <w:iCs w:val="false"/>
          <w:sz w:val="24"/>
          <w:szCs w:val="24"/>
        </w:rPr>
        <w:t xml:space="preserve">(1), 102515. https://doi.org/10.1016/j.clae.2025.102515</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Mataftsi, A., Seliniotaki, A. K., Moutzouri, S., Prousali, E., Darusman, K. R., Adio, A. O., Haidich, A. B., &amp; Nischal, K. K. (2023). Digital eye strain in young screen users: A systematic review. </w:t>
      </w:r>
      <w:r>
        <w:rPr>
          <w:rFonts w:ascii="Times New Roman" w:cs="Times New Roman" w:eastAsia="Times New Roman" w:hAnsi="Times New Roman"/>
          <w:b w:val="false"/>
          <w:bCs w:val="false"/>
          <w:i/>
          <w:iCs/>
          <w:sz w:val="24"/>
          <w:szCs w:val="24"/>
        </w:rPr>
        <w:t xml:space="preserve">Preventive Medicine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170</w:t>
      </w:r>
      <w:r>
        <w:rPr>
          <w:rFonts w:ascii="Times New Roman" w:cs="Times New Roman" w:eastAsia="Times New Roman" w:hAnsi="Times New Roman"/>
          <w:b w:val="false"/>
          <w:bCs w:val="false"/>
          <w:i w:val="false"/>
          <w:iCs w:val="false"/>
          <w:sz w:val="24"/>
          <w:szCs w:val="24"/>
        </w:rPr>
        <w:t xml:space="preserve">, 107493. https://doi.org/10.1016/j.ypmed.2023.107493</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Piepenbrock, C., Mayr, S., &amp; Buchner, A. (2014a). Positive display polarity is particularly advantageous for small character sizes: Implications for display design. </w:t>
      </w:r>
      <w:r>
        <w:rPr>
          <w:rFonts w:ascii="Times New Roman" w:cs="Times New Roman" w:eastAsia="Times New Roman" w:hAnsi="Times New Roman"/>
          <w:b w:val="false"/>
          <w:bCs w:val="false"/>
          <w:i/>
          <w:iCs/>
          <w:sz w:val="24"/>
          <w:szCs w:val="24"/>
        </w:rPr>
        <w:t xml:space="preserve">Human Factors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56</w:t>
      </w:r>
      <w:r>
        <w:rPr>
          <w:rFonts w:ascii="Times New Roman" w:cs="Times New Roman" w:eastAsia="Times New Roman" w:hAnsi="Times New Roman"/>
          <w:b w:val="false"/>
          <w:bCs w:val="false"/>
          <w:i w:val="false"/>
          <w:iCs w:val="false"/>
          <w:sz w:val="24"/>
          <w:szCs w:val="24"/>
        </w:rPr>
        <w:t xml:space="preserve">(5), 942–951. https://doi.org/10.1177/0018720813515509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Piepenbrock, C., Mayr, S., &amp; Buchner, A. (2014b). Smaller pupil size and better proofreading performance with positive than with negative polarity displays.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57</w:t>
      </w:r>
      <w:r>
        <w:rPr>
          <w:rFonts w:ascii="Times New Roman" w:cs="Times New Roman" w:eastAsia="Times New Roman" w:hAnsi="Times New Roman"/>
          <w:b w:val="false"/>
          <w:bCs w:val="false"/>
          <w:i w:val="false"/>
          <w:iCs w:val="false"/>
          <w:sz w:val="24"/>
          <w:szCs w:val="24"/>
        </w:rPr>
        <w:t xml:space="preserve">(11), 1670–1677. https://doi.org/10.1080/00140139.2014.948496</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Portello, J. K., Rosenfield, M., &amp; Chu, C. A. (2013). Blink rate, incomplete blinks and computer vision syndrome. </w:t>
      </w:r>
      <w:r>
        <w:rPr>
          <w:rFonts w:ascii="Times New Roman" w:cs="Times New Roman" w:eastAsia="Times New Roman" w:hAnsi="Times New Roman"/>
          <w:b w:val="false"/>
          <w:bCs w:val="false"/>
          <w:i/>
          <w:iCs/>
          <w:sz w:val="24"/>
          <w:szCs w:val="24"/>
        </w:rPr>
        <w:t xml:space="preserve">Optometry and Vision Science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90</w:t>
      </w:r>
      <w:r>
        <w:rPr>
          <w:rFonts w:ascii="Times New Roman" w:cs="Times New Roman" w:eastAsia="Times New Roman" w:hAnsi="Times New Roman"/>
          <w:b w:val="false"/>
          <w:bCs w:val="false"/>
          <w:i w:val="false"/>
          <w:iCs w:val="false"/>
          <w:sz w:val="24"/>
          <w:szCs w:val="24"/>
        </w:rPr>
        <w:t xml:space="preserve">(5), 482–487. https://doi.org/10.1097/OPX.0b013e31828f09a7</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Pucker, A. D., Kerr, A. M., Sanderson, J., &amp; Lievens, C. (2024). Digital eye strain: Updated perspectives. </w:t>
      </w:r>
      <w:r>
        <w:rPr>
          <w:rFonts w:ascii="Times New Roman" w:cs="Times New Roman" w:eastAsia="Times New Roman" w:hAnsi="Times New Roman"/>
          <w:b w:val="false"/>
          <w:bCs w:val="false"/>
          <w:i/>
          <w:iCs/>
          <w:sz w:val="24"/>
          <w:szCs w:val="24"/>
        </w:rPr>
        <w:t xml:space="preserve">Clinical Optometry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16</w:t>
      </w:r>
      <w:r>
        <w:rPr>
          <w:rFonts w:ascii="Times New Roman" w:cs="Times New Roman" w:eastAsia="Times New Roman" w:hAnsi="Times New Roman"/>
          <w:b w:val="false"/>
          <w:bCs w:val="false"/>
          <w:i w:val="false"/>
          <w:iCs w:val="false"/>
          <w:sz w:val="24"/>
          <w:szCs w:val="24"/>
        </w:rPr>
        <w:t xml:space="preserve">, 233–246. https://doi.org/10.2147/OPTO.S412382</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Redondo, B., Jiménez, R., Vera, J., &amp; Rosenfield, M. (2025). The impact of break schedules on digital eye strain symptoms and ocular accommodation during prolonged near work. </w:t>
      </w:r>
      <w:r>
        <w:rPr>
          <w:rFonts w:ascii="Times New Roman" w:cs="Times New Roman" w:eastAsia="Times New Roman" w:hAnsi="Times New Roman"/>
          <w:b w:val="false"/>
          <w:bCs w:val="false"/>
          <w:i/>
          <w:iCs/>
          <w:sz w:val="24"/>
          <w:szCs w:val="24"/>
        </w:rPr>
        <w:t xml:space="preserve">Experimental Eye Research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258</w:t>
      </w:r>
      <w:r>
        <w:rPr>
          <w:rFonts w:ascii="Times New Roman" w:cs="Times New Roman" w:eastAsia="Times New Roman" w:hAnsi="Times New Roman"/>
          <w:b w:val="false"/>
          <w:bCs w:val="false"/>
          <w:i w:val="false"/>
          <w:iCs w:val="false"/>
          <w:sz w:val="24"/>
          <w:szCs w:val="24"/>
        </w:rPr>
        <w:t xml:space="preserve">, 110463. https://doi.org/10.1016/j.exer.2025.110463</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Seguí, M. del M., Cabrero-García, J., Crespo, A., Verdú, J., &amp; Ronda, E. (2015). A reliable and valid questionnaire was developed to measure computer vision syndrome at the workplace. </w:t>
      </w:r>
      <w:r>
        <w:rPr>
          <w:rFonts w:ascii="Times New Roman" w:cs="Times New Roman" w:eastAsia="Times New Roman" w:hAnsi="Times New Roman"/>
          <w:b w:val="false"/>
          <w:bCs w:val="false"/>
          <w:i/>
          <w:iCs/>
          <w:sz w:val="24"/>
          <w:szCs w:val="24"/>
        </w:rPr>
        <w:t xml:space="preserve">Journal of Clinical Epidemiology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68</w:t>
      </w:r>
      <w:r>
        <w:rPr>
          <w:rFonts w:ascii="Times New Roman" w:cs="Times New Roman" w:eastAsia="Times New Roman" w:hAnsi="Times New Roman"/>
          <w:b w:val="false"/>
          <w:bCs w:val="false"/>
          <w:i w:val="false"/>
          <w:iCs w:val="false"/>
          <w:sz w:val="24"/>
          <w:szCs w:val="24"/>
        </w:rPr>
        <w:t xml:space="preserve">(6), 662–673. https://doi.org/10.1016/j.jclinepi.2015.01.015</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Sethi, T., &amp; Ziat, M. (2023). Dark mode vogue: Do light-on-dark displays have measurable benefits to users? </w:t>
      </w:r>
      <w:r>
        <w:rPr>
          <w:rFonts w:ascii="Times New Roman" w:cs="Times New Roman" w:eastAsia="Times New Roman" w:hAnsi="Times New Roman"/>
          <w:b w:val="false"/>
          <w:bCs w:val="false"/>
          <w:i/>
          <w:iCs/>
          <w:sz w:val="24"/>
          <w:szCs w:val="24"/>
        </w:rPr>
        <w:t xml:space="preserve">Ergonomics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66</w:t>
      </w:r>
      <w:r>
        <w:rPr>
          <w:rFonts w:ascii="Times New Roman" w:cs="Times New Roman" w:eastAsia="Times New Roman" w:hAnsi="Times New Roman"/>
          <w:b w:val="false"/>
          <w:bCs w:val="false"/>
          <w:i w:val="false"/>
          <w:iCs w:val="false"/>
          <w:sz w:val="24"/>
          <w:szCs w:val="24"/>
        </w:rPr>
        <w:t xml:space="preserve">(12), 1814–1828. https://doi.org/10.1080/00140139.2022.2160879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Sheppard, A. L., &amp; Wolffsohn, J. S. (2018). Digital eye strain: Prevalence, measurement and amelioration. </w:t>
      </w:r>
      <w:r>
        <w:rPr>
          <w:rFonts w:ascii="Times New Roman" w:cs="Times New Roman" w:eastAsia="Times New Roman" w:hAnsi="Times New Roman"/>
          <w:b w:val="false"/>
          <w:bCs w:val="false"/>
          <w:i/>
          <w:iCs/>
          <w:sz w:val="24"/>
          <w:szCs w:val="24"/>
        </w:rPr>
        <w:t xml:space="preserve">BMJ Open Ophthalmology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3</w:t>
      </w:r>
      <w:r>
        <w:rPr>
          <w:rFonts w:ascii="Times New Roman" w:cs="Times New Roman" w:eastAsia="Times New Roman" w:hAnsi="Times New Roman"/>
          <w:b w:val="false"/>
          <w:bCs w:val="false"/>
          <w:i w:val="false"/>
          <w:iCs w:val="false"/>
          <w:sz w:val="24"/>
          <w:szCs w:val="24"/>
        </w:rPr>
        <w:t xml:space="preserve">(1), e000146. https://doi.org/10.1136/bmjophth-2018-000146</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Singh, S., McGuinness, M. B., Anderson, A. J., &amp; Downie, L. E. (2022). Interventions for the management of computer vision syndrome: A systematic review and meta-analysis. </w:t>
      </w:r>
      <w:r>
        <w:rPr>
          <w:rFonts w:ascii="Times New Roman" w:cs="Times New Roman" w:eastAsia="Times New Roman" w:hAnsi="Times New Roman"/>
          <w:b w:val="false"/>
          <w:bCs w:val="false"/>
          <w:i/>
          <w:iCs/>
          <w:sz w:val="24"/>
          <w:szCs w:val="24"/>
        </w:rPr>
        <w:t xml:space="preserve">Ophthalmology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129</w:t>
      </w:r>
      <w:r>
        <w:rPr>
          <w:rFonts w:ascii="Times New Roman" w:cs="Times New Roman" w:eastAsia="Times New Roman" w:hAnsi="Times New Roman"/>
          <w:b w:val="false"/>
          <w:bCs w:val="false"/>
          <w:i w:val="false"/>
          <w:iCs w:val="false"/>
          <w:sz w:val="24"/>
          <w:szCs w:val="24"/>
        </w:rPr>
        <w:t xml:space="preserve">(10), 1192–1215. https://doi.org/10.1016/j.ophtha.2022.05.009</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Somers, A. (n.d.). </w:t>
      </w:r>
      <w:r>
        <w:rPr>
          <w:rFonts w:ascii="Times New Roman" w:cs="Times New Roman" w:eastAsia="Times New Roman" w:hAnsi="Times New Roman"/>
          <w:b w:val="false"/>
          <w:bCs w:val="false"/>
          <w:i/>
          <w:iCs/>
          <w:sz w:val="24"/>
          <w:szCs w:val="24"/>
        </w:rPr>
        <w:t xml:space="preserve">APCA: The accessible perceptual contrast algorithm</w:t>
      </w:r>
      <w:r>
        <w:rPr>
          <w:rFonts w:ascii="Times New Roman" w:cs="Times New Roman" w:eastAsia="Times New Roman" w:hAnsi="Times New Roman"/>
          <w:b w:val="false"/>
          <w:bCs w:val="false"/>
          <w:i w:val="false"/>
          <w:iCs w:val="false"/>
          <w:sz w:val="24"/>
          <w:szCs w:val="24"/>
        </w:rPr>
        <w:t xml:space="preserve"> [Documentation]. Myndex Research. Retrieved August 24, 2026, from https://git.apcacontrast.com/</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Soukupová, T., &amp; Čech, J. (2016). Real-time eye blink detection using facial landmarks. In </w:t>
      </w:r>
      <w:r>
        <w:rPr>
          <w:rFonts w:ascii="Times New Roman" w:cs="Times New Roman" w:eastAsia="Times New Roman" w:hAnsi="Times New Roman"/>
          <w:b w:val="false"/>
          <w:bCs w:val="false"/>
          <w:i/>
          <w:iCs/>
          <w:sz w:val="24"/>
          <w:szCs w:val="24"/>
        </w:rPr>
        <w:t xml:space="preserve">Proceedings of the 21st Computer Vision Winter Workshop</w:t>
      </w:r>
      <w:r>
        <w:rPr>
          <w:rFonts w:ascii="Times New Roman" w:cs="Times New Roman" w:eastAsia="Times New Roman" w:hAnsi="Times New Roman"/>
          <w:b w:val="false"/>
          <w:bCs w:val="false"/>
          <w:i w:val="false"/>
          <w:iCs w:val="false"/>
          <w:sz w:val="24"/>
          <w:szCs w:val="24"/>
        </w:rPr>
        <w:t xml:space="preserve">. Rimske Toplice, Slovenia.</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Tian, P., Xu, G., Han, C., Zheng, X., Zhang, K., Du, C., Wei, F., &amp; Zhang, S. (2022). Effects of paradigm color and screen brightness on visual fatigue in light environment of night based on eye tracker and EEG acquisition equipment.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22</w:t>
      </w:r>
      <w:r>
        <w:rPr>
          <w:rFonts w:ascii="Times New Roman" w:cs="Times New Roman" w:eastAsia="Times New Roman" w:hAnsi="Times New Roman"/>
          <w:b w:val="false"/>
          <w:bCs w:val="false"/>
          <w:i w:val="false"/>
          <w:iCs w:val="false"/>
          <w:sz w:val="24"/>
          <w:szCs w:val="24"/>
        </w:rPr>
        <w:t xml:space="preserve">(11), 4082. https://doi.org/10.3390/s22114082</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Warm, J. S., Parasuraman, R., &amp; Matthews, G. (2008). Vigilance requires hard mental work and is stressful. </w:t>
      </w:r>
      <w:r>
        <w:rPr>
          <w:rFonts w:ascii="Times New Roman" w:cs="Times New Roman" w:eastAsia="Times New Roman" w:hAnsi="Times New Roman"/>
          <w:b w:val="false"/>
          <w:bCs w:val="false"/>
          <w:i/>
          <w:iCs/>
          <w:sz w:val="24"/>
          <w:szCs w:val="24"/>
        </w:rPr>
        <w:t xml:space="preserve">Human Factors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50</w:t>
      </w:r>
      <w:r>
        <w:rPr>
          <w:rFonts w:ascii="Times New Roman" w:cs="Times New Roman" w:eastAsia="Times New Roman" w:hAnsi="Times New Roman"/>
          <w:b w:val="false"/>
          <w:bCs w:val="false"/>
          <w:i w:val="false"/>
          <w:iCs w:val="false"/>
          <w:sz w:val="24"/>
          <w:szCs w:val="24"/>
        </w:rPr>
        <w:t xml:space="preserve">(3), 433–441. https://doi.org/10.1518/001872008X312152</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World Wide Web Consortium. (2023). </w:t>
      </w:r>
      <w:r>
        <w:rPr>
          <w:rFonts w:ascii="Times New Roman" w:cs="Times New Roman" w:eastAsia="Times New Roman" w:hAnsi="Times New Roman"/>
          <w:b w:val="false"/>
          <w:bCs w:val="false"/>
          <w:i/>
          <w:iCs/>
          <w:sz w:val="24"/>
          <w:szCs w:val="24"/>
        </w:rPr>
        <w:t xml:space="preserve">Web content accessibility guidelines (WCAG) 2.2</w:t>
      </w:r>
      <w:r>
        <w:rPr>
          <w:rFonts w:ascii="Times New Roman" w:cs="Times New Roman" w:eastAsia="Times New Roman" w:hAnsi="Times New Roman"/>
          <w:b w:val="false"/>
          <w:bCs w:val="false"/>
          <w:i w:val="false"/>
          <w:iCs w:val="false"/>
          <w:sz w:val="24"/>
          <w:szCs w:val="24"/>
        </w:rPr>
        <w:t xml:space="preserve">. https://www.w3.org/TR/WCAG22/</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Xie, X., Song, F., Liu, Y., Wang, S., &amp; Yu, D. (2021). Study on the effects of display color mode and luminance contrast on visual fatigue. </w:t>
      </w:r>
      <w:r>
        <w:rPr>
          <w:rFonts w:ascii="Times New Roman" w:cs="Times New Roman" w:eastAsia="Times New Roman" w:hAnsi="Times New Roman"/>
          <w:b w:val="false"/>
          <w:bCs w:val="false"/>
          <w:i/>
          <w:iCs/>
          <w:sz w:val="24"/>
          <w:szCs w:val="24"/>
        </w:rPr>
        <w:t xml:space="preserve">IEEE Access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w:t>
      </w:r>
      <w:r>
        <w:rPr>
          <w:rFonts w:ascii="Times New Roman" w:cs="Times New Roman" w:eastAsia="Times New Roman" w:hAnsi="Times New Roman"/>
          <w:b w:val="false"/>
          <w:bCs w:val="false"/>
          <w:i w:val="false"/>
          <w:iCs w:val="false"/>
          <w:sz w:val="24"/>
          <w:szCs w:val="24"/>
        </w:rPr>
        <w:t xml:space="preserve">, 35915–35923. https://doi.org/10.1109/ACCESS.2021.3061770</w:t>
      </w:r>
    </w:p>
    <w:p>
      <w:pPr>
        <w:pBdr>
          <w:bottom w:val="single" w:color="AAAAAA" w:sz="6" w:space="1"/>
        </w:pBdr>
        <w:spacing w:after="40" w:before="0"/>
      </w:pPr>
      <w:r>
        <w:rPr>
          <w:rFonts w:ascii="Times New Roman" w:cs="Times New Roman" w:eastAsia="Times New Roman" w:hAnsi="Times New Roman"/>
          <w:sz w:val="24"/>
          <w:szCs w:val="24"/>
        </w:rPr>
        <w:t xml:space="preserve"/>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Date: ……………………………                     Signature of Scholar</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Signature of Supervisor                              Signature of Supervisor</w:t>
      </w:r>
    </w:p>
    <w:p>
      <w:pPr>
        <w:spacing w:after="60" w:line="240"/>
        <w:ind w:left="720" w:hanging="720"/>
      </w:pPr>
      <w:r>
        <w:rPr>
          <w:rFonts w:ascii="Times New Roman" w:cs="Times New Roman" w:eastAsia="Times New Roman" w:hAnsi="Times New Roman"/>
          <w:b w:val="false"/>
          <w:bCs w:val="false"/>
          <w:i w:val="false"/>
          <w:iCs w:val="false"/>
          <w:sz w:val="24"/>
          <w:szCs w:val="24"/>
        </w:rPr>
        <w:t xml:space="preserve">Seal                                                              Seal</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0" w:before="140" w:line="36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40" w:before="100" w:line="360"/>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40" w:before="100" w:line="360"/>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40" w:before="100" w:line="360"/>
    </w:pPr>
    <w:rPr>
      <w:rFonts w:ascii="Times New Roman" w:cs="Times New Roman" w:eastAsia="Times New Roman" w:hAnsi="Times New Roman"/>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Ergonomics of Visual Perception — PhD Synopsis</dc:title>
  <dc:creator>Gyandeep Nath</dc:creator>
  <dc:description>PhD synopsis submitted to Assam down town University</dc:description>
  <cp:lastModifiedBy>Un-named</cp:lastModifiedBy>
  <cp:revision>1</cp:revision>
  <dcterms:created xsi:type="dcterms:W3CDTF">2026-08-27T12:21:26.766Z</dcterms:created>
  <dcterms:modified xsi:type="dcterms:W3CDTF">2026-08-27T12:21:26.766Z</dcterms:modified>
</cp:coreProperties>
</file>

<file path=docProps/custom.xml><?xml version="1.0" encoding="utf-8"?>
<Properties xmlns="http://schemas.openxmlformats.org/officeDocument/2006/custom-properties" xmlns:vt="http://schemas.openxmlformats.org/officeDocument/2006/docPropsVTypes"/>
</file>