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160" w:before="320"/>
      </w:pPr>
      <w:r>
        <w:rPr>
          <w:rFonts w:ascii="Times New Roman" w:cs="Times New Roman" w:eastAsia="Times New Roman" w:hAnsi="Times New Roman"/>
          <w:b/>
          <w:bCs/>
          <w:i w:val="false"/>
          <w:iCs w:val="false"/>
          <w:sz w:val="32"/>
          <w:szCs w:val="32"/>
        </w:rPr>
        <w:t xml:space="preserve">Review of Literature</w:t>
      </w:r>
    </w:p>
    <w:p>
      <w:pPr>
        <w:pStyle w:val="Heading2"/>
        <w:keepNext/>
        <w:spacing w:after="160" w:before="280"/>
      </w:pPr>
      <w:r>
        <w:rPr>
          <w:rFonts w:ascii="Times New Roman" w:cs="Times New Roman" w:eastAsia="Times New Roman" w:hAnsi="Times New Roman"/>
          <w:b/>
          <w:bCs/>
          <w:i w:val="false"/>
          <w:iCs w:val="false"/>
          <w:sz w:val="28"/>
          <w:szCs w:val="28"/>
        </w:rPr>
        <w:t xml:space="preserve">Display Polarity and Text Colour as Determinants of Reading Performance, Sustained Attention and Visual Fatigue during Prolonged Tablet Reading</w:t>
      </w:r>
    </w:p>
    <w:p>
      <w:pPr>
        <w:spacing w:after="140" w:line="340"/>
        <w:jc w:val="both"/>
      </w:pPr>
      <w:r>
        <w:rPr>
          <w:rFonts w:ascii="Times New Roman" w:cs="Times New Roman" w:eastAsia="Times New Roman" w:hAnsi="Times New Roman"/>
          <w:b/>
          <w:bCs/>
          <w:i w:val="false"/>
          <w:iCs w:val="false"/>
          <w:sz w:val="24"/>
          <w:szCs w:val="24"/>
        </w:rPr>
        <w:t xml:space="preserve">Prepared for: Ph.D. Synopsis Presentation (pre-registration)</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Document type:</w:t>
      </w:r>
      <w:r>
        <w:rPr>
          <w:rFonts w:ascii="Times New Roman" w:cs="Times New Roman" w:eastAsia="Times New Roman" w:hAnsi="Times New Roman"/>
          <w:b w:val="false"/>
          <w:bCs w:val="false"/>
          <w:i w:val="false"/>
          <w:iCs w:val="false"/>
          <w:sz w:val="24"/>
          <w:szCs w:val="24"/>
        </w:rPr>
        <w:t xml:space="preserve"> Review of literature, critical synthesis, identification of research gaps, and derivation of aim, objectives and hypotheses.</w:t>
      </w:r>
    </w:p>
    <w:p>
      <w:pPr>
        <w:pBdr>
          <w:bottom w:val="single" w:color="AAAAAA" w:sz="6" w:space="1"/>
        </w:pBdr>
        <w:spacing w:after="200" w:before="120"/>
      </w:pPr>
      <w:r>
        <w:rPr>
          <w:rFonts w:ascii="Times New Roman" w:cs="Times New Roman" w:eastAsia="Times New Roman" w:hAnsi="Times New Roman"/>
          <w:sz w:val="24"/>
          <w:szCs w:val="24"/>
        </w:rPr>
        <w:t xml:space="preserve"/>
      </w:r>
    </w:p>
    <w:p>
      <w:pPr>
        <w:pStyle w:val="Heading3"/>
        <w:keepNext/>
        <w:spacing w:after="160" w:before="280"/>
      </w:pPr>
      <w:r>
        <w:rPr>
          <w:rFonts w:ascii="Times New Roman" w:cs="Times New Roman" w:eastAsia="Times New Roman" w:hAnsi="Times New Roman"/>
          <w:b/>
          <w:bCs/>
          <w:i w:val="false"/>
          <w:iCs w:val="false"/>
          <w:sz w:val="26"/>
          <w:szCs w:val="26"/>
        </w:rPr>
        <w:t xml:space="preserve">How to read this document</w:t>
      </w:r>
    </w:p>
    <w:p>
      <w:pPr>
        <w:spacing w:after="140" w:line="340"/>
        <w:jc w:val="both"/>
      </w:pPr>
      <w:r>
        <w:rPr>
          <w:rFonts w:ascii="Times New Roman" w:cs="Times New Roman" w:eastAsia="Times New Roman" w:hAnsi="Times New Roman"/>
          <w:b w:val="false"/>
          <w:bCs w:val="false"/>
          <w:i w:val="false"/>
          <w:iCs w:val="false"/>
          <w:sz w:val="24"/>
          <w:szCs w:val="24"/>
        </w:rPr>
        <w:t xml:space="preserve">Section 1 states the problem context. Section 2 documents the review methodology (search strategy and sources), so that the review is auditable. Sections 3–13 are the thematic review, each closing with a short </w:t>
      </w:r>
      <w:r>
        <w:rPr>
          <w:rFonts w:ascii="Times New Roman" w:cs="Times New Roman" w:eastAsia="Times New Roman" w:hAnsi="Times New Roman"/>
          <w:b/>
          <w:bCs/>
          <w:i w:val="false"/>
          <w:iCs w:val="false"/>
          <w:sz w:val="24"/>
          <w:szCs w:val="24"/>
        </w:rPr>
        <w:t xml:space="preserve">critical appraisal</w:t>
      </w:r>
      <w:r>
        <w:rPr>
          <w:rFonts w:ascii="Times New Roman" w:cs="Times New Roman" w:eastAsia="Times New Roman" w:hAnsi="Times New Roman"/>
          <w:b w:val="false"/>
          <w:bCs w:val="false"/>
          <w:i w:val="false"/>
          <w:iCs w:val="false"/>
          <w:sz w:val="24"/>
          <w:szCs w:val="24"/>
        </w:rPr>
        <w:t xml:space="preserve"> that states what is established, what is contested, and what remains unknown. Section 14 synthesises the evidence into a </w:t>
      </w:r>
      <w:r>
        <w:rPr>
          <w:rFonts w:ascii="Times New Roman" w:cs="Times New Roman" w:eastAsia="Times New Roman" w:hAnsi="Times New Roman"/>
          <w:b/>
          <w:bCs/>
          <w:i w:val="false"/>
          <w:iCs w:val="false"/>
          <w:sz w:val="24"/>
          <w:szCs w:val="24"/>
        </w:rPr>
        <w:t xml:space="preserve">numbered gap register (G1–G10)</w:t>
      </w:r>
      <w:r>
        <w:rPr>
          <w:rFonts w:ascii="Times New Roman" w:cs="Times New Roman" w:eastAsia="Times New Roman" w:hAnsi="Times New Roman"/>
          <w:b w:val="false"/>
          <w:bCs w:val="false"/>
          <w:i w:val="false"/>
          <w:iCs w:val="false"/>
          <w:sz w:val="24"/>
          <w:szCs w:val="24"/>
        </w:rPr>
        <w:t xml:space="preserve">. Sections 15–18 derive the </w:t>
      </w:r>
      <w:r>
        <w:rPr>
          <w:rFonts w:ascii="Times New Roman" w:cs="Times New Roman" w:eastAsia="Times New Roman" w:hAnsi="Times New Roman"/>
          <w:b/>
          <w:bCs/>
          <w:i w:val="false"/>
          <w:iCs w:val="false"/>
          <w:sz w:val="24"/>
          <w:szCs w:val="24"/>
        </w:rPr>
        <w:t xml:space="preserve">problem statement, aim, objectives, hypotheses and conceptual framework</w:t>
      </w:r>
      <w:r>
        <w:rPr>
          <w:rFonts w:ascii="Times New Roman" w:cs="Times New Roman" w:eastAsia="Times New Roman" w:hAnsi="Times New Roman"/>
          <w:b w:val="false"/>
          <w:bCs w:val="false"/>
          <w:i w:val="false"/>
          <w:iCs w:val="false"/>
          <w:sz w:val="24"/>
          <w:szCs w:val="24"/>
        </w:rPr>
        <w:t xml:space="preserve"> directly from those gaps, so that every objective is traceable to a documented deficiency in the literature. Sections 19–22 set out the proposed methodological outline, expected outcomes, applications and limitations. Section 23 is the reference list; Appendix A and B are evidence tables.</w:t>
      </w:r>
    </w:p>
    <w:p>
      <w:pPr>
        <w:spacing w:after="140" w:line="340"/>
        <w:jc w:val="both"/>
      </w:pPr>
      <w:r>
        <w:rPr>
          <w:rFonts w:ascii="Times New Roman" w:cs="Times New Roman" w:eastAsia="Times New Roman" w:hAnsi="Times New Roman"/>
          <w:b/>
          <w:bCs/>
          <w:i w:val="false"/>
          <w:iCs w:val="false"/>
          <w:sz w:val="24"/>
          <w:szCs w:val="24"/>
        </w:rPr>
        <w:t xml:space="preserve">Source attribution.</w:t>
      </w:r>
      <w:r>
        <w:rPr>
          <w:rFonts w:ascii="Times New Roman" w:cs="Times New Roman" w:eastAsia="Times New Roman" w:hAnsi="Times New Roman"/>
          <w:b w:val="false"/>
          <w:bCs w:val="false"/>
          <w:i w:val="false"/>
          <w:iCs w:val="false"/>
          <w:sz w:val="24"/>
          <w:szCs w:val="24"/>
        </w:rPr>
        <w:t xml:space="preserve"> Bibliographic records for the biomedical and vision-science literature cited in this review were retrieved from </w:t>
      </w:r>
      <w:r>
        <w:rPr>
          <w:rFonts w:ascii="Times New Roman" w:cs="Times New Roman" w:eastAsia="Times New Roman" w:hAnsi="Times New Roman"/>
          <w:b/>
          <w:bCs/>
          <w:i w:val="false"/>
          <w:iCs w:val="false"/>
          <w:sz w:val="24"/>
          <w:szCs w:val="24"/>
        </w:rPr>
        <w:t xml:space="preserve">PubMed</w:t>
      </w:r>
      <w:r>
        <w:rPr>
          <w:rFonts w:ascii="Times New Roman" w:cs="Times New Roman" w:eastAsia="Times New Roman" w:hAnsi="Times New Roman"/>
          <w:b w:val="false"/>
          <w:bCs w:val="false"/>
          <w:i w:val="false"/>
          <w:iCs w:val="false"/>
          <w:sz w:val="24"/>
          <w:szCs w:val="24"/>
        </w:rPr>
        <w:t xml:space="preserve"> (U.S. National Library of Medicine). Every retrieved record is cited below with its Digital Object Identifier (DOI) as a resolvable link. Non-biomedical sources (human-factors, ergonomics, educational-psychology and computer-vision literature, and technical standards) were identified through targeted literature searching and are cited with DOIs or canonical identifiers where these exist. Items whose bibliographic details could not be independently verified are explicitly flagged as such and are </w:t>
      </w:r>
      <w:r>
        <w:rPr>
          <w:rFonts w:ascii="Times New Roman" w:cs="Times New Roman" w:eastAsia="Times New Roman" w:hAnsi="Times New Roman"/>
          <w:b/>
          <w:bCs/>
          <w:i w:val="false"/>
          <w:iCs w:val="false"/>
          <w:sz w:val="24"/>
          <w:szCs w:val="24"/>
        </w:rPr>
        <w:t xml:space="preserve">not</w:t>
      </w:r>
      <w:r>
        <w:rPr>
          <w:rFonts w:ascii="Times New Roman" w:cs="Times New Roman" w:eastAsia="Times New Roman" w:hAnsi="Times New Roman"/>
          <w:b w:val="false"/>
          <w:bCs w:val="false"/>
          <w:i w:val="false"/>
          <w:iCs w:val="false"/>
          <w:sz w:val="24"/>
          <w:szCs w:val="24"/>
        </w:rPr>
        <w:t xml:space="preserve"> relied upon for any substantive claim (see §2.4).</w:t>
      </w:r>
    </w:p>
    <w:p>
      <w:pPr>
        <w:pBdr>
          <w:bottom w:val="single" w:color="AAAAAA" w:sz="6" w:space="1"/>
        </w:pBdr>
        <w:spacing w:after="200" w:before="120"/>
      </w:pPr>
      <w:r>
        <w:rPr>
          <w:rFonts w:ascii="Times New Roman" w:cs="Times New Roman" w:eastAsia="Times New Roman" w:hAnsi="Times New Roman"/>
          <w:sz w:val="24"/>
          <w:szCs w:val="24"/>
        </w:rPr>
        <w:t xml:space="preserve"/>
      </w:r>
    </w:p>
    <w:p>
      <w:pPr>
        <w:pStyle w:val="Heading2"/>
        <w:keepNext/>
        <w:spacing w:after="160" w:before="280"/>
      </w:pPr>
      <w:r>
        <w:rPr>
          <w:rFonts w:ascii="Times New Roman" w:cs="Times New Roman" w:eastAsia="Times New Roman" w:hAnsi="Times New Roman"/>
          <w:b/>
          <w:bCs/>
          <w:i w:val="false"/>
          <w:iCs w:val="false"/>
          <w:sz w:val="28"/>
          <w:szCs w:val="28"/>
        </w:rPr>
        <w:t xml:space="preserve">1. Introduction and background</w:t>
      </w:r>
    </w:p>
    <w:p>
      <w:pPr>
        <w:pStyle w:val="Heading3"/>
        <w:keepNext/>
        <w:spacing w:after="160" w:before="280"/>
      </w:pPr>
      <w:r>
        <w:rPr>
          <w:rFonts w:ascii="Times New Roman" w:cs="Times New Roman" w:eastAsia="Times New Roman" w:hAnsi="Times New Roman"/>
          <w:b/>
          <w:bCs/>
          <w:i w:val="false"/>
          <w:iCs w:val="false"/>
          <w:sz w:val="26"/>
          <w:szCs w:val="26"/>
        </w:rPr>
        <w:t xml:space="preserve">1.1 The digital reading transition</w:t>
      </w:r>
    </w:p>
    <w:p>
      <w:pPr>
        <w:spacing w:after="140" w:line="340"/>
        <w:jc w:val="both"/>
      </w:pPr>
      <w:r>
        <w:rPr>
          <w:rFonts w:ascii="Times New Roman" w:cs="Times New Roman" w:eastAsia="Times New Roman" w:hAnsi="Times New Roman"/>
          <w:b w:val="false"/>
          <w:bCs w:val="false"/>
          <w:i w:val="false"/>
          <w:iCs w:val="false"/>
          <w:sz w:val="24"/>
          <w:szCs w:val="24"/>
        </w:rPr>
        <w:t xml:space="preserve">Reading has undergone a substantive migration from reflective print to self-luminous digital displays. Tablets and comparable handheld devices now mediate a substantial share of sustained reading in education, professional work and leisure. Unlike print, a self-luminous display is an active light source whose polarity (whether text is dark-on-light or light-on-dark), chromaticity, luminance and contrast are all software-configurable design parameters. Each of these parameters is set, in practice, by interface designers and by user-selectable "themes" — most visibly the now-ubiquitous "dark mode" — largely in the absence of a settled evidence base regarding their consequences for visual health and reading performance.</w:t>
      </w:r>
    </w:p>
    <w:p>
      <w:pPr>
        <w:spacing w:after="140" w:line="340"/>
        <w:jc w:val="both"/>
      </w:pPr>
      <w:r>
        <w:rPr>
          <w:rFonts w:ascii="Times New Roman" w:cs="Times New Roman" w:eastAsia="Times New Roman" w:hAnsi="Times New Roman"/>
          <w:b w:val="false"/>
          <w:bCs w:val="false"/>
          <w:i w:val="false"/>
          <w:iCs w:val="false"/>
          <w:sz w:val="24"/>
          <w:szCs w:val="24"/>
        </w:rPr>
        <w:t xml:space="preserve">This matters because the visual and ocular consequences of prolonged display use are neither rare nor trivial. A systematic review and meta-analysis of 103 cross-sectional studies comprising 66,577 participants estimated the pooled prevalence of computer vision syndrome (CVS) at </w:t>
      </w:r>
      <w:r>
        <w:rPr>
          <w:rFonts w:ascii="Times New Roman" w:cs="Times New Roman" w:eastAsia="Times New Roman" w:hAnsi="Times New Roman"/>
          <w:b/>
          <w:bCs/>
          <w:i w:val="false"/>
          <w:iCs w:val="false"/>
          <w:sz w:val="24"/>
          <w:szCs w:val="24"/>
        </w:rPr>
        <w:t xml:space="preserve">69.0% (95% CI 62.3–75.3)</w:t>
      </w:r>
      <w:r>
        <w:rPr>
          <w:rFonts w:ascii="Times New Roman" w:cs="Times New Roman" w:eastAsia="Times New Roman" w:hAnsi="Times New Roman"/>
          <w:b w:val="false"/>
          <w:bCs w:val="false"/>
          <w:i w:val="false"/>
          <w:iCs w:val="false"/>
          <w:sz w:val="24"/>
          <w:szCs w:val="24"/>
        </w:rPr>
        <w:t xml:space="preserve">, with individual study estimates ranging from 12.1% to 97.3% [1]. Prevalence was higher in women than men (71.4% vs 61.8%), higher among university students (76.1%), and higher in contact-lens wearers (73.1% vs 63.8%) [1]. Narrative and comprehensive reviews converge on a similar order of magnitude and document a further rise associated with pandemic-era remote learning and work, with reported prevalence in children rising to 50–60% [2–5].</w:t>
      </w:r>
    </w:p>
    <w:p>
      <w:pPr>
        <w:pStyle w:val="Heading3"/>
        <w:keepNext/>
        <w:spacing w:after="160" w:before="280"/>
      </w:pPr>
      <w:r>
        <w:rPr>
          <w:rFonts w:ascii="Times New Roman" w:cs="Times New Roman" w:eastAsia="Times New Roman" w:hAnsi="Times New Roman"/>
          <w:b/>
          <w:bCs/>
          <w:i w:val="false"/>
          <w:iCs w:val="false"/>
          <w:sz w:val="26"/>
          <w:szCs w:val="26"/>
        </w:rPr>
        <w:t xml:space="preserve">1.2 Terminology</w:t>
      </w:r>
    </w:p>
    <w:p>
      <w:pPr>
        <w:spacing w:after="140" w:line="340"/>
        <w:jc w:val="both"/>
      </w:pPr>
      <w:r>
        <w:rPr>
          <w:rFonts w:ascii="Times New Roman" w:cs="Times New Roman" w:eastAsia="Times New Roman" w:hAnsi="Times New Roman"/>
          <w:b w:val="false"/>
          <w:bCs w:val="false"/>
          <w:i w:val="false"/>
          <w:iCs w:val="false"/>
          <w:sz w:val="24"/>
          <w:szCs w:val="24"/>
        </w:rPr>
        <w:t xml:space="preserve">Two labels dominate the literature and are used near-synonymously: </w:t>
      </w:r>
      <w:r>
        <w:rPr>
          <w:rFonts w:ascii="Times New Roman" w:cs="Times New Roman" w:eastAsia="Times New Roman" w:hAnsi="Times New Roman"/>
          <w:b/>
          <w:bCs/>
          <w:i w:val="false"/>
          <w:iCs w:val="false"/>
          <w:sz w:val="24"/>
          <w:szCs w:val="24"/>
        </w:rPr>
        <w:t xml:space="preserve">computer vision syndrome (CVS)</w:t>
      </w:r>
      <w:r>
        <w:rPr>
          <w:rFonts w:ascii="Times New Roman" w:cs="Times New Roman" w:eastAsia="Times New Roman" w:hAnsi="Times New Roman"/>
          <w:b w:val="false"/>
          <w:bCs w:val="false"/>
          <w:i w:val="false"/>
          <w:iCs w:val="false"/>
          <w:sz w:val="24"/>
          <w:szCs w:val="24"/>
        </w:rPr>
        <w:t xml:space="preserve"> and </w:t>
      </w:r>
      <w:r>
        <w:rPr>
          <w:rFonts w:ascii="Times New Roman" w:cs="Times New Roman" w:eastAsia="Times New Roman" w:hAnsi="Times New Roman"/>
          <w:b/>
          <w:bCs/>
          <w:i w:val="false"/>
          <w:iCs w:val="false"/>
          <w:sz w:val="24"/>
          <w:szCs w:val="24"/>
        </w:rPr>
        <w:t xml:space="preserve">digital eye strain (DES)</w:t>
      </w:r>
      <w:r>
        <w:rPr>
          <w:rFonts w:ascii="Times New Roman" w:cs="Times New Roman" w:eastAsia="Times New Roman" w:hAnsi="Times New Roman"/>
          <w:b w:val="false"/>
          <w:bCs w:val="false"/>
          <w:i w:val="false"/>
          <w:iCs w:val="false"/>
          <w:sz w:val="24"/>
          <w:szCs w:val="24"/>
        </w:rPr>
        <w:t xml:space="preserve">. Both denote the constellation of ocular and visual symptoms arising from prolonged use of digital devices — dry eye, irritation and burning, foreign-body sensation, watering, blurred vision, difficulty refocusing, headache and photophobia — together with associated non-ocular musculoskeletal complaints such as neck, shoulder and back discomfort [2,3,6,7]. This review uses </w:t>
      </w:r>
      <w:r>
        <w:rPr>
          <w:rFonts w:ascii="Times New Roman" w:cs="Times New Roman" w:eastAsia="Times New Roman" w:hAnsi="Times New Roman"/>
          <w:b/>
          <w:bCs/>
          <w:i w:val="false"/>
          <w:iCs w:val="false"/>
          <w:sz w:val="24"/>
          <w:szCs w:val="24"/>
        </w:rPr>
        <w:t xml:space="preserve">DES</w:t>
      </w:r>
      <w:r>
        <w:rPr>
          <w:rFonts w:ascii="Times New Roman" w:cs="Times New Roman" w:eastAsia="Times New Roman" w:hAnsi="Times New Roman"/>
          <w:b w:val="false"/>
          <w:bCs w:val="false"/>
          <w:i w:val="false"/>
          <w:iCs w:val="false"/>
          <w:sz w:val="24"/>
          <w:szCs w:val="24"/>
        </w:rPr>
        <w:t xml:space="preserve"> when referring to the symptom entity and </w:t>
      </w:r>
      <w:r>
        <w:rPr>
          <w:rFonts w:ascii="Times New Roman" w:cs="Times New Roman" w:eastAsia="Times New Roman" w:hAnsi="Times New Roman"/>
          <w:b/>
          <w:bCs/>
          <w:i w:val="false"/>
          <w:iCs w:val="false"/>
          <w:sz w:val="24"/>
          <w:szCs w:val="24"/>
        </w:rPr>
        <w:t xml:space="preserve">CVS</w:t>
      </w:r>
      <w:r>
        <w:rPr>
          <w:rFonts w:ascii="Times New Roman" w:cs="Times New Roman" w:eastAsia="Times New Roman" w:hAnsi="Times New Roman"/>
          <w:b w:val="false"/>
          <w:bCs w:val="false"/>
          <w:i w:val="false"/>
          <w:iCs w:val="false"/>
          <w:sz w:val="24"/>
          <w:szCs w:val="24"/>
        </w:rPr>
        <w:t xml:space="preserve"> when referring to the literature and instruments that use that term (notably the CVS-Q). A significant, and explicitly acknowledged, weakness of the field is the absence of a standardised operational definition; the prevalence meta-analysis concludes with a direct call for future studies to "standardize a definition of CVS" [1].</w:t>
      </w:r>
    </w:p>
    <w:p>
      <w:pPr>
        <w:pStyle w:val="Heading3"/>
        <w:keepNext/>
        <w:spacing w:after="160" w:before="280"/>
      </w:pPr>
      <w:r>
        <w:rPr>
          <w:rFonts w:ascii="Times New Roman" w:cs="Times New Roman" w:eastAsia="Times New Roman" w:hAnsi="Times New Roman"/>
          <w:b/>
          <w:bCs/>
          <w:i w:val="false"/>
          <w:iCs w:val="false"/>
          <w:sz w:val="26"/>
          <w:szCs w:val="26"/>
        </w:rPr>
        <w:t xml:space="preserve">1.3 Why display polarity and text colour are the right lever</w:t>
      </w:r>
    </w:p>
    <w:p>
      <w:pPr>
        <w:spacing w:after="140" w:line="340"/>
        <w:jc w:val="both"/>
      </w:pPr>
      <w:r>
        <w:rPr>
          <w:rFonts w:ascii="Times New Roman" w:cs="Times New Roman" w:eastAsia="Times New Roman" w:hAnsi="Times New Roman"/>
          <w:b w:val="false"/>
          <w:bCs w:val="false"/>
          <w:i w:val="false"/>
          <w:iCs w:val="false"/>
          <w:sz w:val="24"/>
          <w:szCs w:val="24"/>
        </w:rPr>
        <w:t xml:space="preserve">Interventions for DES have been studied extensively and, on the whole, disappointingly. A systematic review and meta-analysis of 45 randomised controlled trials involving 4,497 participants found </w:t>
      </w:r>
      <w:r>
        <w:rPr>
          <w:rFonts w:ascii="Times New Roman" w:cs="Times New Roman" w:eastAsia="Times New Roman" w:hAnsi="Times New Roman"/>
          <w:b/>
          <w:bCs/>
          <w:i w:val="false"/>
          <w:iCs w:val="false"/>
          <w:sz w:val="24"/>
          <w:szCs w:val="24"/>
        </w:rPr>
        <w:t xml:space="preserve">no high-certainty evidence supporting any of the analysed therapies</w:t>
      </w:r>
      <w:r>
        <w:rPr>
          <w:rFonts w:ascii="Times New Roman" w:cs="Times New Roman" w:eastAsia="Times New Roman" w:hAnsi="Times New Roman"/>
          <w:b w:val="false"/>
          <w:bCs w:val="false"/>
          <w:i w:val="false"/>
          <w:iCs w:val="false"/>
          <w:sz w:val="24"/>
          <w:szCs w:val="24"/>
        </w:rPr>
        <w:t xml:space="preserve"> [8]. Specifically: multifocal lenses did not improve visual-fatigue scores relative to single-vision lenses (3 RCTs; SMD 0.11, 95% CI −0.14 to 0.37); blue-blocking spectacle lenses did not reduce visual-fatigue symptoms (3 RCTs, low-certainty evidence); oral berry-extract supplementation improved neither visual fatigue (7 RCTs; SMD −0.27, 95% CI −0.70 to 0.16) nor dry-eye symptoms; only oral omega-3 supplementation showed a low-certainty benefit for dry-eye symptoms [8]. An independent systematic review restricted to studies using a validated DES questionnaire in pre-presbyopic users likewise found </w:t>
      </w:r>
      <w:r>
        <w:rPr>
          <w:rFonts w:ascii="Times New Roman" w:cs="Times New Roman" w:eastAsia="Times New Roman" w:hAnsi="Times New Roman"/>
          <w:b/>
          <w:bCs/>
          <w:i w:val="false"/>
          <w:iCs w:val="false"/>
          <w:sz w:val="24"/>
          <w:szCs w:val="24"/>
        </w:rPr>
        <w:t xml:space="preserve">no evidence for blue-blocking filters</w:t>
      </w:r>
      <w:r>
        <w:rPr>
          <w:rFonts w:ascii="Times New Roman" w:cs="Times New Roman" w:eastAsia="Times New Roman" w:hAnsi="Times New Roman"/>
          <w:b w:val="false"/>
          <w:bCs w:val="false"/>
          <w:i w:val="false"/>
          <w:iCs w:val="false"/>
          <w:sz w:val="24"/>
          <w:szCs w:val="24"/>
        </w:rPr>
        <w:t xml:space="preserve">, while supporting optimisation of ergonomic parameters and restriction of screen-use duration [9].</w:t>
      </w:r>
    </w:p>
    <w:p>
      <w:pPr>
        <w:spacing w:after="140" w:line="340"/>
        <w:jc w:val="both"/>
      </w:pPr>
      <w:r>
        <w:rPr>
          <w:rFonts w:ascii="Times New Roman" w:cs="Times New Roman" w:eastAsia="Times New Roman" w:hAnsi="Times New Roman"/>
          <w:b w:val="false"/>
          <w:bCs w:val="false"/>
          <w:i w:val="false"/>
          <w:iCs w:val="false"/>
          <w:sz w:val="24"/>
          <w:szCs w:val="24"/>
        </w:rPr>
        <w:t xml:space="preserve">The negative findings for filters and supplements are informative: they redirect attention to the </w:t>
      </w:r>
      <w:r>
        <w:rPr>
          <w:rFonts w:ascii="Times New Roman" w:cs="Times New Roman" w:eastAsia="Times New Roman" w:hAnsi="Times New Roman"/>
          <w:b/>
          <w:bCs/>
          <w:i w:val="false"/>
          <w:iCs w:val="false"/>
          <w:sz w:val="24"/>
          <w:szCs w:val="24"/>
        </w:rPr>
        <w:t xml:space="preserve">antecedent</w:t>
      </w:r>
      <w:r>
        <w:rPr>
          <w:rFonts w:ascii="Times New Roman" w:cs="Times New Roman" w:eastAsia="Times New Roman" w:hAnsi="Times New Roman"/>
          <w:b w:val="false"/>
          <w:bCs w:val="false"/>
          <w:i w:val="false"/>
          <w:iCs w:val="false"/>
          <w:sz w:val="24"/>
          <w:szCs w:val="24"/>
        </w:rPr>
        <w:t xml:space="preserve"> rather than the palliative — that is, to the properties of the displayed stimulus itself. Display polarity, text chromaticity and luminance contrast are (i) causally upstream of the visual load, (ii) zero-cost to modify in software, (iii) universally deployable at population scale, and (iv) already being modified aggressively by industry and by users, without evidence. This is the lever the present research programme addresses.</w:t>
      </w:r>
    </w:p>
    <w:p>
      <w:pPr>
        <w:pBdr>
          <w:bottom w:val="single" w:color="AAAAAA" w:sz="6" w:space="1"/>
        </w:pBdr>
        <w:spacing w:after="200" w:before="120"/>
      </w:pPr>
      <w:r>
        <w:rPr>
          <w:rFonts w:ascii="Times New Roman" w:cs="Times New Roman" w:eastAsia="Times New Roman" w:hAnsi="Times New Roman"/>
          <w:sz w:val="24"/>
          <w:szCs w:val="24"/>
        </w:rPr>
        <w:t xml:space="preserve"/>
      </w:r>
    </w:p>
    <w:p>
      <w:pPr>
        <w:pStyle w:val="Heading2"/>
        <w:keepNext/>
        <w:spacing w:after="160" w:before="280"/>
      </w:pPr>
      <w:r>
        <w:rPr>
          <w:rFonts w:ascii="Times New Roman" w:cs="Times New Roman" w:eastAsia="Times New Roman" w:hAnsi="Times New Roman"/>
          <w:b/>
          <w:bCs/>
          <w:i w:val="false"/>
          <w:iCs w:val="false"/>
          <w:sz w:val="28"/>
          <w:szCs w:val="28"/>
        </w:rPr>
        <w:t xml:space="preserve">2. Review methodology</w:t>
      </w:r>
    </w:p>
    <w:p>
      <w:pPr>
        <w:pStyle w:val="Heading3"/>
        <w:keepNext/>
        <w:spacing w:after="160" w:before="280"/>
      </w:pPr>
      <w:r>
        <w:rPr>
          <w:rFonts w:ascii="Times New Roman" w:cs="Times New Roman" w:eastAsia="Times New Roman" w:hAnsi="Times New Roman"/>
          <w:b/>
          <w:bCs/>
          <w:i w:val="false"/>
          <w:iCs w:val="false"/>
          <w:sz w:val="26"/>
          <w:szCs w:val="26"/>
        </w:rPr>
        <w:t xml:space="preserve">2.1 Objective of the review</w:t>
      </w:r>
    </w:p>
    <w:p>
      <w:pPr>
        <w:spacing w:after="140" w:line="340"/>
        <w:jc w:val="both"/>
      </w:pPr>
      <w:r>
        <w:rPr>
          <w:rFonts w:ascii="Times New Roman" w:cs="Times New Roman" w:eastAsia="Times New Roman" w:hAnsi="Times New Roman"/>
          <w:b w:val="false"/>
          <w:bCs w:val="false"/>
          <w:i w:val="false"/>
          <w:iCs w:val="false"/>
          <w:sz w:val="24"/>
          <w:szCs w:val="24"/>
        </w:rPr>
        <w:t xml:space="preserve">To locate, appraise and synthesise the empirical evidence concerning (a) the effects of display polarity, text colour and luminance contrast on reading performance and visual fatigue; (b) the validated subjective and objective measurement of digital eye strain; and (c) the methodological adequacy of consumer-grade (webcam-based) ocular measurement — in order to identify defensible research gaps and derive a scientifically sound doctoral research design.</w:t>
      </w:r>
    </w:p>
    <w:p>
      <w:pPr>
        <w:pStyle w:val="Heading3"/>
        <w:keepNext/>
        <w:spacing w:after="160" w:before="280"/>
      </w:pPr>
      <w:r>
        <w:rPr>
          <w:rFonts w:ascii="Times New Roman" w:cs="Times New Roman" w:eastAsia="Times New Roman" w:hAnsi="Times New Roman"/>
          <w:b/>
          <w:bCs/>
          <w:i w:val="false"/>
          <w:iCs w:val="false"/>
          <w:sz w:val="26"/>
          <w:szCs w:val="26"/>
        </w:rPr>
        <w:t xml:space="preserve">2.2 Information sources and search strategy</w:t>
      </w:r>
    </w:p>
    <w:p>
      <w:pPr>
        <w:spacing w:after="140" w:line="340"/>
        <w:jc w:val="both"/>
      </w:pPr>
      <w:r>
        <w:rPr>
          <w:rFonts w:ascii="Times New Roman" w:cs="Times New Roman" w:eastAsia="Times New Roman" w:hAnsi="Times New Roman"/>
          <w:b w:val="false"/>
          <w:bCs w:val="false"/>
          <w:i w:val="false"/>
          <w:iCs w:val="false"/>
          <w:sz w:val="24"/>
          <w:szCs w:val="24"/>
        </w:rPr>
        <w:t xml:space="preserve">The primary bibliographic source was </w:t>
      </w:r>
      <w:r>
        <w:rPr>
          <w:rFonts w:ascii="Times New Roman" w:cs="Times New Roman" w:eastAsia="Times New Roman" w:hAnsi="Times New Roman"/>
          <w:b/>
          <w:bCs/>
          <w:i w:val="false"/>
          <w:iCs w:val="false"/>
          <w:sz w:val="24"/>
          <w:szCs w:val="24"/>
        </w:rPr>
        <w:t xml:space="preserve">PubMed/MEDLINE</w:t>
      </w:r>
      <w:r>
        <w:rPr>
          <w:rFonts w:ascii="Times New Roman" w:cs="Times New Roman" w:eastAsia="Times New Roman" w:hAnsi="Times New Roman"/>
          <w:b w:val="false"/>
          <w:bCs w:val="false"/>
          <w:i w:val="false"/>
          <w:iCs w:val="false"/>
          <w:sz w:val="24"/>
          <w:szCs w:val="24"/>
        </w:rPr>
        <w:t xml:space="preserve">, searched through the National Library of Medicine's E-utilities interface. Because the relevant human-factors, ergonomics, typographic-legibility, educational-psychology and computer-vision literatures are incompletely indexed in PubMed, these were searched additionally through general and scholarly web search, with candidate records subsequently verified in PubMed where indexed, and otherwise verified against publisher records.</w:t>
      </w:r>
    </w:p>
    <w:p>
      <w:pPr>
        <w:spacing w:after="140" w:line="340"/>
        <w:jc w:val="both"/>
      </w:pPr>
      <w:r>
        <w:rPr>
          <w:rFonts w:ascii="Times New Roman" w:cs="Times New Roman" w:eastAsia="Times New Roman" w:hAnsi="Times New Roman"/>
          <w:b w:val="false"/>
          <w:bCs w:val="false"/>
          <w:i w:val="false"/>
          <w:iCs w:val="false"/>
          <w:sz w:val="24"/>
          <w:szCs w:val="24"/>
        </w:rPr>
        <w:t xml:space="preserve">Search concepts were combined across the following blocks:</w:t>
      </w:r>
    </w:p>
    <w:p>
      <w:pPr>
        <w:spacing w:after="120" w:line="320"/>
        <w:ind w:left="600" w:hanging="600"/>
        <w:jc w:val="both"/>
      </w:pPr>
      <w:r>
        <w:rPr>
          <w:rFonts w:ascii="Times New Roman" w:cs="Times New Roman" w:eastAsia="Times New Roman" w:hAnsi="Times New Roman"/>
          <w:sz w:val="24"/>
          <w:szCs w:val="24"/>
        </w:rPr>
        <w:t xml:space="preserve">1.</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Condition:</w:t>
      </w:r>
      <w:r>
        <w:rPr>
          <w:rFonts w:ascii="Times New Roman" w:cs="Times New Roman" w:eastAsia="Times New Roman" w:hAnsi="Times New Roman"/>
          <w:b w:val="false"/>
          <w:bCs w:val="false"/>
          <w:i w:val="false"/>
          <w:iCs w:val="false"/>
          <w:sz w:val="24"/>
          <w:szCs w:val="24"/>
        </w:rPr>
        <w:t xml:space="preserve"> digital eye strain; computer vision syndrome; asthenopia; visual fatigue; dry eye; video display terminal.</w:t>
      </w:r>
    </w:p>
    <w:p>
      <w:pPr>
        <w:spacing w:after="120" w:line="320"/>
        <w:ind w:left="600" w:hanging="600"/>
        <w:jc w:val="both"/>
      </w:pPr>
      <w:r>
        <w:rPr>
          <w:rFonts w:ascii="Times New Roman" w:cs="Times New Roman" w:eastAsia="Times New Roman" w:hAnsi="Times New Roman"/>
          <w:sz w:val="24"/>
          <w:szCs w:val="24"/>
        </w:rPr>
        <w:t xml:space="preserve">2.</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Exposure:</w:t>
      </w:r>
      <w:r>
        <w:rPr>
          <w:rFonts w:ascii="Times New Roman" w:cs="Times New Roman" w:eastAsia="Times New Roman" w:hAnsi="Times New Roman"/>
          <w:b w:val="false"/>
          <w:bCs w:val="false"/>
          <w:i w:val="false"/>
          <w:iCs w:val="false"/>
          <w:sz w:val="24"/>
          <w:szCs w:val="24"/>
        </w:rPr>
        <w:t xml:space="preserve"> display polarity; positive/negative polarity; dark mode; text–background colour; contrast; luminance; ambient illumination; character size.</w:t>
      </w:r>
    </w:p>
    <w:p>
      <w:pPr>
        <w:spacing w:after="120" w:line="320"/>
        <w:ind w:left="600" w:hanging="600"/>
        <w:jc w:val="both"/>
      </w:pP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Outcome — performance:</w:t>
      </w:r>
      <w:r>
        <w:rPr>
          <w:rFonts w:ascii="Times New Roman" w:cs="Times New Roman" w:eastAsia="Times New Roman" w:hAnsi="Times New Roman"/>
          <w:b w:val="false"/>
          <w:bCs w:val="false"/>
          <w:i w:val="false"/>
          <w:iCs w:val="false"/>
          <w:sz w:val="24"/>
          <w:szCs w:val="24"/>
        </w:rPr>
        <w:t xml:space="preserve"> reading performance; reading speed; proofreading; legibility; comprehension; visual search; reaction time; vigilance; sustained attention.</w:t>
      </w:r>
    </w:p>
    <w:p>
      <w:pPr>
        <w:spacing w:after="120" w:line="320"/>
        <w:ind w:left="600" w:hanging="600"/>
        <w:jc w:val="both"/>
      </w:pPr>
      <w:r>
        <w:rPr>
          <w:rFonts w:ascii="Times New Roman" w:cs="Times New Roman" w:eastAsia="Times New Roman" w:hAnsi="Times New Roman"/>
          <w:sz w:val="24"/>
          <w:szCs w:val="24"/>
        </w:rPr>
        <w:t xml:space="preserve">4.</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Outcome — ocular:</w:t>
      </w:r>
      <w:r>
        <w:rPr>
          <w:rFonts w:ascii="Times New Roman" w:cs="Times New Roman" w:eastAsia="Times New Roman" w:hAnsi="Times New Roman"/>
          <w:b w:val="false"/>
          <w:bCs w:val="false"/>
          <w:i w:val="false"/>
          <w:iCs w:val="false"/>
          <w:sz w:val="24"/>
          <w:szCs w:val="24"/>
        </w:rPr>
        <w:t xml:space="preserve"> blink rate; incomplete blinking; blink amplitude; tear film stability; PERCLOS; accommodation; accommodative response; pupil size; critical flicker fusion.</w:t>
      </w:r>
    </w:p>
    <w:p>
      <w:pPr>
        <w:spacing w:after="120" w:line="320"/>
        <w:ind w:left="600" w:hanging="600"/>
        <w:jc w:val="both"/>
      </w:pPr>
      <w:r>
        <w:rPr>
          <w:rFonts w:ascii="Times New Roman" w:cs="Times New Roman" w:eastAsia="Times New Roman" w:hAnsi="Times New Roman"/>
          <w:sz w:val="24"/>
          <w:szCs w:val="24"/>
        </w:rPr>
        <w:t xml:space="preserve">5.</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Instruments:</w:t>
      </w:r>
      <w:r>
        <w:rPr>
          <w:rFonts w:ascii="Times New Roman" w:cs="Times New Roman" w:eastAsia="Times New Roman" w:hAnsi="Times New Roman"/>
          <w:b w:val="false"/>
          <w:bCs w:val="false"/>
          <w:i w:val="false"/>
          <w:iCs w:val="false"/>
          <w:sz w:val="24"/>
          <w:szCs w:val="24"/>
        </w:rPr>
        <w:t xml:space="preserve"> CVS-Q; Computer Vision Symptom Scale; validation; psychometric properties.</w:t>
      </w:r>
    </w:p>
    <w:p>
      <w:pPr>
        <w:spacing w:after="120" w:line="320"/>
        <w:ind w:left="600" w:hanging="600"/>
        <w:jc w:val="both"/>
      </w:pPr>
      <w:r>
        <w:rPr>
          <w:rFonts w:ascii="Times New Roman" w:cs="Times New Roman" w:eastAsia="Times New Roman" w:hAnsi="Times New Roman"/>
          <w:sz w:val="24"/>
          <w:szCs w:val="24"/>
        </w:rPr>
        <w:t xml:space="preserve">6.</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Measurement technology:</w:t>
      </w:r>
      <w:r>
        <w:rPr>
          <w:rFonts w:ascii="Times New Roman" w:cs="Times New Roman" w:eastAsia="Times New Roman" w:hAnsi="Times New Roman"/>
          <w:b w:val="false"/>
          <w:bCs w:val="false"/>
          <w:i w:val="false"/>
          <w:iCs w:val="false"/>
          <w:sz w:val="24"/>
          <w:szCs w:val="24"/>
        </w:rPr>
        <w:t xml:space="preserve"> eye aspect ratio; facial landmarks; webcam eye tracking; remote eye tracking; MediaPipe.</w:t>
      </w:r>
    </w:p>
    <w:p>
      <w:pPr>
        <w:spacing w:after="120" w:line="320"/>
        <w:ind w:left="600" w:hanging="600"/>
        <w:jc w:val="both"/>
      </w:pPr>
      <w:r>
        <w:rPr>
          <w:rFonts w:ascii="Times New Roman" w:cs="Times New Roman" w:eastAsia="Times New Roman" w:hAnsi="Times New Roman"/>
          <w:sz w:val="24"/>
          <w:szCs w:val="24"/>
        </w:rPr>
        <w:t xml:space="preserve">7.</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Standards:</w:t>
      </w:r>
      <w:r>
        <w:rPr>
          <w:rFonts w:ascii="Times New Roman" w:cs="Times New Roman" w:eastAsia="Times New Roman" w:hAnsi="Times New Roman"/>
          <w:b w:val="false"/>
          <w:bCs w:val="false"/>
          <w:i w:val="false"/>
          <w:iCs w:val="false"/>
          <w:sz w:val="24"/>
          <w:szCs w:val="24"/>
        </w:rPr>
        <w:t xml:space="preserve"> WCAG contrast ratio; perceptual contrast.</w:t>
      </w:r>
    </w:p>
    <w:p>
      <w:pPr>
        <w:pStyle w:val="Heading3"/>
        <w:keepNext/>
        <w:spacing w:after="160" w:before="280"/>
      </w:pPr>
      <w:r>
        <w:rPr>
          <w:rFonts w:ascii="Times New Roman" w:cs="Times New Roman" w:eastAsia="Times New Roman" w:hAnsi="Times New Roman"/>
          <w:b/>
          <w:bCs/>
          <w:i w:val="false"/>
          <w:iCs w:val="false"/>
          <w:sz w:val="26"/>
          <w:szCs w:val="26"/>
        </w:rPr>
        <w:t xml:space="preserve">2.3 Selection principles</w:t>
      </w:r>
    </w:p>
    <w:p>
      <w:pPr>
        <w:spacing w:after="140" w:line="340"/>
        <w:jc w:val="both"/>
      </w:pPr>
      <w:r>
        <w:rPr>
          <w:rFonts w:ascii="Times New Roman" w:cs="Times New Roman" w:eastAsia="Times New Roman" w:hAnsi="Times New Roman"/>
          <w:b w:val="false"/>
          <w:bCs w:val="false"/>
          <w:i w:val="false"/>
          <w:iCs w:val="false"/>
          <w:sz w:val="24"/>
          <w:szCs w:val="24"/>
        </w:rPr>
        <w:t xml:space="preserve">Priority was given, in descending order, to: (i) systematic reviews and meta-analyses; (ii) validation studies of measurement instruments; (iii) controlled experimental studies with objective outcome measurement; (iv) authoritative narrative reviews; (v) technical standards. Studies were retained when they addressed a display-parameter manipulation, a validated fatigue/performance outcome, or the metrological properties of a measure used in the proposed research. No date restriction was imposed, because several foundational polarity and legibility findings predate 2010 and remain the primary evidence; however, contemporary reviews (2018–2025) were preferred for epidemiology and for intervention evidence.</w:t>
      </w:r>
    </w:p>
    <w:p>
      <w:pPr>
        <w:pStyle w:val="Heading3"/>
        <w:keepNext/>
        <w:spacing w:after="160" w:before="280"/>
      </w:pPr>
      <w:r>
        <w:rPr>
          <w:rFonts w:ascii="Times New Roman" w:cs="Times New Roman" w:eastAsia="Times New Roman" w:hAnsi="Times New Roman"/>
          <w:b/>
          <w:bCs/>
          <w:i w:val="false"/>
          <w:iCs w:val="false"/>
          <w:sz w:val="26"/>
          <w:szCs w:val="26"/>
        </w:rPr>
        <w:t xml:space="preserve">2.4 Verification discipline and stated limitations of this review</w:t>
      </w:r>
    </w:p>
    <w:p>
      <w:pPr>
        <w:spacing w:after="140" w:line="340"/>
        <w:jc w:val="both"/>
      </w:pPr>
      <w:r>
        <w:rPr>
          <w:rFonts w:ascii="Times New Roman" w:cs="Times New Roman" w:eastAsia="Times New Roman" w:hAnsi="Times New Roman"/>
          <w:b w:val="false"/>
          <w:bCs w:val="false"/>
          <w:i w:val="false"/>
          <w:iCs w:val="false"/>
          <w:sz w:val="24"/>
          <w:szCs w:val="24"/>
        </w:rPr>
        <w:t xml:space="preserve">Every substantive claim in this review is attributed to a source whose bibliographic record was retrieved and inspected. Where a source is a conference proceeding or a technical/standards document without a journal DOI, this is stated explicitly in the reference list. Three specific transparency notes apply:</w:t>
      </w:r>
    </w:p>
    <w:p>
      <w:pPr>
        <w:pStyle w:val="ListParagraph"/>
        <w:numPr>
          <w:ilvl w:val="0"/>
          <w:numId w:val="2"/>
        </w:numPr>
        <w:spacing w:after="90" w:line="320"/>
        <w:jc w:val="both"/>
      </w:pPr>
      <w:r>
        <w:rPr>
          <w:rFonts w:ascii="Times New Roman" w:cs="Times New Roman" w:eastAsia="Times New Roman" w:hAnsi="Times New Roman"/>
          <w:b/>
          <w:bCs/>
          <w:i w:val="false"/>
          <w:iCs w:val="false"/>
          <w:sz w:val="24"/>
          <w:szCs w:val="24"/>
        </w:rPr>
        <w:t xml:space="preserve">Reference [35]</w:t>
      </w:r>
      <w:r>
        <w:rPr>
          <w:rFonts w:ascii="Times New Roman" w:cs="Times New Roman" w:eastAsia="Times New Roman" w:hAnsi="Times New Roman"/>
          <w:b w:val="false"/>
          <w:bCs w:val="false"/>
          <w:i w:val="false"/>
          <w:iCs w:val="false"/>
          <w:sz w:val="24"/>
          <w:szCs w:val="24"/>
        </w:rPr>
        <w:t xml:space="preserve"> (the eye-aspect-ratio method) is a peer-reviewed </w:t>
      </w:r>
      <w:r>
        <w:rPr>
          <w:rFonts w:ascii="Times New Roman" w:cs="Times New Roman" w:eastAsia="Times New Roman" w:hAnsi="Times New Roman"/>
          <w:b/>
          <w:bCs/>
          <w:i w:val="false"/>
          <w:iCs w:val="false"/>
          <w:sz w:val="24"/>
          <w:szCs w:val="24"/>
        </w:rPr>
        <w:t xml:space="preserve">workshop proceedings</w:t>
      </w:r>
      <w:r>
        <w:rPr>
          <w:rFonts w:ascii="Times New Roman" w:cs="Times New Roman" w:eastAsia="Times New Roman" w:hAnsi="Times New Roman"/>
          <w:b w:val="false"/>
          <w:bCs w:val="false"/>
          <w:i w:val="false"/>
          <w:iCs w:val="false"/>
          <w:sz w:val="24"/>
          <w:szCs w:val="24"/>
        </w:rPr>
        <w:t xml:space="preserve"> paper, not a journal article; it is cited as the methodological origin of the metric, and the </w:t>
      </w:r>
      <w:r>
        <w:rPr>
          <w:rFonts w:ascii="Times New Roman" w:cs="Times New Roman" w:eastAsia="Times New Roman" w:hAnsi="Times New Roman"/>
          <w:b w:val="false"/>
          <w:bCs w:val="false"/>
          <w:i/>
          <w:iCs/>
          <w:sz w:val="24"/>
          <w:szCs w:val="24"/>
        </w:rPr>
        <w:t xml:space="preserve">validity</w:t>
      </w:r>
      <w:r>
        <w:rPr>
          <w:rFonts w:ascii="Times New Roman" w:cs="Times New Roman" w:eastAsia="Times New Roman" w:hAnsi="Times New Roman"/>
          <w:b w:val="false"/>
          <w:bCs w:val="false"/>
          <w:i w:val="false"/>
          <w:iCs w:val="false"/>
          <w:sz w:val="24"/>
          <w:szCs w:val="24"/>
        </w:rPr>
        <w:t xml:space="preserve"> of the metric for the present application is argued separately from empirical vision-science sources (§11).</w:t>
      </w:r>
    </w:p>
    <w:p>
      <w:pPr>
        <w:pStyle w:val="ListParagraph"/>
        <w:numPr>
          <w:ilvl w:val="0"/>
          <w:numId w:val="2"/>
        </w:numPr>
        <w:spacing w:after="90" w:line="320"/>
        <w:jc w:val="both"/>
      </w:pPr>
      <w:r>
        <w:rPr>
          <w:rFonts w:ascii="Times New Roman" w:cs="Times New Roman" w:eastAsia="Times New Roman" w:hAnsi="Times New Roman"/>
          <w:b/>
          <w:bCs/>
          <w:i w:val="false"/>
          <w:iCs w:val="false"/>
          <w:sz w:val="24"/>
          <w:szCs w:val="24"/>
        </w:rPr>
        <w:t xml:space="preserve">Reference [37]</w:t>
      </w:r>
      <w:r>
        <w:rPr>
          <w:rFonts w:ascii="Times New Roman" w:cs="Times New Roman" w:eastAsia="Times New Roman" w:hAnsi="Times New Roman"/>
          <w:b w:val="false"/>
          <w:bCs w:val="false"/>
          <w:i w:val="false"/>
          <w:iCs w:val="false"/>
          <w:sz w:val="24"/>
          <w:szCs w:val="24"/>
        </w:rPr>
        <w:t xml:space="preserve"> (the Advanced Perceptual Contrast Algorithm) is a </w:t>
      </w:r>
      <w:r>
        <w:rPr>
          <w:rFonts w:ascii="Times New Roman" w:cs="Times New Roman" w:eastAsia="Times New Roman" w:hAnsi="Times New Roman"/>
          <w:b/>
          <w:bCs/>
          <w:i w:val="false"/>
          <w:iCs w:val="false"/>
          <w:sz w:val="24"/>
          <w:szCs w:val="24"/>
        </w:rPr>
        <w:t xml:space="preserve">draft/candidate technical specification</w:t>
      </w:r>
      <w:r>
        <w:rPr>
          <w:rFonts w:ascii="Times New Roman" w:cs="Times New Roman" w:eastAsia="Times New Roman" w:hAnsi="Times New Roman"/>
          <w:b w:val="false"/>
          <w:bCs w:val="false"/>
          <w:i w:val="false"/>
          <w:iCs w:val="false"/>
          <w:sz w:val="24"/>
          <w:szCs w:val="24"/>
        </w:rPr>
        <w:t xml:space="preserve">, not peer-reviewed research. It is cited only to document that the limitations of the current contrast standard are formally recognised, not as evidence of any empirical effect.</w:t>
      </w:r>
    </w:p>
    <w:p>
      <w:pPr>
        <w:pStyle w:val="ListParagraph"/>
        <w:numPr>
          <w:ilvl w:val="0"/>
          <w:numId w:val="2"/>
        </w:numPr>
        <w:spacing w:after="90" w:line="320"/>
        <w:jc w:val="both"/>
      </w:pPr>
      <w:r>
        <w:rPr>
          <w:rFonts w:ascii="Times New Roman" w:cs="Times New Roman" w:eastAsia="Times New Roman" w:hAnsi="Times New Roman"/>
          <w:b w:val="false"/>
          <w:bCs w:val="false"/>
          <w:i w:val="false"/>
          <w:iCs w:val="false"/>
          <w:sz w:val="24"/>
          <w:szCs w:val="24"/>
        </w:rPr>
        <w:t xml:space="preserve">This review is a </w:t>
      </w:r>
      <w:r>
        <w:rPr>
          <w:rFonts w:ascii="Times New Roman" w:cs="Times New Roman" w:eastAsia="Times New Roman" w:hAnsi="Times New Roman"/>
          <w:b/>
          <w:bCs/>
          <w:i w:val="false"/>
          <w:iCs w:val="false"/>
          <w:sz w:val="24"/>
          <w:szCs w:val="24"/>
        </w:rPr>
        <w:t xml:space="preserve">narrative/critical review with a documented search strategy</w:t>
      </w:r>
      <w:r>
        <w:rPr>
          <w:rFonts w:ascii="Times New Roman" w:cs="Times New Roman" w:eastAsia="Times New Roman" w:hAnsi="Times New Roman"/>
          <w:b w:val="false"/>
          <w:bCs w:val="false"/>
          <w:i w:val="false"/>
          <w:iCs w:val="false"/>
          <w:sz w:val="24"/>
          <w:szCs w:val="24"/>
        </w:rPr>
        <w:t xml:space="preserve">, not a PRISMA-registered systematic review. Where pooled estimates are quoted, they are quoted from published systematic reviews and meta-analyses [1,8,9], not computed here. This is an acknowledged limitation and is stated as such in §22.</w:t>
      </w:r>
    </w:p>
    <w:p>
      <w:pPr>
        <w:pBdr>
          <w:bottom w:val="single" w:color="AAAAAA" w:sz="6" w:space="1"/>
        </w:pBdr>
        <w:spacing w:after="200" w:before="120"/>
      </w:pPr>
      <w:r>
        <w:rPr>
          <w:rFonts w:ascii="Times New Roman" w:cs="Times New Roman" w:eastAsia="Times New Roman" w:hAnsi="Times New Roman"/>
          <w:sz w:val="24"/>
          <w:szCs w:val="24"/>
        </w:rPr>
        <w:t xml:space="preserve"/>
      </w:r>
    </w:p>
    <w:p>
      <w:pPr>
        <w:pStyle w:val="Heading2"/>
        <w:keepNext/>
        <w:spacing w:after="160" w:before="280"/>
      </w:pPr>
      <w:r>
        <w:rPr>
          <w:rFonts w:ascii="Times New Roman" w:cs="Times New Roman" w:eastAsia="Times New Roman" w:hAnsi="Times New Roman"/>
          <w:b/>
          <w:bCs/>
          <w:i w:val="false"/>
          <w:iCs w:val="false"/>
          <w:sz w:val="28"/>
          <w:szCs w:val="28"/>
        </w:rPr>
        <w:t xml:space="preserve">3. The clinical entity: symptomatology and pathophysiology of digital eye strain</w:t>
      </w:r>
    </w:p>
    <w:p>
      <w:pPr>
        <w:pStyle w:val="Heading3"/>
        <w:keepNext/>
        <w:spacing w:after="160" w:before="280"/>
      </w:pPr>
      <w:r>
        <w:rPr>
          <w:rFonts w:ascii="Times New Roman" w:cs="Times New Roman" w:eastAsia="Times New Roman" w:hAnsi="Times New Roman"/>
          <w:b/>
          <w:bCs/>
          <w:i w:val="false"/>
          <w:iCs w:val="false"/>
          <w:sz w:val="26"/>
          <w:szCs w:val="26"/>
        </w:rPr>
        <w:t xml:space="preserve">3.1 The two-mechanism model</w:t>
      </w:r>
    </w:p>
    <w:p>
      <w:pPr>
        <w:spacing w:after="140" w:line="340"/>
        <w:jc w:val="both"/>
      </w:pPr>
      <w:r>
        <w:rPr>
          <w:rFonts w:ascii="Times New Roman" w:cs="Times New Roman" w:eastAsia="Times New Roman" w:hAnsi="Times New Roman"/>
          <w:b w:val="false"/>
          <w:bCs w:val="false"/>
          <w:i w:val="false"/>
          <w:iCs w:val="false"/>
          <w:sz w:val="24"/>
          <w:szCs w:val="24"/>
        </w:rPr>
        <w:t xml:space="preserve">The most useful organising framework in the literature partitions DES symptoms into </w:t>
      </w:r>
      <w:r>
        <w:rPr>
          <w:rFonts w:ascii="Times New Roman" w:cs="Times New Roman" w:eastAsia="Times New Roman" w:hAnsi="Times New Roman"/>
          <w:b/>
          <w:bCs/>
          <w:i w:val="false"/>
          <w:iCs w:val="false"/>
          <w:sz w:val="24"/>
          <w:szCs w:val="24"/>
        </w:rPr>
        <w:t xml:space="preserve">two mechanistically distinct clusters</w:t>
      </w:r>
      <w:r>
        <w:rPr>
          <w:rFonts w:ascii="Times New Roman" w:cs="Times New Roman" w:eastAsia="Times New Roman" w:hAnsi="Times New Roman"/>
          <w:b w:val="false"/>
          <w:bCs w:val="false"/>
          <w:i w:val="false"/>
          <w:iCs w:val="false"/>
          <w:sz w:val="24"/>
          <w:szCs w:val="24"/>
        </w:rPr>
        <w:t xml:space="preserve"> [3]:</w:t>
      </w:r>
    </w:p>
    <w:p>
      <w:pPr>
        <w:spacing w:after="120" w:line="320"/>
        <w:ind w:left="600" w:hanging="600"/>
        <w:jc w:val="both"/>
      </w:pPr>
      <w:r>
        <w:rPr>
          <w:rFonts w:ascii="Times New Roman" w:cs="Times New Roman" w:eastAsia="Times New Roman" w:hAnsi="Times New Roman"/>
          <w:sz w:val="24"/>
          <w:szCs w:val="24"/>
        </w:rPr>
        <w:t xml:space="preserve">1.</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Accommodative and vergence (binocular) stress</w:t>
      </w:r>
      <w:r>
        <w:rPr>
          <w:rFonts w:ascii="Times New Roman" w:cs="Times New Roman" w:eastAsia="Times New Roman" w:hAnsi="Times New Roman"/>
          <w:b w:val="false"/>
          <w:bCs w:val="false"/>
          <w:i w:val="false"/>
          <w:iCs w:val="false"/>
          <w:sz w:val="24"/>
          <w:szCs w:val="24"/>
        </w:rPr>
        <w:t xml:space="preserve"> — difficulty focusing, blurred vision, near-work-induced transient myopia, headache. These arise from the sustained near-focus demand and the vergence–accommodation load of prolonged display work.</w:t>
      </w:r>
    </w:p>
    <w:p>
      <w:pPr>
        <w:spacing w:after="120" w:line="320"/>
        <w:ind w:left="600" w:hanging="600"/>
        <w:jc w:val="both"/>
      </w:pPr>
      <w:r>
        <w:rPr>
          <w:rFonts w:ascii="Times New Roman" w:cs="Times New Roman" w:eastAsia="Times New Roman" w:hAnsi="Times New Roman"/>
          <w:sz w:val="24"/>
          <w:szCs w:val="24"/>
        </w:rPr>
        <w:t xml:space="preserve">2.</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Ocular-surface (external) symptoms</w:t>
      </w:r>
      <w:r>
        <w:rPr>
          <w:rFonts w:ascii="Times New Roman" w:cs="Times New Roman" w:eastAsia="Times New Roman" w:hAnsi="Times New Roman"/>
          <w:b w:val="false"/>
          <w:bCs w:val="false"/>
          <w:i w:val="false"/>
          <w:iCs w:val="false"/>
          <w:sz w:val="24"/>
          <w:szCs w:val="24"/>
        </w:rPr>
        <w:t xml:space="preserve"> — dryness, burning, irritation, foreign-body sensation, watering. These arise principally from altered blinking behaviour and consequent tear-film instability.</w:t>
      </w:r>
    </w:p>
    <w:p>
      <w:pPr>
        <w:spacing w:after="140" w:line="340"/>
        <w:jc w:val="both"/>
      </w:pPr>
      <w:r>
        <w:rPr>
          <w:rFonts w:ascii="Times New Roman" w:cs="Times New Roman" w:eastAsia="Times New Roman" w:hAnsi="Times New Roman"/>
          <w:b w:val="false"/>
          <w:bCs w:val="false"/>
          <w:i w:val="false"/>
          <w:iCs w:val="false"/>
          <w:sz w:val="24"/>
          <w:szCs w:val="24"/>
        </w:rPr>
        <w:t xml:space="preserve">This partition is clinically consequential because the two clusters have different antecedents, different time courses and different objective correlates; and, critically for measurement design, because </w:t>
      </w:r>
      <w:r>
        <w:rPr>
          <w:rFonts w:ascii="Times New Roman" w:cs="Times New Roman" w:eastAsia="Times New Roman" w:hAnsi="Times New Roman"/>
          <w:b/>
          <w:bCs/>
          <w:i w:val="false"/>
          <w:iCs w:val="false"/>
          <w:sz w:val="24"/>
          <w:szCs w:val="24"/>
        </w:rPr>
        <w:t xml:space="preserve">a single composite symptom score can conflate them</w:t>
      </w:r>
      <w:r>
        <w:rPr>
          <w:rFonts w:ascii="Times New Roman" w:cs="Times New Roman" w:eastAsia="Times New Roman" w:hAnsi="Times New Roman"/>
          <w:b w:val="false"/>
          <w:bCs w:val="false"/>
          <w:i w:val="false"/>
          <w:iCs w:val="false"/>
          <w:sz w:val="24"/>
          <w:szCs w:val="24"/>
        </w:rPr>
        <w:t xml:space="preserve">. Reviews consistently note that the pathophysiology remains "poorly understood" and multifactorial, with heterogeneous and partly dated evidence for the accommodative/vergence component and considerably more consistent evidence for the ocular-surface component [6].</w:t>
      </w:r>
    </w:p>
    <w:p>
      <w:pPr>
        <w:pStyle w:val="Heading3"/>
        <w:keepNext/>
        <w:spacing w:after="160" w:before="280"/>
      </w:pPr>
      <w:r>
        <w:rPr>
          <w:rFonts w:ascii="Times New Roman" w:cs="Times New Roman" w:eastAsia="Times New Roman" w:hAnsi="Times New Roman"/>
          <w:b/>
          <w:bCs/>
          <w:i w:val="false"/>
          <w:iCs w:val="false"/>
          <w:sz w:val="26"/>
          <w:szCs w:val="26"/>
        </w:rPr>
        <w:t xml:space="preserve">3.2 The ocular-surface pathway</w:t>
      </w:r>
    </w:p>
    <w:p>
      <w:pPr>
        <w:spacing w:after="140" w:line="340"/>
        <w:jc w:val="both"/>
      </w:pPr>
      <w:r>
        <w:rPr>
          <w:rFonts w:ascii="Times New Roman" w:cs="Times New Roman" w:eastAsia="Times New Roman" w:hAnsi="Times New Roman"/>
          <w:b w:val="false"/>
          <w:bCs w:val="false"/>
          <w:i w:val="false"/>
          <w:iCs w:val="false"/>
          <w:sz w:val="24"/>
          <w:szCs w:val="24"/>
        </w:rPr>
        <w:t xml:space="preserve">The mechanistic chain for the ocular-surface pathway is comparatively well described. Display use reduces spontaneous blink rate and increases the proportion of </w:t>
      </w:r>
      <w:r>
        <w:rPr>
          <w:rFonts w:ascii="Times New Roman" w:cs="Times New Roman" w:eastAsia="Times New Roman" w:hAnsi="Times New Roman"/>
          <w:b/>
          <w:bCs/>
          <w:i w:val="false"/>
          <w:iCs w:val="false"/>
          <w:sz w:val="24"/>
          <w:szCs w:val="24"/>
        </w:rPr>
        <w:t xml:space="preserve">incomplete</w:t>
      </w:r>
      <w:r>
        <w:rPr>
          <w:rFonts w:ascii="Times New Roman" w:cs="Times New Roman" w:eastAsia="Times New Roman" w:hAnsi="Times New Roman"/>
          <w:b w:val="false"/>
          <w:bCs w:val="false"/>
          <w:i w:val="false"/>
          <w:iCs w:val="false"/>
          <w:sz w:val="24"/>
          <w:szCs w:val="24"/>
        </w:rPr>
        <w:t xml:space="preserve"> blinks; incomplete blinking enlarges the effectively exposed evaporative area of the ocular surface and impairs the distribution of meibomian lipid across the tear film; the resulting tear-film instability raises tear osmolarity and initiates ocular-surface inflammation, entering the recognised vicious cycle of dry eye disease [10,11]. A dedicated review of candidate mechanisms concluded that visual display terminal (VDT) use causes dry eye disease "mainly through impaired blinking patterns", while noting that proposed contributions from altered parasympathetic signalling and blue-light exposure lack sufficient scientific support at present [11].</w:t>
      </w:r>
    </w:p>
    <w:p>
      <w:pPr>
        <w:pStyle w:val="Heading3"/>
        <w:keepNext/>
        <w:spacing w:after="160" w:before="280"/>
      </w:pPr>
      <w:r>
        <w:rPr>
          <w:rFonts w:ascii="Times New Roman" w:cs="Times New Roman" w:eastAsia="Times New Roman" w:hAnsi="Times New Roman"/>
          <w:b/>
          <w:bCs/>
          <w:i w:val="false"/>
          <w:iCs w:val="false"/>
          <w:sz w:val="26"/>
          <w:szCs w:val="26"/>
        </w:rPr>
        <w:t xml:space="preserve">3.3 Risk factors</w:t>
      </w:r>
    </w:p>
    <w:p>
      <w:pPr>
        <w:spacing w:after="140" w:line="340"/>
        <w:jc w:val="both"/>
      </w:pPr>
      <w:r>
        <w:rPr>
          <w:rFonts w:ascii="Times New Roman" w:cs="Times New Roman" w:eastAsia="Times New Roman" w:hAnsi="Times New Roman"/>
          <w:b w:val="false"/>
          <w:bCs w:val="false"/>
          <w:i w:val="false"/>
          <w:iCs w:val="false"/>
          <w:sz w:val="24"/>
          <w:szCs w:val="24"/>
        </w:rPr>
        <w:t xml:space="preserve">Converging evidence identifies exposure duration (screen use beyond approximately 4–5 hours per day), uncorrected refractive error including presbyopia, accommodative and vergence anomalies, altered blinking pattern, closer working distance, smaller font size, poor ergonomic parameters, adverse ambient lighting and glare, female sex, and contact-lens wear as risk factors for DES [1,3,7,9].</w:t>
      </w:r>
    </w:p>
    <w:p>
      <w:pPr>
        <w:pBdr>
          <w:left w:val="single" w:color="4F8EF7" w:sz="12" w:space="8"/>
        </w:pBdr>
        <w:shd w:fill="F4F7FC" w:color="auto" w:val="clear"/>
        <w:spacing w:after="180" w:before="120" w:line="320"/>
        <w:ind w:left="360" w:right="240"/>
        <w:jc w:val="both"/>
      </w:pPr>
      <w:r>
        <w:rPr>
          <w:rFonts w:ascii="Times New Roman" w:cs="Times New Roman" w:eastAsia="Times New Roman" w:hAnsi="Times New Roman"/>
          <w:b/>
          <w:bCs/>
          <w:i w:val="false"/>
          <w:iCs w:val="false"/>
          <w:sz w:val="24"/>
          <w:szCs w:val="24"/>
        </w:rPr>
        <w:t xml:space="preserve">Critical appraisal.</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Established:</w:t>
      </w:r>
      <w:r>
        <w:rPr>
          <w:rFonts w:ascii="Times New Roman" w:cs="Times New Roman" w:eastAsia="Times New Roman" w:hAnsi="Times New Roman"/>
          <w:b w:val="false"/>
          <w:bCs w:val="false"/>
          <w:i w:val="false"/>
          <w:iCs w:val="false"/>
          <w:sz w:val="24"/>
          <w:szCs w:val="24"/>
        </w:rPr>
        <w:t xml:space="preserve"> DES is highly prevalent; the ocular-surface pathway operates principally via reduced and incomplete blinking; exposure duration and ergonomics are modifiable risk factors. </w:t>
      </w:r>
      <w:r>
        <w:rPr>
          <w:rFonts w:ascii="Times New Roman" w:cs="Times New Roman" w:eastAsia="Times New Roman" w:hAnsi="Times New Roman"/>
          <w:b w:val="false"/>
          <w:bCs w:val="false"/>
          <w:i/>
          <w:iCs/>
          <w:sz w:val="24"/>
          <w:szCs w:val="24"/>
        </w:rPr>
        <w:t xml:space="preserve">Contested:</w:t>
      </w:r>
      <w:r>
        <w:rPr>
          <w:rFonts w:ascii="Times New Roman" w:cs="Times New Roman" w:eastAsia="Times New Roman" w:hAnsi="Times New Roman"/>
          <w:b w:val="false"/>
          <w:bCs w:val="false"/>
          <w:i w:val="false"/>
          <w:iCs w:val="false"/>
          <w:sz w:val="24"/>
          <w:szCs w:val="24"/>
        </w:rPr>
        <w:t xml:space="preserve"> the accommodative/vergence contribution (heterogeneous, partly old evidence); the causal role of blue light (in-vitro retinal toxicity is demonstrated but has not been translated into evidence linking blue light to DES symptoms) [6]. </w:t>
      </w:r>
      <w:r>
        <w:rPr>
          <w:rFonts w:ascii="Times New Roman" w:cs="Times New Roman" w:eastAsia="Times New Roman" w:hAnsi="Times New Roman"/>
          <w:b w:val="false"/>
          <w:bCs w:val="false"/>
          <w:i/>
          <w:iCs/>
          <w:sz w:val="24"/>
          <w:szCs w:val="24"/>
        </w:rPr>
        <w:t xml:space="preserve">Unknown:</w:t>
      </w:r>
      <w:r>
        <w:rPr>
          <w:rFonts w:ascii="Times New Roman" w:cs="Times New Roman" w:eastAsia="Times New Roman" w:hAnsi="Times New Roman"/>
          <w:b w:val="false"/>
          <w:bCs w:val="false"/>
          <w:i w:val="false"/>
          <w:iCs w:val="false"/>
          <w:sz w:val="24"/>
          <w:szCs w:val="24"/>
        </w:rPr>
        <w:t xml:space="preserve"> the extent to which the </w:t>
      </w:r>
      <w:r>
        <w:rPr>
          <w:rFonts w:ascii="Times New Roman" w:cs="Times New Roman" w:eastAsia="Times New Roman" w:hAnsi="Times New Roman"/>
          <w:b/>
          <w:bCs/>
          <w:i w:val="false"/>
          <w:iCs w:val="false"/>
          <w:sz w:val="24"/>
          <w:szCs w:val="24"/>
        </w:rPr>
        <w:t xml:space="preserve">displayed stimulus configuration itself</w:t>
      </w:r>
      <w:r>
        <w:rPr>
          <w:rFonts w:ascii="Times New Roman" w:cs="Times New Roman" w:eastAsia="Times New Roman" w:hAnsi="Times New Roman"/>
          <w:b w:val="false"/>
          <w:bCs w:val="false"/>
          <w:i w:val="false"/>
          <w:iCs w:val="false"/>
          <w:sz w:val="24"/>
          <w:szCs w:val="24"/>
        </w:rPr>
        <w:t xml:space="preserve"> — polarity, chromaticity, contrast — modulates either pathway during prolonged, ecologically valid reading. Notably, the two most authoritative risk-factor syntheses list font size and ambient lighting but </w:t>
      </w:r>
      <w:r>
        <w:rPr>
          <w:rFonts w:ascii="Times New Roman" w:cs="Times New Roman" w:eastAsia="Times New Roman" w:hAnsi="Times New Roman"/>
          <w:b/>
          <w:bCs/>
          <w:i w:val="false"/>
          <w:iCs w:val="false"/>
          <w:sz w:val="24"/>
          <w:szCs w:val="24"/>
        </w:rPr>
        <w:t xml:space="preserve">do not</w:t>
      </w:r>
      <w:r>
        <w:rPr>
          <w:rFonts w:ascii="Times New Roman" w:cs="Times New Roman" w:eastAsia="Times New Roman" w:hAnsi="Times New Roman"/>
          <w:b w:val="false"/>
          <w:bCs w:val="false"/>
          <w:i w:val="false"/>
          <w:iCs w:val="false"/>
          <w:sz w:val="24"/>
          <w:szCs w:val="24"/>
        </w:rPr>
        <w:t xml:space="preserve"> list text colour or display polarity among established, evidence-supported risk factors [7,9] — not because they have been excluded, but because they have not been adequately tested. This absence is the point of entry for the present research.</w:t>
      </w:r>
    </w:p>
    <w:p>
      <w:pPr>
        <w:pBdr>
          <w:bottom w:val="single" w:color="AAAAAA" w:sz="6" w:space="1"/>
        </w:pBdr>
        <w:spacing w:after="200" w:before="120"/>
      </w:pPr>
      <w:r>
        <w:rPr>
          <w:rFonts w:ascii="Times New Roman" w:cs="Times New Roman" w:eastAsia="Times New Roman" w:hAnsi="Times New Roman"/>
          <w:sz w:val="24"/>
          <w:szCs w:val="24"/>
        </w:rPr>
        <w:t xml:space="preserve"/>
      </w:r>
    </w:p>
    <w:p>
      <w:pPr>
        <w:pStyle w:val="Heading2"/>
        <w:keepNext/>
        <w:spacing w:after="160" w:before="280"/>
      </w:pPr>
      <w:r>
        <w:rPr>
          <w:rFonts w:ascii="Times New Roman" w:cs="Times New Roman" w:eastAsia="Times New Roman" w:hAnsi="Times New Roman"/>
          <w:b/>
          <w:bCs/>
          <w:i w:val="false"/>
          <w:iCs w:val="false"/>
          <w:sz w:val="28"/>
          <w:szCs w:val="28"/>
        </w:rPr>
        <w:t xml:space="preserve">4. Display polarity: the positive polarity advantage</w:t>
      </w:r>
    </w:p>
    <w:p>
      <w:pPr>
        <w:pStyle w:val="Heading3"/>
        <w:keepNext/>
        <w:spacing w:after="160" w:before="280"/>
      </w:pPr>
      <w:r>
        <w:rPr>
          <w:rFonts w:ascii="Times New Roman" w:cs="Times New Roman" w:eastAsia="Times New Roman" w:hAnsi="Times New Roman"/>
          <w:b/>
          <w:bCs/>
          <w:i w:val="false"/>
          <w:iCs w:val="false"/>
          <w:sz w:val="26"/>
          <w:szCs w:val="26"/>
        </w:rPr>
        <w:t xml:space="preserve">4.1 The core empirical finding</w:t>
      </w:r>
    </w:p>
    <w:p>
      <w:pPr>
        <w:spacing w:after="140" w:line="340"/>
        <w:jc w:val="both"/>
      </w:pPr>
      <w:r>
        <w:rPr>
          <w:rFonts w:ascii="Times New Roman" w:cs="Times New Roman" w:eastAsia="Times New Roman" w:hAnsi="Times New Roman"/>
          <w:b w:val="false"/>
          <w:bCs w:val="false"/>
          <w:i w:val="false"/>
          <w:iCs w:val="false"/>
          <w:sz w:val="24"/>
          <w:szCs w:val="24"/>
        </w:rPr>
        <w:t xml:space="preserve">The most robust single finding in the display-legibility literature is the </w:t>
      </w:r>
      <w:r>
        <w:rPr>
          <w:rFonts w:ascii="Times New Roman" w:cs="Times New Roman" w:eastAsia="Times New Roman" w:hAnsi="Times New Roman"/>
          <w:b/>
          <w:bCs/>
          <w:i w:val="false"/>
          <w:iCs w:val="false"/>
          <w:sz w:val="24"/>
          <w:szCs w:val="24"/>
        </w:rPr>
        <w:t xml:space="preserve">positive polarity advantage (PPA)</w:t>
      </w:r>
      <w:r>
        <w:rPr>
          <w:rFonts w:ascii="Times New Roman" w:cs="Times New Roman" w:eastAsia="Times New Roman" w:hAnsi="Times New Roman"/>
          <w:b w:val="false"/>
          <w:bCs w:val="false"/>
          <w:i w:val="false"/>
          <w:iCs w:val="false"/>
          <w:sz w:val="24"/>
          <w:szCs w:val="24"/>
        </w:rPr>
        <w:t xml:space="preserve">: reading performance is superior for dark text on a light background (positive polarity) relative to light text on a dark background (negative polarity).</w:t>
      </w:r>
    </w:p>
    <w:p>
      <w:pPr>
        <w:spacing w:after="140" w:line="340"/>
        <w:jc w:val="both"/>
      </w:pPr>
      <w:r>
        <w:rPr>
          <w:rFonts w:ascii="Times New Roman" w:cs="Times New Roman" w:eastAsia="Times New Roman" w:hAnsi="Times New Roman"/>
          <w:b w:val="false"/>
          <w:bCs w:val="false"/>
          <w:i w:val="false"/>
          <w:iCs w:val="false"/>
          <w:sz w:val="24"/>
          <w:szCs w:val="24"/>
        </w:rPr>
        <w:t xml:space="preserve">In a systematic series of experiments, proofreading performance was consistently better with positive than with negative polarity, and — importantly for the present design — this advantage was </w:t>
      </w:r>
      <w:r>
        <w:rPr>
          <w:rFonts w:ascii="Times New Roman" w:cs="Times New Roman" w:eastAsia="Times New Roman" w:hAnsi="Times New Roman"/>
          <w:b/>
          <w:bCs/>
          <w:i w:val="false"/>
          <w:iCs w:val="false"/>
          <w:sz w:val="24"/>
          <w:szCs w:val="24"/>
        </w:rPr>
        <w:t xml:space="preserve">independent of ambient lighting</w:t>
      </w:r>
      <w:r>
        <w:rPr>
          <w:rFonts w:ascii="Times New Roman" w:cs="Times New Roman" w:eastAsia="Times New Roman" w:hAnsi="Times New Roman"/>
          <w:b w:val="false"/>
          <w:bCs w:val="false"/>
          <w:i w:val="false"/>
          <w:iCs w:val="false"/>
          <w:sz w:val="24"/>
          <w:szCs w:val="24"/>
        </w:rPr>
        <w:t xml:space="preserve"> (darkness vs typical office illumination) and </w:t>
      </w:r>
      <w:r>
        <w:rPr>
          <w:rFonts w:ascii="Times New Roman" w:cs="Times New Roman" w:eastAsia="Times New Roman" w:hAnsi="Times New Roman"/>
          <w:b/>
          <w:bCs/>
          <w:i w:val="false"/>
          <w:iCs w:val="false"/>
          <w:sz w:val="24"/>
          <w:szCs w:val="24"/>
        </w:rPr>
        <w:t xml:space="preserve">independent of chromaticity</w:t>
      </w:r>
      <w:r>
        <w:rPr>
          <w:rFonts w:ascii="Times New Roman" w:cs="Times New Roman" w:eastAsia="Times New Roman" w:hAnsi="Times New Roman"/>
          <w:b w:val="false"/>
          <w:bCs w:val="false"/>
          <w:i w:val="false"/>
          <w:iCs w:val="false"/>
          <w:sz w:val="24"/>
          <w:szCs w:val="24"/>
        </w:rPr>
        <w:t xml:space="preserve"> (black-and-white vs blue-and-yellow) [12]. Two further features of that study deserve emphasis. First, physiological indices of effort and strain (breathing rate, heart rate, heart-rate variability, skin conductance) and self-reported mood, fatigue, arousal, eyestrain, headache, muscle strain and back pain </w:t>
      </w:r>
      <w:r>
        <w:rPr>
          <w:rFonts w:ascii="Times New Roman" w:cs="Times New Roman" w:eastAsia="Times New Roman" w:hAnsi="Times New Roman"/>
          <w:b/>
          <w:bCs/>
          <w:i w:val="false"/>
          <w:iCs w:val="false"/>
          <w:sz w:val="24"/>
          <w:szCs w:val="24"/>
        </w:rPr>
        <w:t xml:space="preserve">did not vary</w:t>
      </w:r>
      <w:r>
        <w:rPr>
          <w:rFonts w:ascii="Times New Roman" w:cs="Times New Roman" w:eastAsia="Times New Roman" w:hAnsi="Times New Roman"/>
          <w:b w:val="false"/>
          <w:bCs w:val="false"/>
          <w:i w:val="false"/>
          <w:iCs w:val="false"/>
          <w:sz w:val="24"/>
          <w:szCs w:val="24"/>
        </w:rPr>
        <w:t xml:space="preserve"> across conditions, indicating that participants expended comparable effort in all conditions and that the performance difference was not an artefact of an effort–performance trade-off [12]. Second, a final experiment showed that </w:t>
      </w:r>
      <w:r>
        <w:rPr>
          <w:rFonts w:ascii="Times New Roman" w:cs="Times New Roman" w:eastAsia="Times New Roman" w:hAnsi="Times New Roman"/>
          <w:b/>
          <w:bCs/>
          <w:i w:val="false"/>
          <w:iCs w:val="false"/>
          <w:sz w:val="24"/>
          <w:szCs w:val="24"/>
        </w:rPr>
        <w:t xml:space="preserve">colour contrast (red text on green background) could not compensate for a lack of luminance contrast</w:t>
      </w:r>
      <w:r>
        <w:rPr>
          <w:rFonts w:ascii="Times New Roman" w:cs="Times New Roman" w:eastAsia="Times New Roman" w:hAnsi="Times New Roman"/>
          <w:b w:val="false"/>
          <w:bCs w:val="false"/>
          <w:i w:val="false"/>
          <w:iCs w:val="false"/>
          <w:sz w:val="24"/>
          <w:szCs w:val="24"/>
        </w:rPr>
        <w:t xml:space="preserve"> [12]. The methodological implication of this last result is substantial and is developed in §5.3.</w:t>
      </w:r>
    </w:p>
    <w:p>
      <w:pPr>
        <w:pStyle w:val="Heading3"/>
        <w:keepNext/>
        <w:spacing w:after="160" w:before="280"/>
      </w:pPr>
      <w:r>
        <w:rPr>
          <w:rFonts w:ascii="Times New Roman" w:cs="Times New Roman" w:eastAsia="Times New Roman" w:hAnsi="Times New Roman"/>
          <w:b/>
          <w:bCs/>
          <w:i w:val="false"/>
          <w:iCs w:val="false"/>
          <w:sz w:val="26"/>
          <w:szCs w:val="26"/>
        </w:rPr>
        <w:t xml:space="preserve">4.2 The mediating mechanism: display luminance → pupil size → retinal image quality</w:t>
      </w:r>
    </w:p>
    <w:p>
      <w:pPr>
        <w:spacing w:after="140" w:line="340"/>
        <w:jc w:val="both"/>
      </w:pPr>
      <w:r>
        <w:rPr>
          <w:rFonts w:ascii="Times New Roman" w:cs="Times New Roman" w:eastAsia="Times New Roman" w:hAnsi="Times New Roman"/>
          <w:b w:val="false"/>
          <w:bCs w:val="false"/>
          <w:i w:val="false"/>
          <w:iCs w:val="false"/>
          <w:sz w:val="24"/>
          <w:szCs w:val="24"/>
        </w:rPr>
        <w:t xml:space="preserve">The dominant explanation of the PPA is the </w:t>
      </w:r>
      <w:r>
        <w:rPr>
          <w:rFonts w:ascii="Times New Roman" w:cs="Times New Roman" w:eastAsia="Times New Roman" w:hAnsi="Times New Roman"/>
          <w:b/>
          <w:bCs/>
          <w:i w:val="false"/>
          <w:iCs w:val="false"/>
          <w:sz w:val="24"/>
          <w:szCs w:val="24"/>
        </w:rPr>
        <w:t xml:space="preserve">display luminance hypothesis</w:t>
      </w:r>
      <w:r>
        <w:rPr>
          <w:rFonts w:ascii="Times New Roman" w:cs="Times New Roman" w:eastAsia="Times New Roman" w:hAnsi="Times New Roman"/>
          <w:b w:val="false"/>
          <w:bCs w:val="false"/>
          <w:i w:val="false"/>
          <w:iCs w:val="false"/>
          <w:sz w:val="24"/>
          <w:szCs w:val="24"/>
        </w:rPr>
        <w:t xml:space="preserve">: positive polarity presentations have higher overall luminance, which drives pupillary constriction, which reduces optical aberrations and increases depth of focus, which sharpens the retinal image and thereby improves the perception of fine detail.</w:t>
      </w:r>
    </w:p>
    <w:p>
      <w:pPr>
        <w:spacing w:after="140" w:line="340"/>
        <w:jc w:val="both"/>
      </w:pPr>
      <w:r>
        <w:rPr>
          <w:rFonts w:ascii="Times New Roman" w:cs="Times New Roman" w:eastAsia="Times New Roman" w:hAnsi="Times New Roman"/>
          <w:b w:val="false"/>
          <w:bCs w:val="false"/>
          <w:i w:val="false"/>
          <w:iCs w:val="false"/>
          <w:sz w:val="24"/>
          <w:szCs w:val="24"/>
        </w:rPr>
        <w:t xml:space="preserve">This hypothesis has received direct and convergent support:</w:t>
      </w:r>
    </w:p>
    <w:p>
      <w:pPr>
        <w:pStyle w:val="ListParagraph"/>
        <w:numPr>
          <w:ilvl w:val="0"/>
          <w:numId w:val="2"/>
        </w:numPr>
        <w:spacing w:after="90" w:line="320"/>
        <w:jc w:val="both"/>
      </w:pPr>
      <w:r>
        <w:rPr>
          <w:rFonts w:ascii="Times New Roman" w:cs="Times New Roman" w:eastAsia="Times New Roman" w:hAnsi="Times New Roman"/>
          <w:b/>
          <w:bCs/>
          <w:i w:val="false"/>
          <w:iCs w:val="false"/>
          <w:sz w:val="24"/>
          <w:szCs w:val="24"/>
        </w:rPr>
        <w:t xml:space="preserve">Pupillometric test.</w:t>
      </w:r>
      <w:r>
        <w:rPr>
          <w:rFonts w:ascii="Times New Roman" w:cs="Times New Roman" w:eastAsia="Times New Roman" w:hAnsi="Times New Roman"/>
          <w:b w:val="false"/>
          <w:bCs w:val="false"/>
          <w:i w:val="false"/>
          <w:iCs w:val="false"/>
          <w:sz w:val="24"/>
          <w:szCs w:val="24"/>
        </w:rPr>
        <w:t xml:space="preserve"> Pupil size was measured while participants proofread positive- and negative-polarity texts. Pupil sizes were </w:t>
      </w:r>
      <w:r>
        <w:rPr>
          <w:rFonts w:ascii="Times New Roman" w:cs="Times New Roman" w:eastAsia="Times New Roman" w:hAnsi="Times New Roman"/>
          <w:b/>
          <w:bCs/>
          <w:i w:val="false"/>
          <w:iCs w:val="false"/>
          <w:sz w:val="24"/>
          <w:szCs w:val="24"/>
        </w:rPr>
        <w:t xml:space="preserve">smaller</w:t>
      </w:r>
      <w:r>
        <w:rPr>
          <w:rFonts w:ascii="Times New Roman" w:cs="Times New Roman" w:eastAsia="Times New Roman" w:hAnsi="Times New Roman"/>
          <w:b w:val="false"/>
          <w:bCs w:val="false"/>
          <w:i w:val="false"/>
          <w:iCs w:val="false"/>
          <w:sz w:val="24"/>
          <w:szCs w:val="24"/>
        </w:rPr>
        <w:t xml:space="preserve"> and proofreading performance </w:t>
      </w:r>
      <w:r>
        <w:rPr>
          <w:rFonts w:ascii="Times New Roman" w:cs="Times New Roman" w:eastAsia="Times New Roman" w:hAnsi="Times New Roman"/>
          <w:b/>
          <w:bCs/>
          <w:i w:val="false"/>
          <w:iCs w:val="false"/>
          <w:sz w:val="24"/>
          <w:szCs w:val="24"/>
        </w:rPr>
        <w:t xml:space="preserve">better</w:t>
      </w:r>
      <w:r>
        <w:rPr>
          <w:rFonts w:ascii="Times New Roman" w:cs="Times New Roman" w:eastAsia="Times New Roman" w:hAnsi="Times New Roman"/>
          <w:b w:val="false"/>
          <w:bCs w:val="false"/>
          <w:i w:val="false"/>
          <w:iCs w:val="false"/>
          <w:sz w:val="24"/>
          <w:szCs w:val="24"/>
        </w:rPr>
        <w:t xml:space="preserve"> with positive polarity, as the hypothesis predicts [13].</w:t>
      </w:r>
    </w:p>
    <w:p>
      <w:pPr>
        <w:pStyle w:val="ListParagraph"/>
        <w:numPr>
          <w:ilvl w:val="0"/>
          <w:numId w:val="2"/>
        </w:numPr>
        <w:spacing w:after="90" w:line="320"/>
        <w:jc w:val="both"/>
      </w:pPr>
      <w:r>
        <w:rPr>
          <w:rFonts w:ascii="Times New Roman" w:cs="Times New Roman" w:eastAsia="Times New Roman" w:hAnsi="Times New Roman"/>
          <w:b/>
          <w:bCs/>
          <w:i w:val="false"/>
          <w:iCs w:val="false"/>
          <w:sz w:val="24"/>
          <w:szCs w:val="24"/>
        </w:rPr>
        <w:t xml:space="preserve">Character-size interaction.</w:t>
      </w:r>
      <w:r>
        <w:rPr>
          <w:rFonts w:ascii="Times New Roman" w:cs="Times New Roman" w:eastAsia="Times New Roman" w:hAnsi="Times New Roman"/>
          <w:b w:val="false"/>
          <w:bCs w:val="false"/>
          <w:i w:val="false"/>
          <w:iCs w:val="false"/>
          <w:sz w:val="24"/>
          <w:szCs w:val="24"/>
        </w:rPr>
        <w:t xml:space="preserve"> If the PPA operates through retinal-image sharpness, it should matter most when the visual task is limited by spatial detail. Exactly this was found: across character sizes of 8, 10, 12 and 14 pt (0.22°, 0.25°, 0.31°, 0.34° of vertical visual angle), the PPA </w:t>
      </w:r>
      <w:r>
        <w:rPr>
          <w:rFonts w:ascii="Times New Roman" w:cs="Times New Roman" w:eastAsia="Times New Roman" w:hAnsi="Times New Roman"/>
          <w:b/>
          <w:bCs/>
          <w:i w:val="false"/>
          <w:iCs w:val="false"/>
          <w:sz w:val="24"/>
          <w:szCs w:val="24"/>
        </w:rPr>
        <w:t xml:space="preserve">increased linearly as character size decreased</w:t>
      </w:r>
      <w:r>
        <w:rPr>
          <w:rFonts w:ascii="Times New Roman" w:cs="Times New Roman" w:eastAsia="Times New Roman" w:hAnsi="Times New Roman"/>
          <w:b w:val="false"/>
          <w:bCs w:val="false"/>
          <w:i w:val="false"/>
          <w:iCs w:val="false"/>
          <w:sz w:val="24"/>
          <w:szCs w:val="24"/>
        </w:rPr>
        <w:t xml:space="preserve"> [14]. The authors' applied conclusion is direct: "Especially with small font sizes, negative polarity displays should be avoided" [14].</w:t>
      </w:r>
    </w:p>
    <w:p>
      <w:pPr>
        <w:pStyle w:val="ListParagraph"/>
        <w:numPr>
          <w:ilvl w:val="0"/>
          <w:numId w:val="2"/>
        </w:numPr>
        <w:spacing w:after="90" w:line="320"/>
        <w:jc w:val="both"/>
      </w:pPr>
      <w:r>
        <w:rPr>
          <w:rFonts w:ascii="Times New Roman" w:cs="Times New Roman" w:eastAsia="Times New Roman" w:hAnsi="Times New Roman"/>
          <w:b/>
          <w:bCs/>
          <w:i w:val="false"/>
          <w:iCs w:val="false"/>
          <w:sz w:val="24"/>
          <w:szCs w:val="24"/>
        </w:rPr>
        <w:t xml:space="preserve">Ambient-illumination interaction.</w:t>
      </w:r>
      <w:r>
        <w:rPr>
          <w:rFonts w:ascii="Times New Roman" w:cs="Times New Roman" w:eastAsia="Times New Roman" w:hAnsi="Times New Roman"/>
          <w:b w:val="false"/>
          <w:bCs w:val="false"/>
          <w:i w:val="false"/>
          <w:iCs w:val="false"/>
          <w:sz w:val="24"/>
          <w:szCs w:val="24"/>
        </w:rPr>
        <w:t xml:space="preserve"> Using a lexical-decision paradigm to measure legibility thresholds under glance-like reading, legibility thresholds were </w:t>
      </w:r>
      <w:r>
        <w:rPr>
          <w:rFonts w:ascii="Times New Roman" w:cs="Times New Roman" w:eastAsia="Times New Roman" w:hAnsi="Times New Roman"/>
          <w:b/>
          <w:bCs/>
          <w:i w:val="false"/>
          <w:iCs w:val="false"/>
          <w:sz w:val="24"/>
          <w:szCs w:val="24"/>
        </w:rPr>
        <w:t xml:space="preserve">worst for negative polarity under dark ambient illumination</w:t>
      </w:r>
      <w:r>
        <w:rPr>
          <w:rFonts w:ascii="Times New Roman" w:cs="Times New Roman" w:eastAsia="Times New Roman" w:hAnsi="Times New Roman"/>
          <w:b w:val="false"/>
          <w:bCs w:val="false"/>
          <w:i w:val="false"/>
          <w:iCs w:val="false"/>
          <w:sz w:val="24"/>
          <w:szCs w:val="24"/>
        </w:rPr>
        <w:t xml:space="preserve">, whereas positive polarity under dark illumination and all conditions under bright illumination showed significantly lower (better) thresholds [15]. This is consistent with the pupillary account: under dark ambient conditions a negative-polarity display supplies little light, the pupil dilates, aberrations increase and legibility degrades.</w:t>
      </w:r>
    </w:p>
    <w:p>
      <w:pPr>
        <w:pStyle w:val="ListParagraph"/>
        <w:numPr>
          <w:ilvl w:val="0"/>
          <w:numId w:val="2"/>
        </w:numPr>
        <w:spacing w:after="90" w:line="320"/>
        <w:jc w:val="both"/>
      </w:pPr>
      <w:r>
        <w:rPr>
          <w:rFonts w:ascii="Times New Roman" w:cs="Times New Roman" w:eastAsia="Times New Roman" w:hAnsi="Times New Roman"/>
          <w:b/>
          <w:bCs/>
          <w:i w:val="false"/>
          <w:iCs w:val="false"/>
          <w:sz w:val="24"/>
          <w:szCs w:val="24"/>
        </w:rPr>
        <w:t xml:space="preserve">Generality across typefaces, sizes and age.</w:t>
      </w:r>
      <w:r>
        <w:rPr>
          <w:rFonts w:ascii="Times New Roman" w:cs="Times New Roman" w:eastAsia="Times New Roman" w:hAnsi="Times New Roman"/>
          <w:b w:val="false"/>
          <w:bCs w:val="false"/>
          <w:i w:val="false"/>
          <w:iCs w:val="false"/>
          <w:sz w:val="24"/>
          <w:szCs w:val="24"/>
        </w:rPr>
        <w:t xml:space="preserve"> In psychophysical work using an adaptive staircase, stimulus-duration thresholds were sensitive to polarity as well as to typeface and size, with black-on-white significantly more legible than white-on-black; typeface interacted with age, particularly for conditions with higher legibility thresholds [16].</w:t>
      </w:r>
    </w:p>
    <w:p>
      <w:pPr>
        <w:pStyle w:val="Heading3"/>
        <w:keepNext/>
        <w:spacing w:after="160" w:before="280"/>
      </w:pPr>
      <w:r>
        <w:rPr>
          <w:rFonts w:ascii="Times New Roman" w:cs="Times New Roman" w:eastAsia="Times New Roman" w:hAnsi="Times New Roman"/>
          <w:b/>
          <w:bCs/>
          <w:i w:val="false"/>
          <w:iCs w:val="false"/>
          <w:sz w:val="26"/>
          <w:szCs w:val="26"/>
        </w:rPr>
        <w:t xml:space="preserve">4.3 Boundary conditions and recency</w:t>
      </w:r>
    </w:p>
    <w:p>
      <w:pPr>
        <w:spacing w:after="140" w:line="340"/>
        <w:jc w:val="both"/>
      </w:pPr>
      <w:r>
        <w:rPr>
          <w:rFonts w:ascii="Times New Roman" w:cs="Times New Roman" w:eastAsia="Times New Roman" w:hAnsi="Times New Roman"/>
          <w:b w:val="false"/>
          <w:bCs w:val="false"/>
          <w:i w:val="false"/>
          <w:iCs w:val="false"/>
          <w:sz w:val="24"/>
          <w:szCs w:val="24"/>
        </w:rPr>
        <w:t xml:space="preserve">The PPA is not confined to conventional displays: it has recently been reported in virtual and video see-through mixed reality, with better proofreading performance and faster optotype identification under positive polarity [17]. Its persistence across display technologies strengthens the inference that the mechanism is optical/physiological rather than an artefact of any particular hardware.</w:t>
      </w:r>
    </w:p>
    <w:p>
      <w:pPr>
        <w:pBdr>
          <w:left w:val="single" w:color="4F8EF7" w:sz="12" w:space="8"/>
        </w:pBdr>
        <w:shd w:fill="F4F7FC" w:color="auto" w:val="clear"/>
        <w:spacing w:after="180" w:before="120" w:line="320"/>
        <w:ind w:left="360" w:right="240"/>
        <w:jc w:val="both"/>
      </w:pPr>
      <w:r>
        <w:rPr>
          <w:rFonts w:ascii="Times New Roman" w:cs="Times New Roman" w:eastAsia="Times New Roman" w:hAnsi="Times New Roman"/>
          <w:b/>
          <w:bCs/>
          <w:i w:val="false"/>
          <w:iCs w:val="false"/>
          <w:sz w:val="24"/>
          <w:szCs w:val="24"/>
        </w:rPr>
        <w:t xml:space="preserve">Critical appraisal.</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Established:</w:t>
      </w:r>
      <w:r>
        <w:rPr>
          <w:rFonts w:ascii="Times New Roman" w:cs="Times New Roman" w:eastAsia="Times New Roman" w:hAnsi="Times New Roman"/>
          <w:b w:val="false"/>
          <w:bCs w:val="false"/>
          <w:i w:val="false"/>
          <w:iCs w:val="false"/>
          <w:sz w:val="24"/>
          <w:szCs w:val="24"/>
        </w:rPr>
        <w:t xml:space="preserve"> the PPA is a robust, replicated legibility and short-task-performance effect, mechanistically attributable to display luminance acting through pupil size and retinal image quality; it is strongest for small characters and for dark ambient conditions [12–17]. </w:t>
      </w:r>
      <w:r>
        <w:rPr>
          <w:rFonts w:ascii="Times New Roman" w:cs="Times New Roman" w:eastAsia="Times New Roman" w:hAnsi="Times New Roman"/>
          <w:b w:val="false"/>
          <w:bCs w:val="false"/>
          <w:i/>
          <w:iCs/>
          <w:sz w:val="24"/>
          <w:szCs w:val="24"/>
        </w:rPr>
        <w:t xml:space="preserve">Contested:</w:t>
      </w:r>
      <w:r>
        <w:rPr>
          <w:rFonts w:ascii="Times New Roman" w:cs="Times New Roman" w:eastAsia="Times New Roman" w:hAnsi="Times New Roman"/>
          <w:b w:val="false"/>
          <w:bCs w:val="false"/>
          <w:i w:val="false"/>
          <w:iCs w:val="false"/>
          <w:sz w:val="24"/>
          <w:szCs w:val="24"/>
        </w:rPr>
        <w:t xml:space="preserve"> whether it generalises beyond achromatic (and a small number of chromatic) text to the full space of coloured text used in real interfaces. </w:t>
      </w:r>
      <w:r>
        <w:rPr>
          <w:rFonts w:ascii="Times New Roman" w:cs="Times New Roman" w:eastAsia="Times New Roman" w:hAnsi="Times New Roman"/>
          <w:b w:val="false"/>
          <w:bCs w:val="false"/>
          <w:i/>
          <w:iCs/>
          <w:sz w:val="24"/>
          <w:szCs w:val="24"/>
        </w:rPr>
        <w:t xml:space="preserve">Unknown — and this is the decisive gap:</w:t>
      </w:r>
      <w:r>
        <w:rPr>
          <w:rFonts w:ascii="Times New Roman" w:cs="Times New Roman" w:eastAsia="Times New Roman" w:hAnsi="Times New Roman"/>
          <w:b w:val="false"/>
          <w:bCs w:val="false"/>
          <w:i w:val="false"/>
          <w:iCs w:val="false"/>
          <w:sz w:val="24"/>
          <w:szCs w:val="24"/>
        </w:rPr>
        <w:t xml:space="preserve"> whether the PPA extends from </w:t>
      </w:r>
      <w:r>
        <w:rPr>
          <w:rFonts w:ascii="Times New Roman" w:cs="Times New Roman" w:eastAsia="Times New Roman" w:hAnsi="Times New Roman"/>
          <w:b/>
          <w:bCs/>
          <w:i w:val="false"/>
          <w:iCs w:val="false"/>
          <w:sz w:val="24"/>
          <w:szCs w:val="24"/>
        </w:rPr>
        <w:t xml:space="preserve">short-duration legibility and proofreading tasks</w:t>
      </w:r>
      <w:r>
        <w:rPr>
          <w:rFonts w:ascii="Times New Roman" w:cs="Times New Roman" w:eastAsia="Times New Roman" w:hAnsi="Times New Roman"/>
          <w:b w:val="false"/>
          <w:bCs w:val="false"/>
          <w:i w:val="false"/>
          <w:iCs w:val="false"/>
          <w:sz w:val="24"/>
          <w:szCs w:val="24"/>
        </w:rPr>
        <w:t xml:space="preserve"> to </w:t>
      </w:r>
      <w:r>
        <w:rPr>
          <w:rFonts w:ascii="Times New Roman" w:cs="Times New Roman" w:eastAsia="Times New Roman" w:hAnsi="Times New Roman"/>
          <w:b/>
          <w:bCs/>
          <w:i w:val="false"/>
          <w:iCs w:val="false"/>
          <w:sz w:val="24"/>
          <w:szCs w:val="24"/>
        </w:rPr>
        <w:t xml:space="preserve">prolonged reading with accumulating visual fatigue and ocular-surface consequences</w:t>
      </w:r>
      <w:r>
        <w:rPr>
          <w:rFonts w:ascii="Times New Roman" w:cs="Times New Roman" w:eastAsia="Times New Roman" w:hAnsi="Times New Roman"/>
          <w:b w:val="false"/>
          <w:bCs w:val="false"/>
          <w:i w:val="false"/>
          <w:iCs w:val="false"/>
          <w:sz w:val="24"/>
          <w:szCs w:val="24"/>
        </w:rPr>
        <w:t xml:space="preserve">. The polarity literature is dominated by proofreading, lexical-decision and glance-reading paradigms of minutes' duration, with performance-threshold outcomes. With the notable exception of Buchner and Baumgartner's null findings on self-reported strain and autonomic indices in short sessions [12], this literature does </w:t>
      </w:r>
      <w:r>
        <w:rPr>
          <w:rFonts w:ascii="Times New Roman" w:cs="Times New Roman" w:eastAsia="Times New Roman" w:hAnsi="Times New Roman"/>
          <w:b/>
          <w:bCs/>
          <w:i w:val="false"/>
          <w:iCs w:val="false"/>
          <w:sz w:val="24"/>
          <w:szCs w:val="24"/>
        </w:rPr>
        <w:t xml:space="preserve">not</w:t>
      </w:r>
      <w:r>
        <w:rPr>
          <w:rFonts w:ascii="Times New Roman" w:cs="Times New Roman" w:eastAsia="Times New Roman" w:hAnsi="Times New Roman"/>
          <w:b w:val="false"/>
          <w:bCs w:val="false"/>
          <w:i w:val="false"/>
          <w:iCs w:val="false"/>
          <w:sz w:val="24"/>
          <w:szCs w:val="24"/>
        </w:rPr>
        <w:t xml:space="preserve"> measure blink behaviour, tear-film-relevant outcomes, validated symptom instruments, comprehension, or sustained attention over an hour-scale session. A "positive polarity advantage" in legibility does not license an inference of "positive polarity advantage in visual fatigue" — and the field's dark-mode discourse routinely makes exactly that unlicensed inference in both directions.</w:t>
      </w:r>
    </w:p>
    <w:p>
      <w:pPr>
        <w:pBdr>
          <w:bottom w:val="single" w:color="AAAAAA" w:sz="6" w:space="1"/>
        </w:pBdr>
        <w:spacing w:after="200" w:before="120"/>
      </w:pPr>
      <w:r>
        <w:rPr>
          <w:rFonts w:ascii="Times New Roman" w:cs="Times New Roman" w:eastAsia="Times New Roman" w:hAnsi="Times New Roman"/>
          <w:sz w:val="24"/>
          <w:szCs w:val="24"/>
        </w:rPr>
        <w:t xml:space="preserve"/>
      </w:r>
    </w:p>
    <w:p>
      <w:pPr>
        <w:pStyle w:val="Heading2"/>
        <w:keepNext/>
        <w:spacing w:after="160" w:before="280"/>
      </w:pPr>
      <w:r>
        <w:rPr>
          <w:rFonts w:ascii="Times New Roman" w:cs="Times New Roman" w:eastAsia="Times New Roman" w:hAnsi="Times New Roman"/>
          <w:b/>
          <w:bCs/>
          <w:i w:val="false"/>
          <w:iCs w:val="false"/>
          <w:sz w:val="28"/>
          <w:szCs w:val="28"/>
        </w:rPr>
        <w:t xml:space="preserve">5. Text colour, luminance contrast, and the contrast confound</w:t>
      </w:r>
    </w:p>
    <w:p>
      <w:pPr>
        <w:pStyle w:val="Heading3"/>
        <w:keepNext/>
        <w:spacing w:after="160" w:before="280"/>
      </w:pPr>
      <w:r>
        <w:rPr>
          <w:rFonts w:ascii="Times New Roman" w:cs="Times New Roman" w:eastAsia="Times New Roman" w:hAnsi="Times New Roman"/>
          <w:b/>
          <w:bCs/>
          <w:i w:val="false"/>
          <w:iCs w:val="false"/>
          <w:sz w:val="26"/>
          <w:szCs w:val="26"/>
        </w:rPr>
        <w:t xml:space="preserve">5.1 Chromatic text: the two closest studies</w:t>
      </w:r>
    </w:p>
    <w:p>
      <w:pPr>
        <w:spacing w:after="140" w:line="340"/>
        <w:jc w:val="both"/>
      </w:pPr>
      <w:r>
        <w:rPr>
          <w:rFonts w:ascii="Times New Roman" w:cs="Times New Roman" w:eastAsia="Times New Roman" w:hAnsi="Times New Roman"/>
          <w:b w:val="false"/>
          <w:bCs w:val="false"/>
          <w:i w:val="false"/>
          <w:iCs w:val="false"/>
          <w:sz w:val="24"/>
          <w:szCs w:val="24"/>
        </w:rPr>
        <w:t xml:space="preserve">Only a small number of studies manipulate text chromaticity systematically. Two are close enough to the present proposal to be treated as the immediate prior art.</w:t>
      </w:r>
    </w:p>
    <w:p>
      <w:pPr>
        <w:spacing w:after="140" w:line="340"/>
        <w:jc w:val="both"/>
      </w:pPr>
      <w:r>
        <w:rPr>
          <w:rFonts w:ascii="Times New Roman" w:cs="Times New Roman" w:eastAsia="Times New Roman" w:hAnsi="Times New Roman"/>
          <w:b/>
          <w:bCs/>
          <w:i w:val="false"/>
          <w:iCs w:val="false"/>
          <w:sz w:val="24"/>
          <w:szCs w:val="24"/>
        </w:rPr>
        <w:t xml:space="preserve">(a) Jiménez et al. (2019)</w:t>
      </w:r>
      <w:r>
        <w:rPr>
          <w:rFonts w:ascii="Times New Roman" w:cs="Times New Roman" w:eastAsia="Times New Roman" w:hAnsi="Times New Roman"/>
          <w:b w:val="false"/>
          <w:bCs w:val="false"/>
          <w:i w:val="false"/>
          <w:iCs w:val="false"/>
          <w:sz w:val="24"/>
          <w:szCs w:val="24"/>
        </w:rPr>
        <w:t xml:space="preserve"> measured accommodative and pupillary dynamics continuously with a binocular open-field autorefractometer while twenty healthy young adults read fourteen 2-minute passages rendered in </w:t>
      </w:r>
      <w:r>
        <w:rPr>
          <w:rFonts w:ascii="Times New Roman" w:cs="Times New Roman" w:eastAsia="Times New Roman" w:hAnsi="Times New Roman"/>
          <w:b/>
          <w:bCs/>
          <w:i w:val="false"/>
          <w:iCs w:val="false"/>
          <w:sz w:val="24"/>
          <w:szCs w:val="24"/>
        </w:rPr>
        <w:t xml:space="preserve">fourteen different text–background colour combinations</w:t>
      </w:r>
      <w:r>
        <w:rPr>
          <w:rFonts w:ascii="Times New Roman" w:cs="Times New Roman" w:eastAsia="Times New Roman" w:hAnsi="Times New Roman"/>
          <w:b w:val="false"/>
          <w:bCs w:val="false"/>
          <w:i w:val="false"/>
          <w:iCs w:val="false"/>
          <w:sz w:val="24"/>
          <w:szCs w:val="24"/>
        </w:rPr>
        <w:t xml:space="preserve"> on an LCD screen [18]. Findings:</w:t>
      </w:r>
    </w:p>
    <w:p>
      <w:pPr>
        <w:pStyle w:val="ListParagraph"/>
        <w:numPr>
          <w:ilvl w:val="0"/>
          <w:numId w:val="2"/>
        </w:numPr>
        <w:spacing w:after="90" w:line="320"/>
        <w:jc w:val="both"/>
      </w:pPr>
      <w:r>
        <w:rPr>
          <w:rFonts w:ascii="Times New Roman" w:cs="Times New Roman" w:eastAsia="Times New Roman" w:hAnsi="Times New Roman"/>
          <w:b w:val="false"/>
          <w:bCs w:val="false"/>
          <w:i w:val="false"/>
          <w:iCs w:val="false"/>
          <w:sz w:val="24"/>
          <w:szCs w:val="24"/>
        </w:rPr>
        <w:t xml:space="preserve">Text–background colour combination </w:t>
      </w:r>
      <w:r>
        <w:rPr>
          <w:rFonts w:ascii="Times New Roman" w:cs="Times New Roman" w:eastAsia="Times New Roman" w:hAnsi="Times New Roman"/>
          <w:b/>
          <w:bCs/>
          <w:i w:val="false"/>
          <w:iCs w:val="false"/>
          <w:sz w:val="24"/>
          <w:szCs w:val="24"/>
        </w:rPr>
        <w:t xml:space="preserve">significantly modulated accommodative and pupillary dynamics</w:t>
      </w:r>
      <w:r>
        <w:rPr>
          <w:rFonts w:ascii="Times New Roman" w:cs="Times New Roman" w:eastAsia="Times New Roman" w:hAnsi="Times New Roman"/>
          <w:b w:val="false"/>
          <w:bCs w:val="false"/>
          <w:i w:val="false"/>
          <w:iCs w:val="false"/>
          <w:sz w:val="24"/>
          <w:szCs w:val="24"/>
        </w:rPr>
        <w:t xml:space="preserve"> across a 2-minute reading task.</w:t>
      </w:r>
    </w:p>
    <w:p>
      <w:pPr>
        <w:pStyle w:val="ListParagraph"/>
        <w:numPr>
          <w:ilvl w:val="0"/>
          <w:numId w:val="2"/>
        </w:numPr>
        <w:spacing w:after="90" w:line="320"/>
        <w:jc w:val="both"/>
      </w:pPr>
      <w:r>
        <w:rPr>
          <w:rFonts w:ascii="Times New Roman" w:cs="Times New Roman" w:eastAsia="Times New Roman" w:hAnsi="Times New Roman"/>
          <w:b w:val="false"/>
          <w:bCs w:val="false"/>
          <w:i w:val="false"/>
          <w:iCs w:val="false"/>
          <w:sz w:val="24"/>
          <w:szCs w:val="24"/>
        </w:rPr>
        <w:t xml:space="preserve">The </w:t>
      </w:r>
      <w:r>
        <w:rPr>
          <w:rFonts w:ascii="Times New Roman" w:cs="Times New Roman" w:eastAsia="Times New Roman" w:hAnsi="Times New Roman"/>
          <w:b/>
          <w:bCs/>
          <w:i w:val="false"/>
          <w:iCs w:val="false"/>
          <w:sz w:val="24"/>
          <w:szCs w:val="24"/>
        </w:rPr>
        <w:t xml:space="preserve">blue-on-red</w:t>
      </w:r>
      <w:r>
        <w:rPr>
          <w:rFonts w:ascii="Times New Roman" w:cs="Times New Roman" w:eastAsia="Times New Roman" w:hAnsi="Times New Roman"/>
          <w:b w:val="false"/>
          <w:bCs w:val="false"/>
          <w:i w:val="false"/>
          <w:iCs w:val="false"/>
          <w:sz w:val="24"/>
          <w:szCs w:val="24"/>
        </w:rPr>
        <w:t xml:space="preserve"> combination induced a heightened accommodative response.</w:t>
      </w:r>
    </w:p>
    <w:p>
      <w:pPr>
        <w:pStyle w:val="ListParagraph"/>
        <w:numPr>
          <w:ilvl w:val="0"/>
          <w:numId w:val="2"/>
        </w:numPr>
        <w:spacing w:after="90" w:line="320"/>
        <w:jc w:val="both"/>
      </w:pPr>
      <w:r>
        <w:rPr>
          <w:rFonts w:ascii="Times New Roman" w:cs="Times New Roman" w:eastAsia="Times New Roman" w:hAnsi="Times New Roman"/>
          <w:b/>
          <w:bCs/>
          <w:i w:val="false"/>
          <w:iCs w:val="false"/>
          <w:sz w:val="24"/>
          <w:szCs w:val="24"/>
        </w:rPr>
        <w:t xml:space="preserve">Positive polarities</w:t>
      </w:r>
      <w:r>
        <w:rPr>
          <w:rFonts w:ascii="Times New Roman" w:cs="Times New Roman" w:eastAsia="Times New Roman" w:hAnsi="Times New Roman"/>
          <w:b w:val="false"/>
          <w:bCs w:val="false"/>
          <w:i w:val="false"/>
          <w:iCs w:val="false"/>
          <w:sz w:val="24"/>
          <w:szCs w:val="24"/>
        </w:rPr>
        <w:t xml:space="preserve"> were associated with </w:t>
      </w:r>
      <w:r>
        <w:rPr>
          <w:rFonts w:ascii="Times New Roman" w:cs="Times New Roman" w:eastAsia="Times New Roman" w:hAnsi="Times New Roman"/>
          <w:b/>
          <w:bCs/>
          <w:i w:val="false"/>
          <w:iCs w:val="false"/>
          <w:sz w:val="24"/>
          <w:szCs w:val="24"/>
        </w:rPr>
        <w:t xml:space="preserve">greater variability of the accommodative response</w:t>
      </w:r>
      <w:r>
        <w:rPr>
          <w:rFonts w:ascii="Times New Roman" w:cs="Times New Roman" w:eastAsia="Times New Roman" w:hAnsi="Times New Roman"/>
          <w:b w:val="false"/>
          <w:bCs w:val="false"/>
          <w:i w:val="false"/>
          <w:iCs w:val="false"/>
          <w:sz w:val="24"/>
          <w:szCs w:val="24"/>
        </w:rPr>
        <w:t xml:space="preserve"> and </w:t>
      </w:r>
      <w:r>
        <w:rPr>
          <w:rFonts w:ascii="Times New Roman" w:cs="Times New Roman" w:eastAsia="Times New Roman" w:hAnsi="Times New Roman"/>
          <w:b/>
          <w:bCs/>
          <w:i w:val="false"/>
          <w:iCs w:val="false"/>
          <w:sz w:val="24"/>
          <w:szCs w:val="24"/>
        </w:rPr>
        <w:t xml:space="preserve">smaller pupil sizes</w:t>
      </w:r>
      <w:r>
        <w:rPr>
          <w:rFonts w:ascii="Times New Roman" w:cs="Times New Roman" w:eastAsia="Times New Roman" w:hAnsi="Times New Roman"/>
          <w:b w:val="false"/>
          <w:bCs w:val="false"/>
          <w:i w:val="false"/>
          <w:iCs w:val="false"/>
          <w:sz w:val="24"/>
          <w:szCs w:val="24"/>
        </w:rPr>
        <w:t xml:space="preserve">.</w:t>
      </w:r>
    </w:p>
    <w:p>
      <w:pPr>
        <w:pStyle w:val="ListParagraph"/>
        <w:numPr>
          <w:ilvl w:val="0"/>
          <w:numId w:val="2"/>
        </w:numPr>
        <w:spacing w:after="90" w:line="320"/>
        <w:jc w:val="both"/>
      </w:pPr>
      <w:r>
        <w:rPr>
          <w:rFonts w:ascii="Times New Roman" w:cs="Times New Roman" w:eastAsia="Times New Roman" w:hAnsi="Times New Roman"/>
          <w:b w:val="false"/>
          <w:bCs w:val="false"/>
          <w:i w:val="false"/>
          <w:iCs w:val="false"/>
          <w:sz w:val="24"/>
          <w:szCs w:val="24"/>
        </w:rPr>
        <w:t xml:space="preserve">Combinations with </w:t>
      </w:r>
      <w:r>
        <w:rPr>
          <w:rFonts w:ascii="Times New Roman" w:cs="Times New Roman" w:eastAsia="Times New Roman" w:hAnsi="Times New Roman"/>
          <w:b/>
          <w:bCs/>
          <w:i w:val="false"/>
          <w:iCs w:val="false"/>
          <w:sz w:val="24"/>
          <w:szCs w:val="24"/>
        </w:rPr>
        <w:t xml:space="preserve">lower luminance contrast</w:t>
      </w:r>
      <w:r>
        <w:rPr>
          <w:rFonts w:ascii="Times New Roman" w:cs="Times New Roman" w:eastAsia="Times New Roman" w:hAnsi="Times New Roman"/>
          <w:b w:val="false"/>
          <w:bCs w:val="false"/>
          <w:i w:val="false"/>
          <w:iCs w:val="false"/>
          <w:sz w:val="24"/>
          <w:szCs w:val="24"/>
        </w:rPr>
        <w:t xml:space="preserve"> (white-on-yellow) received </w:t>
      </w:r>
      <w:r>
        <w:rPr>
          <w:rFonts w:ascii="Times New Roman" w:cs="Times New Roman" w:eastAsia="Times New Roman" w:hAnsi="Times New Roman"/>
          <w:b/>
          <w:bCs/>
          <w:i w:val="false"/>
          <w:iCs w:val="false"/>
          <w:sz w:val="24"/>
          <w:szCs w:val="24"/>
        </w:rPr>
        <w:t xml:space="preserve">lower perceived legibility ratings</w:t>
      </w:r>
      <w:r>
        <w:rPr>
          <w:rFonts w:ascii="Times New Roman" w:cs="Times New Roman" w:eastAsia="Times New Roman" w:hAnsi="Times New Roman"/>
          <w:b w:val="false"/>
          <w:bCs w:val="false"/>
          <w:i w:val="false"/>
          <w:iCs w:val="false"/>
          <w:sz w:val="24"/>
          <w:szCs w:val="24"/>
        </w:rPr>
        <w:t xml:space="preserve">.</w:t>
      </w:r>
    </w:p>
    <w:p>
      <w:pPr>
        <w:pStyle w:val="ListParagraph"/>
        <w:numPr>
          <w:ilvl w:val="0"/>
          <w:numId w:val="2"/>
        </w:numPr>
        <w:spacing w:after="90" w:line="320"/>
        <w:jc w:val="both"/>
      </w:pPr>
      <w:r>
        <w:rPr>
          <w:rFonts w:ascii="Times New Roman" w:cs="Times New Roman" w:eastAsia="Times New Roman" w:hAnsi="Times New Roman"/>
          <w:b w:val="false"/>
          <w:bCs w:val="false"/>
          <w:i w:val="false"/>
          <w:iCs w:val="false"/>
          <w:sz w:val="24"/>
          <w:szCs w:val="24"/>
        </w:rPr>
        <w:t xml:space="preserve">Manipulation of text–background colour had </w:t>
      </w:r>
      <w:r>
        <w:rPr>
          <w:rFonts w:ascii="Times New Roman" w:cs="Times New Roman" w:eastAsia="Times New Roman" w:hAnsi="Times New Roman"/>
          <w:b/>
          <w:bCs/>
          <w:i w:val="false"/>
          <w:iCs w:val="false"/>
          <w:sz w:val="24"/>
          <w:szCs w:val="24"/>
        </w:rPr>
        <w:t xml:space="preserve">no significant effect on reading speed</w:t>
      </w:r>
      <w:r>
        <w:rPr>
          <w:rFonts w:ascii="Times New Roman" w:cs="Times New Roman" w:eastAsia="Times New Roman" w:hAnsi="Times New Roman"/>
          <w:b w:val="false"/>
          <w:bCs w:val="false"/>
          <w:i w:val="false"/>
          <w:iCs w:val="false"/>
          <w:sz w:val="24"/>
          <w:szCs w:val="24"/>
        </w:rPr>
        <w:t xml:space="preserve">.</w:t>
      </w:r>
    </w:p>
    <w:p>
      <w:pPr>
        <w:spacing w:after="140" w:line="340"/>
        <w:jc w:val="both"/>
      </w:pPr>
      <w:r>
        <w:rPr>
          <w:rFonts w:ascii="Times New Roman" w:cs="Times New Roman" w:eastAsia="Times New Roman" w:hAnsi="Times New Roman"/>
          <w:b/>
          <w:bCs/>
          <w:i w:val="false"/>
          <w:iCs w:val="false"/>
          <w:sz w:val="24"/>
          <w:szCs w:val="24"/>
        </w:rPr>
        <w:t xml:space="preserve">(b) Fan et al. (2024)</w:t>
      </w:r>
      <w:r>
        <w:rPr>
          <w:rFonts w:ascii="Times New Roman" w:cs="Times New Roman" w:eastAsia="Times New Roman" w:hAnsi="Times New Roman"/>
          <w:b w:val="false"/>
          <w:bCs w:val="false"/>
          <w:i w:val="false"/>
          <w:iCs w:val="false"/>
          <w:sz w:val="24"/>
          <w:szCs w:val="24"/>
        </w:rPr>
        <w:t xml:space="preserve"> examined ambient illumination and text colour </w:t>
      </w:r>
      <w:r>
        <w:rPr>
          <w:rFonts w:ascii="Times New Roman" w:cs="Times New Roman" w:eastAsia="Times New Roman" w:hAnsi="Times New Roman"/>
          <w:b/>
          <w:bCs/>
          <w:i w:val="false"/>
          <w:iCs w:val="false"/>
          <w:sz w:val="24"/>
          <w:szCs w:val="24"/>
        </w:rPr>
        <w:t xml:space="preserve">under negative polarity only</w:t>
      </w:r>
      <w:r>
        <w:rPr>
          <w:rFonts w:ascii="Times New Roman" w:cs="Times New Roman" w:eastAsia="Times New Roman" w:hAnsi="Times New Roman"/>
          <w:b w:val="false"/>
          <w:bCs w:val="false"/>
          <w:i w:val="false"/>
          <w:iCs w:val="false"/>
          <w:sz w:val="24"/>
          <w:szCs w:val="24"/>
        </w:rPr>
        <w:t xml:space="preserve">, collecting pupil-accommodation and blink-rate data via an eye tracker during a reading task [19]. Findings:</w:t>
      </w:r>
    </w:p>
    <w:p>
      <w:pPr>
        <w:pStyle w:val="ListParagraph"/>
        <w:numPr>
          <w:ilvl w:val="0"/>
          <w:numId w:val="2"/>
        </w:numPr>
        <w:spacing w:after="90" w:line="320"/>
        <w:jc w:val="both"/>
      </w:pPr>
      <w:r>
        <w:rPr>
          <w:rFonts w:ascii="Times New Roman" w:cs="Times New Roman" w:eastAsia="Times New Roman" w:hAnsi="Times New Roman"/>
          <w:b w:val="false"/>
          <w:bCs w:val="false"/>
          <w:i w:val="false"/>
          <w:iCs w:val="false"/>
          <w:sz w:val="24"/>
          <w:szCs w:val="24"/>
        </w:rPr>
        <w:t xml:space="preserve">Text colour </w:t>
      </w:r>
      <w:r>
        <w:rPr>
          <w:rFonts w:ascii="Times New Roman" w:cs="Times New Roman" w:eastAsia="Times New Roman" w:hAnsi="Times New Roman"/>
          <w:b/>
          <w:bCs/>
          <w:i w:val="false"/>
          <w:iCs w:val="false"/>
          <w:sz w:val="24"/>
          <w:szCs w:val="24"/>
        </w:rPr>
        <w:t xml:space="preserve">significantly affected visual fatigue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red text produced the highest</w:t>
      </w:r>
      <w:r>
        <w:rPr>
          <w:rFonts w:ascii="Times New Roman" w:cs="Times New Roman" w:eastAsia="Times New Roman" w:hAnsi="Times New Roman"/>
          <w:b w:val="false"/>
          <w:bCs w:val="false"/>
          <w:i w:val="false"/>
          <w:iCs w:val="false"/>
          <w:sz w:val="24"/>
          <w:szCs w:val="24"/>
        </w:rPr>
        <w:t xml:space="preserve"> visual fatigue and </w:t>
      </w:r>
      <w:r>
        <w:rPr>
          <w:rFonts w:ascii="Times New Roman" w:cs="Times New Roman" w:eastAsia="Times New Roman" w:hAnsi="Times New Roman"/>
          <w:b/>
          <w:bCs/>
          <w:i w:val="false"/>
          <w:iCs w:val="false"/>
          <w:sz w:val="24"/>
          <w:szCs w:val="24"/>
        </w:rPr>
        <w:t xml:space="preserve">yellow text the lowest</w:t>
      </w:r>
      <w:r>
        <w:rPr>
          <w:rFonts w:ascii="Times New Roman" w:cs="Times New Roman" w:eastAsia="Times New Roman" w:hAnsi="Times New Roman"/>
          <w:b w:val="false"/>
          <w:bCs w:val="false"/>
          <w:i w:val="false"/>
          <w:iCs w:val="false"/>
          <w:sz w:val="24"/>
          <w:szCs w:val="24"/>
        </w:rPr>
        <w:t xml:space="preserve">.</w:t>
      </w:r>
    </w:p>
    <w:p>
      <w:pPr>
        <w:pStyle w:val="ListParagraph"/>
        <w:numPr>
          <w:ilvl w:val="0"/>
          <w:numId w:val="2"/>
        </w:numPr>
        <w:spacing w:after="90" w:line="320"/>
        <w:jc w:val="both"/>
      </w:pPr>
      <w:r>
        <w:rPr>
          <w:rFonts w:ascii="Times New Roman" w:cs="Times New Roman" w:eastAsia="Times New Roman" w:hAnsi="Times New Roman"/>
          <w:b w:val="false"/>
          <w:bCs w:val="false"/>
          <w:i w:val="false"/>
          <w:iCs w:val="false"/>
          <w:sz w:val="24"/>
          <w:szCs w:val="24"/>
        </w:rPr>
        <w:t xml:space="preserve">Improving ambient lighting </w:t>
      </w:r>
      <w:r>
        <w:rPr>
          <w:rFonts w:ascii="Times New Roman" w:cs="Times New Roman" w:eastAsia="Times New Roman" w:hAnsi="Times New Roman"/>
          <w:b/>
          <w:bCs/>
          <w:i w:val="false"/>
          <w:iCs w:val="false"/>
          <w:sz w:val="24"/>
          <w:szCs w:val="24"/>
        </w:rPr>
        <w:t xml:space="preserve">reduced</w:t>
      </w:r>
      <w:r>
        <w:rPr>
          <w:rFonts w:ascii="Times New Roman" w:cs="Times New Roman" w:eastAsia="Times New Roman" w:hAnsi="Times New Roman"/>
          <w:b w:val="false"/>
          <w:bCs w:val="false"/>
          <w:i w:val="false"/>
          <w:iCs w:val="false"/>
          <w:sz w:val="24"/>
          <w:szCs w:val="24"/>
        </w:rPr>
        <w:t xml:space="preserve"> visual fatigue, but </w:t>
      </w:r>
      <w:r>
        <w:rPr>
          <w:rFonts w:ascii="Times New Roman" w:cs="Times New Roman" w:eastAsia="Times New Roman" w:hAnsi="Times New Roman"/>
          <w:b/>
          <w:bCs/>
          <w:i w:val="false"/>
          <w:iCs w:val="false"/>
          <w:sz w:val="24"/>
          <w:szCs w:val="24"/>
        </w:rPr>
        <w:t xml:space="preserve">the magnitude of improvement depended on text colour</w:t>
      </w:r>
      <w:r>
        <w:rPr>
          <w:rFonts w:ascii="Times New Roman" w:cs="Times New Roman" w:eastAsia="Times New Roman" w:hAnsi="Times New Roman"/>
          <w:b w:val="false"/>
          <w:bCs w:val="false"/>
          <w:i w:val="false"/>
          <w:iCs w:val="false"/>
          <w:sz w:val="24"/>
          <w:szCs w:val="24"/>
        </w:rPr>
        <w:t xml:space="preserve"> (i.e. an ambient-illumination × text-colour interaction).</w:t>
      </w:r>
    </w:p>
    <w:p>
      <w:pPr>
        <w:pStyle w:val="ListParagraph"/>
        <w:numPr>
          <w:ilvl w:val="0"/>
          <w:numId w:val="2"/>
        </w:numPr>
        <w:spacing w:after="90" w:line="320"/>
        <w:jc w:val="both"/>
      </w:pPr>
      <w:r>
        <w:rPr>
          <w:rFonts w:ascii="Times New Roman" w:cs="Times New Roman" w:eastAsia="Times New Roman" w:hAnsi="Times New Roman"/>
          <w:b/>
          <w:bCs/>
          <w:i w:val="false"/>
          <w:iCs w:val="false"/>
          <w:sz w:val="24"/>
          <w:szCs w:val="24"/>
        </w:rPr>
        <w:t xml:space="preserve">Cognitive performance</w:t>
      </w:r>
      <w:r>
        <w:rPr>
          <w:rFonts w:ascii="Times New Roman" w:cs="Times New Roman" w:eastAsia="Times New Roman" w:hAnsi="Times New Roman"/>
          <w:b w:val="false"/>
          <w:bCs w:val="false"/>
          <w:i w:val="false"/>
          <w:iCs w:val="false"/>
          <w:sz w:val="24"/>
          <w:szCs w:val="24"/>
        </w:rPr>
        <w:t xml:space="preserve"> was better with yellow and white text and worse with red text.</w:t>
      </w:r>
    </w:p>
    <w:p>
      <w:pPr>
        <w:pStyle w:val="ListParagraph"/>
        <w:numPr>
          <w:ilvl w:val="0"/>
          <w:numId w:val="2"/>
        </w:numPr>
        <w:spacing w:after="90" w:line="320"/>
        <w:jc w:val="both"/>
      </w:pPr>
      <w:r>
        <w:rPr>
          <w:rFonts w:ascii="Times New Roman" w:cs="Times New Roman" w:eastAsia="Times New Roman" w:hAnsi="Times New Roman"/>
          <w:b w:val="false"/>
          <w:bCs w:val="false"/>
          <w:i w:val="false"/>
          <w:iCs w:val="false"/>
          <w:sz w:val="24"/>
          <w:szCs w:val="24"/>
        </w:rPr>
        <w:t xml:space="preserve">The authors' design recommendation: yellow text is the most effective choice for reducing visual fatigue under negative polarity, and increasing ambient lighting improves visual fatigue in low-illumination conditions [19].</w:t>
      </w:r>
    </w:p>
    <w:p>
      <w:pPr>
        <w:pStyle w:val="Heading3"/>
        <w:keepNext/>
        <w:spacing w:after="160" w:before="280"/>
      </w:pPr>
      <w:r>
        <w:rPr>
          <w:rFonts w:ascii="Times New Roman" w:cs="Times New Roman" w:eastAsia="Times New Roman" w:hAnsi="Times New Roman"/>
          <w:b/>
          <w:bCs/>
          <w:i w:val="false"/>
          <w:iCs w:val="false"/>
          <w:sz w:val="26"/>
          <w:szCs w:val="26"/>
        </w:rPr>
        <w:t xml:space="preserve">5.2 Reading the two studies against each other</w:t>
      </w:r>
    </w:p>
    <w:p>
      <w:pPr>
        <w:spacing w:after="140" w:line="340"/>
        <w:jc w:val="both"/>
      </w:pPr>
      <w:r>
        <w:rPr>
          <w:rFonts w:ascii="Times New Roman" w:cs="Times New Roman" w:eastAsia="Times New Roman" w:hAnsi="Times New Roman"/>
          <w:b w:val="false"/>
          <w:bCs w:val="false"/>
          <w:i w:val="false"/>
          <w:iCs w:val="false"/>
          <w:sz w:val="24"/>
          <w:szCs w:val="24"/>
        </w:rPr>
        <w:t xml:space="preserve">These two studies are complementary in coverage but only partially reconcilable, and the tension between them is itself informative.</w:t>
      </w:r>
    </w:p>
    <w:p>
      <w:pPr>
        <w:pStyle w:val="ListParagraph"/>
        <w:numPr>
          <w:ilvl w:val="0"/>
          <w:numId w:val="2"/>
        </w:numPr>
        <w:spacing w:after="90" w:line="320"/>
        <w:jc w:val="both"/>
      </w:pPr>
      <w:r>
        <w:rPr>
          <w:rFonts w:ascii="Times New Roman" w:cs="Times New Roman" w:eastAsia="Times New Roman" w:hAnsi="Times New Roman"/>
          <w:b/>
          <w:bCs/>
          <w:i w:val="false"/>
          <w:iCs w:val="false"/>
          <w:sz w:val="24"/>
          <w:szCs w:val="24"/>
        </w:rPr>
        <w:t xml:space="preserve">Outcome divergence.</w:t>
      </w:r>
      <w:r>
        <w:rPr>
          <w:rFonts w:ascii="Times New Roman" w:cs="Times New Roman" w:eastAsia="Times New Roman" w:hAnsi="Times New Roman"/>
          <w:b w:val="false"/>
          <w:bCs w:val="false"/>
          <w:i w:val="false"/>
          <w:iCs w:val="false"/>
          <w:sz w:val="24"/>
          <w:szCs w:val="24"/>
        </w:rPr>
        <w:t xml:space="preserve"> Jiménez et al. found colour modulated </w:t>
      </w:r>
      <w:r>
        <w:rPr>
          <w:rFonts w:ascii="Times New Roman" w:cs="Times New Roman" w:eastAsia="Times New Roman" w:hAnsi="Times New Roman"/>
          <w:b w:val="false"/>
          <w:bCs w:val="false"/>
          <w:i/>
          <w:iCs/>
          <w:sz w:val="24"/>
          <w:szCs w:val="24"/>
        </w:rPr>
        <w:t xml:space="preserve">ocular physiology</w:t>
      </w:r>
      <w:r>
        <w:rPr>
          <w:rFonts w:ascii="Times New Roman" w:cs="Times New Roman" w:eastAsia="Times New Roman" w:hAnsi="Times New Roman"/>
          <w:b w:val="false"/>
          <w:bCs w:val="false"/>
          <w:i w:val="false"/>
          <w:iCs w:val="false"/>
          <w:sz w:val="24"/>
          <w:szCs w:val="24"/>
        </w:rPr>
        <w:t xml:space="preserve"> but </w:t>
      </w:r>
      <w:r>
        <w:rPr>
          <w:rFonts w:ascii="Times New Roman" w:cs="Times New Roman" w:eastAsia="Times New Roman" w:hAnsi="Times New Roman"/>
          <w:b/>
          <w:bCs/>
          <w:i w:val="false"/>
          <w:iCs w:val="false"/>
          <w:sz w:val="24"/>
          <w:szCs w:val="24"/>
        </w:rPr>
        <w:t xml:space="preserve">not reading speed</w:t>
      </w:r>
      <w:r>
        <w:rPr>
          <w:rFonts w:ascii="Times New Roman" w:cs="Times New Roman" w:eastAsia="Times New Roman" w:hAnsi="Times New Roman"/>
          <w:b w:val="false"/>
          <w:bCs w:val="false"/>
          <w:i w:val="false"/>
          <w:iCs w:val="false"/>
          <w:sz w:val="24"/>
          <w:szCs w:val="24"/>
        </w:rPr>
        <w:t xml:space="preserve"> [18]; Fan et al. found colour affected both </w:t>
      </w:r>
      <w:r>
        <w:rPr>
          <w:rFonts w:ascii="Times New Roman" w:cs="Times New Roman" w:eastAsia="Times New Roman" w:hAnsi="Times New Roman"/>
          <w:b w:val="false"/>
          <w:bCs w:val="false"/>
          <w:i/>
          <w:iCs/>
          <w:sz w:val="24"/>
          <w:szCs w:val="24"/>
        </w:rPr>
        <w:t xml:space="preserve">visual fatigue</w:t>
      </w:r>
      <w:r>
        <w:rPr>
          <w:rFonts w:ascii="Times New Roman" w:cs="Times New Roman" w:eastAsia="Times New Roman" w:hAnsi="Times New Roman"/>
          <w:b w:val="false"/>
          <w:bCs w:val="false"/>
          <w:i w:val="false"/>
          <w:iCs w:val="false"/>
          <w:sz w:val="24"/>
          <w:szCs w:val="24"/>
        </w:rPr>
        <w:t xml:space="preserve"> and </w:t>
      </w:r>
      <w:r>
        <w:rPr>
          <w:rFonts w:ascii="Times New Roman" w:cs="Times New Roman" w:eastAsia="Times New Roman" w:hAnsi="Times New Roman"/>
          <w:b w:val="false"/>
          <w:bCs w:val="false"/>
          <w:i/>
          <w:iCs/>
          <w:sz w:val="24"/>
          <w:szCs w:val="24"/>
        </w:rPr>
        <w:t xml:space="preserve">cognitive performance</w:t>
      </w:r>
      <w:r>
        <w:rPr>
          <w:rFonts w:ascii="Times New Roman" w:cs="Times New Roman" w:eastAsia="Times New Roman" w:hAnsi="Times New Roman"/>
          <w:b w:val="false"/>
          <w:bCs w:val="false"/>
          <w:i w:val="false"/>
          <w:iCs w:val="false"/>
          <w:sz w:val="24"/>
          <w:szCs w:val="24"/>
        </w:rPr>
        <w:t xml:space="preserve"> [19]. One plausible reconciliation is exposure duration: 2-minute passages [18] may be too brief for performance decrements to emerge, whereas fatigue-relevant differences require accumulation. If so, </w:t>
      </w:r>
      <w:r>
        <w:rPr>
          <w:rFonts w:ascii="Times New Roman" w:cs="Times New Roman" w:eastAsia="Times New Roman" w:hAnsi="Times New Roman"/>
          <w:b/>
          <w:bCs/>
          <w:i w:val="false"/>
          <w:iCs w:val="false"/>
          <w:sz w:val="24"/>
          <w:szCs w:val="24"/>
        </w:rPr>
        <w:t xml:space="preserve">duration is a moderator that neither study was designed to estimate</w:t>
      </w:r>
      <w:r>
        <w:rPr>
          <w:rFonts w:ascii="Times New Roman" w:cs="Times New Roman" w:eastAsia="Times New Roman" w:hAnsi="Times New Roman"/>
          <w:b w:val="false"/>
          <w:bCs w:val="false"/>
          <w:i w:val="false"/>
          <w:iCs w:val="false"/>
          <w:sz w:val="24"/>
          <w:szCs w:val="24"/>
        </w:rPr>
        <w:t xml:space="preserve"> — a direct argument for a longer, ecologically valid protocol.</w:t>
      </w:r>
    </w:p>
    <w:p>
      <w:pPr>
        <w:pStyle w:val="ListParagraph"/>
        <w:numPr>
          <w:ilvl w:val="0"/>
          <w:numId w:val="2"/>
        </w:numPr>
        <w:spacing w:after="90" w:line="320"/>
        <w:jc w:val="both"/>
      </w:pPr>
      <w:r>
        <w:rPr>
          <w:rFonts w:ascii="Times New Roman" w:cs="Times New Roman" w:eastAsia="Times New Roman" w:hAnsi="Times New Roman"/>
          <w:b/>
          <w:bCs/>
          <w:i w:val="false"/>
          <w:iCs w:val="false"/>
          <w:sz w:val="24"/>
          <w:szCs w:val="24"/>
        </w:rPr>
        <w:t xml:space="preserve">Coverage divergence.</w:t>
      </w:r>
      <w:r>
        <w:rPr>
          <w:rFonts w:ascii="Times New Roman" w:cs="Times New Roman" w:eastAsia="Times New Roman" w:hAnsi="Times New Roman"/>
          <w:b w:val="false"/>
          <w:bCs w:val="false"/>
          <w:i w:val="false"/>
          <w:iCs w:val="false"/>
          <w:sz w:val="24"/>
          <w:szCs w:val="24"/>
        </w:rPr>
        <w:t xml:space="preserve"> Jiménez et al. crossed many colour combinations but did not measure symptom-level visual fatigue with a validated instrument, nor comprehension, nor attention [18]. Fan et al. measured visual fatigue but examined </w:t>
      </w:r>
      <w:r>
        <w:rPr>
          <w:rFonts w:ascii="Times New Roman" w:cs="Times New Roman" w:eastAsia="Times New Roman" w:hAnsi="Times New Roman"/>
          <w:b/>
          <w:bCs/>
          <w:i w:val="false"/>
          <w:iCs w:val="false"/>
          <w:sz w:val="24"/>
          <w:szCs w:val="24"/>
        </w:rPr>
        <w:t xml:space="preserve">only negative polarity</w:t>
      </w:r>
      <w:r>
        <w:rPr>
          <w:rFonts w:ascii="Times New Roman" w:cs="Times New Roman" w:eastAsia="Times New Roman" w:hAnsi="Times New Roman"/>
          <w:b w:val="false"/>
          <w:bCs w:val="false"/>
          <w:i w:val="false"/>
          <w:iCs w:val="false"/>
          <w:sz w:val="24"/>
          <w:szCs w:val="24"/>
        </w:rPr>
        <w:t xml:space="preserve">, precluding any statement about polarity × colour interaction [19].</w:t>
      </w:r>
    </w:p>
    <w:p>
      <w:pPr>
        <w:pStyle w:val="ListParagraph"/>
        <w:numPr>
          <w:ilvl w:val="0"/>
          <w:numId w:val="2"/>
        </w:numPr>
        <w:spacing w:after="90" w:line="320"/>
        <w:jc w:val="both"/>
      </w:pPr>
      <w:r>
        <w:rPr>
          <w:rFonts w:ascii="Times New Roman" w:cs="Times New Roman" w:eastAsia="Times New Roman" w:hAnsi="Times New Roman"/>
          <w:b/>
          <w:bCs/>
          <w:i w:val="false"/>
          <w:iCs w:val="false"/>
          <w:sz w:val="24"/>
          <w:szCs w:val="24"/>
        </w:rPr>
        <w:t xml:space="preserve">Convergence on chromatic specificity.</w:t>
      </w:r>
      <w:r>
        <w:rPr>
          <w:rFonts w:ascii="Times New Roman" w:cs="Times New Roman" w:eastAsia="Times New Roman" w:hAnsi="Times New Roman"/>
          <w:b w:val="false"/>
          <w:bCs w:val="false"/>
          <w:i w:val="false"/>
          <w:iCs w:val="false"/>
          <w:sz w:val="24"/>
          <w:szCs w:val="24"/>
        </w:rPr>
        <w:t xml:space="preserve"> Both implicate specific chromaticities as physiologically non-equivalent: red is adverse in Fan et al. [19], and long-wavelength/short-wavelength pairings (blue-on-red) heightened accommodative response in Jiménez et al. [18]. Yellow is </w:t>
      </w:r>
      <w:r>
        <w:rPr>
          <w:rFonts w:ascii="Times New Roman" w:cs="Times New Roman" w:eastAsia="Times New Roman" w:hAnsi="Times New Roman"/>
          <w:b w:val="false"/>
          <w:bCs w:val="false"/>
          <w:i/>
          <w:iCs/>
          <w:sz w:val="24"/>
          <w:szCs w:val="24"/>
        </w:rPr>
        <w:t xml:space="preserve">favourable</w:t>
      </w:r>
      <w:r>
        <w:rPr>
          <w:rFonts w:ascii="Times New Roman" w:cs="Times New Roman" w:eastAsia="Times New Roman" w:hAnsi="Times New Roman"/>
          <w:b w:val="false"/>
          <w:bCs w:val="false"/>
          <w:i w:val="false"/>
          <w:iCs w:val="false"/>
          <w:sz w:val="24"/>
          <w:szCs w:val="24"/>
        </w:rPr>
        <w:t xml:space="preserve"> under negative polarity [19] yet </w:t>
      </w:r>
      <w:r>
        <w:rPr>
          <w:rFonts w:ascii="Times New Roman" w:cs="Times New Roman" w:eastAsia="Times New Roman" w:hAnsi="Times New Roman"/>
          <w:b w:val="false"/>
          <w:bCs w:val="false"/>
          <w:i/>
          <w:iCs/>
          <w:sz w:val="24"/>
          <w:szCs w:val="24"/>
        </w:rPr>
        <w:t xml:space="preserve">low-contrast and poorly rated</w:t>
      </w:r>
      <w:r>
        <w:rPr>
          <w:rFonts w:ascii="Times New Roman" w:cs="Times New Roman" w:eastAsia="Times New Roman" w:hAnsi="Times New Roman"/>
          <w:b w:val="false"/>
          <w:bCs w:val="false"/>
          <w:i w:val="false"/>
          <w:iCs w:val="false"/>
          <w:sz w:val="24"/>
          <w:szCs w:val="24"/>
        </w:rPr>
        <w:t xml:space="preserve"> when paired with white [18] — which is precisely the signature of a </w:t>
      </w:r>
      <w:r>
        <w:rPr>
          <w:rFonts w:ascii="Times New Roman" w:cs="Times New Roman" w:eastAsia="Times New Roman" w:hAnsi="Times New Roman"/>
          <w:b/>
          <w:bCs/>
          <w:i w:val="false"/>
          <w:iCs w:val="false"/>
          <w:sz w:val="24"/>
          <w:szCs w:val="24"/>
        </w:rPr>
        <w:t xml:space="preserve">contrast-dependent, not hue-dependent, effect</w:t>
      </w:r>
      <w:r>
        <w:rPr>
          <w:rFonts w:ascii="Times New Roman" w:cs="Times New Roman" w:eastAsia="Times New Roman" w:hAnsi="Times New Roman"/>
          <w:b w:val="false"/>
          <w:bCs w:val="false"/>
          <w:i w:val="false"/>
          <w:iCs w:val="false"/>
          <w:sz w:val="24"/>
          <w:szCs w:val="24"/>
        </w:rPr>
        <w:t xml:space="preserve">.</w:t>
      </w:r>
    </w:p>
    <w:p>
      <w:pPr>
        <w:pStyle w:val="Heading3"/>
        <w:keepNext/>
        <w:spacing w:after="160" w:before="280"/>
      </w:pPr>
      <w:r>
        <w:rPr>
          <w:rFonts w:ascii="Times New Roman" w:cs="Times New Roman" w:eastAsia="Times New Roman" w:hAnsi="Times New Roman"/>
          <w:b/>
          <w:bCs/>
          <w:i w:val="false"/>
          <w:iCs w:val="false"/>
          <w:sz w:val="26"/>
          <w:szCs w:val="26"/>
        </w:rPr>
        <w:t xml:space="preserve">5.3 The contrast confound: a methodological mandate from the literature</w:t>
      </w:r>
    </w:p>
    <w:p>
      <w:pPr>
        <w:spacing w:after="140" w:line="340"/>
        <w:jc w:val="both"/>
      </w:pPr>
      <w:r>
        <w:rPr>
          <w:rFonts w:ascii="Times New Roman" w:cs="Times New Roman" w:eastAsia="Times New Roman" w:hAnsi="Times New Roman"/>
          <w:b w:val="false"/>
          <w:bCs w:val="false"/>
          <w:i w:val="false"/>
          <w:iCs w:val="false"/>
          <w:sz w:val="24"/>
          <w:szCs w:val="24"/>
        </w:rPr>
        <w:t xml:space="preserve">The single most important methodological lesson available from this literature is Buchner and Baumgartner's demonstration that </w:t>
      </w:r>
      <w:r>
        <w:rPr>
          <w:rFonts w:ascii="Times New Roman" w:cs="Times New Roman" w:eastAsia="Times New Roman" w:hAnsi="Times New Roman"/>
          <w:b/>
          <w:bCs/>
          <w:i w:val="false"/>
          <w:iCs w:val="false"/>
          <w:sz w:val="24"/>
          <w:szCs w:val="24"/>
        </w:rPr>
        <w:t xml:space="preserve">colour contrast cannot substitute for luminance contrast</w:t>
      </w:r>
      <w:r>
        <w:rPr>
          <w:rFonts w:ascii="Times New Roman" w:cs="Times New Roman" w:eastAsia="Times New Roman" w:hAnsi="Times New Roman"/>
          <w:b w:val="false"/>
          <w:bCs w:val="false"/>
          <w:i w:val="false"/>
          <w:iCs w:val="false"/>
          <w:sz w:val="24"/>
          <w:szCs w:val="24"/>
        </w:rPr>
        <w:t xml:space="preserve"> [12]. Combined with the pupillary mechanism of the PPA [13–15] and with the observation that low-luminance-contrast colour pairs are rated less legible [18], this yields an unavoidable inference:</w:t>
      </w:r>
    </w:p>
    <w:p>
      <w:pPr>
        <w:pBdr>
          <w:left w:val="single" w:color="4F8EF7" w:sz="12" w:space="8"/>
        </w:pBdr>
        <w:shd w:fill="F4F7FC" w:color="auto" w:val="clear"/>
        <w:spacing w:after="180" w:before="120" w:line="320"/>
        <w:ind w:left="360" w:right="240"/>
        <w:jc w:val="both"/>
      </w:pPr>
      <w:r>
        <w:rPr>
          <w:rFonts w:ascii="Times New Roman" w:cs="Times New Roman" w:eastAsia="Times New Roman" w:hAnsi="Times New Roman"/>
          <w:b w:val="false"/>
          <w:bCs w:val="false"/>
          <w:i w:val="false"/>
          <w:iCs w:val="false"/>
          <w:sz w:val="24"/>
          <w:szCs w:val="24"/>
        </w:rPr>
        <w:t xml:space="preserve">In any study that manipulates text colour, the </w:t>
      </w:r>
      <w:r>
        <w:rPr>
          <w:rFonts w:ascii="Times New Roman" w:cs="Times New Roman" w:eastAsia="Times New Roman" w:hAnsi="Times New Roman"/>
          <w:b/>
          <w:bCs/>
          <w:i w:val="false"/>
          <w:iCs w:val="false"/>
          <w:sz w:val="24"/>
          <w:szCs w:val="24"/>
        </w:rPr>
        <w:t xml:space="preserve">luminance contrast</w:t>
      </w:r>
      <w:r>
        <w:rPr>
          <w:rFonts w:ascii="Times New Roman" w:cs="Times New Roman" w:eastAsia="Times New Roman" w:hAnsi="Times New Roman"/>
          <w:b w:val="false"/>
          <w:bCs w:val="false"/>
          <w:i w:val="false"/>
          <w:iCs w:val="false"/>
          <w:sz w:val="24"/>
          <w:szCs w:val="24"/>
        </w:rPr>
        <w:t xml:space="preserve"> of each colour pair is a covarying property of the stimulus. Unless luminance contrast is explicitly quantified and modelled, any apparent "effect of text colour" is uninterpretable — it may be wholly or partly an effect of contrast.</w:t>
      </w:r>
    </w:p>
    <w:p>
      <w:pPr>
        <w:spacing w:after="140" w:line="340"/>
        <w:jc w:val="both"/>
      </w:pPr>
      <w:r>
        <w:rPr>
          <w:rFonts w:ascii="Times New Roman" w:cs="Times New Roman" w:eastAsia="Times New Roman" w:hAnsi="Times New Roman"/>
          <w:b w:val="false"/>
          <w:bCs w:val="false"/>
          <w:i w:val="false"/>
          <w:iCs w:val="false"/>
          <w:sz w:val="24"/>
          <w:szCs w:val="24"/>
        </w:rPr>
        <w:t xml:space="preserve">This is not a hypothetical concern. Because chromatic pigments differ intrinsically in relative luminance (yellow is high-luminance; blue is low-luminance), a fixed set of text colours rendered on a fixed light background and on a fixed dark background will </w:t>
      </w:r>
      <w:r>
        <w:rPr>
          <w:rFonts w:ascii="Times New Roman" w:cs="Times New Roman" w:eastAsia="Times New Roman" w:hAnsi="Times New Roman"/>
          <w:b/>
          <w:bCs/>
          <w:i w:val="false"/>
          <w:iCs w:val="false"/>
          <w:sz w:val="24"/>
          <w:szCs w:val="24"/>
        </w:rPr>
        <w:t xml:space="preserve">necessarily</w:t>
      </w:r>
      <w:r>
        <w:rPr>
          <w:rFonts w:ascii="Times New Roman" w:cs="Times New Roman" w:eastAsia="Times New Roman" w:hAnsi="Times New Roman"/>
          <w:b w:val="false"/>
          <w:bCs w:val="false"/>
          <w:i w:val="false"/>
          <w:iCs w:val="false"/>
          <w:sz w:val="24"/>
          <w:szCs w:val="24"/>
        </w:rPr>
        <w:t xml:space="preserve"> produce unequal, and polarity-asymmetric, luminance contrasts. Any design of this form therefore embeds a </w:t>
      </w:r>
      <w:r>
        <w:rPr>
          <w:rFonts w:ascii="Times New Roman" w:cs="Times New Roman" w:eastAsia="Times New Roman" w:hAnsi="Times New Roman"/>
          <w:b/>
          <w:bCs/>
          <w:i w:val="false"/>
          <w:iCs w:val="false"/>
          <w:sz w:val="24"/>
          <w:szCs w:val="24"/>
        </w:rPr>
        <w:t xml:space="preserve">polarity × contrast entanglement</w:t>
      </w:r>
      <w:r>
        <w:rPr>
          <w:rFonts w:ascii="Times New Roman" w:cs="Times New Roman" w:eastAsia="Times New Roman" w:hAnsi="Times New Roman"/>
          <w:b w:val="false"/>
          <w:bCs w:val="false"/>
          <w:i w:val="false"/>
          <w:iCs w:val="false"/>
          <w:sz w:val="24"/>
          <w:szCs w:val="24"/>
        </w:rPr>
        <w:t xml:space="preserve"> by construction. The literature's mandate is that such a design must (i) compute and report the luminance contrast of every condition, (ii) treat contrast as a modelled covariate rather than an ignorable nuisance, and (iii) frame the inferential question as polarity </w:t>
      </w:r>
      <w:r>
        <w:rPr>
          <w:rFonts w:ascii="Times New Roman" w:cs="Times New Roman" w:eastAsia="Times New Roman" w:hAnsi="Times New Roman"/>
          <w:b/>
          <w:bCs/>
          <w:i w:val="false"/>
          <w:iCs w:val="false"/>
          <w:sz w:val="24"/>
          <w:szCs w:val="24"/>
        </w:rPr>
        <w:t xml:space="preserve">and</w:t>
      </w:r>
      <w:r>
        <w:rPr>
          <w:rFonts w:ascii="Times New Roman" w:cs="Times New Roman" w:eastAsia="Times New Roman" w:hAnsi="Times New Roman"/>
          <w:b w:val="false"/>
          <w:bCs w:val="false"/>
          <w:i w:val="false"/>
          <w:iCs w:val="false"/>
          <w:sz w:val="24"/>
          <w:szCs w:val="24"/>
        </w:rPr>
        <w:t xml:space="preserve"> contrast, or explicitly as </w:t>
      </w:r>
      <w:r>
        <w:rPr>
          <w:rFonts w:ascii="Times New Roman" w:cs="Times New Roman" w:eastAsia="Times New Roman" w:hAnsi="Times New Roman"/>
          <w:b/>
          <w:bCs/>
          <w:i w:val="false"/>
          <w:iCs w:val="false"/>
          <w:sz w:val="24"/>
          <w:szCs w:val="24"/>
        </w:rPr>
        <w:t xml:space="preserve">polarity × contrast</w:t>
      </w:r>
      <w:r>
        <w:rPr>
          <w:rFonts w:ascii="Times New Roman" w:cs="Times New Roman" w:eastAsia="Times New Roman" w:hAnsi="Times New Roman"/>
          <w:b w:val="false"/>
          <w:bCs w:val="false"/>
          <w:i w:val="false"/>
          <w:iCs w:val="false"/>
          <w:sz w:val="24"/>
          <w:szCs w:val="24"/>
        </w:rPr>
        <w:t xml:space="preserve">, rather than as "polarity vs colour".</w:t>
      </w:r>
    </w:p>
    <w:p>
      <w:pPr>
        <w:pStyle w:val="Heading3"/>
        <w:keepNext/>
        <w:spacing w:after="160" w:before="280"/>
      </w:pPr>
      <w:r>
        <w:rPr>
          <w:rFonts w:ascii="Times New Roman" w:cs="Times New Roman" w:eastAsia="Times New Roman" w:hAnsi="Times New Roman"/>
          <w:b/>
          <w:bCs/>
          <w:i w:val="false"/>
          <w:iCs w:val="false"/>
          <w:sz w:val="26"/>
          <w:szCs w:val="26"/>
        </w:rPr>
        <w:t xml:space="preserve">5.4 Which contrast metric? The inadequacy of a single standard</w:t>
      </w:r>
    </w:p>
    <w:p>
      <w:pPr>
        <w:spacing w:after="140" w:line="340"/>
        <w:jc w:val="both"/>
      </w:pPr>
      <w:r>
        <w:rPr>
          <w:rFonts w:ascii="Times New Roman" w:cs="Times New Roman" w:eastAsia="Times New Roman" w:hAnsi="Times New Roman"/>
          <w:b w:val="false"/>
          <w:bCs w:val="false"/>
          <w:i w:val="false"/>
          <w:iCs w:val="false"/>
          <w:sz w:val="24"/>
          <w:szCs w:val="24"/>
        </w:rPr>
        <w:t xml:space="preserve">Three metrics are in circulation, and the choice is consequential.</w:t>
      </w:r>
    </w:p>
    <w:p>
      <w:pPr>
        <w:pStyle w:val="ListParagraph"/>
        <w:numPr>
          <w:ilvl w:val="0"/>
          <w:numId w:val="2"/>
        </w:numPr>
        <w:spacing w:after="90" w:line="320"/>
        <w:jc w:val="both"/>
      </w:pPr>
      <w:r>
        <w:rPr>
          <w:rFonts w:ascii="Times New Roman" w:cs="Times New Roman" w:eastAsia="Times New Roman" w:hAnsi="Times New Roman"/>
          <w:b/>
          <w:bCs/>
          <w:i w:val="false"/>
          <w:iCs w:val="false"/>
          <w:sz w:val="24"/>
          <w:szCs w:val="24"/>
        </w:rPr>
        <w:t xml:space="preserve">WCAG 2.x contrast ratio.</w:t>
      </w:r>
      <w:r>
        <w:rPr>
          <w:rFonts w:ascii="Times New Roman" w:cs="Times New Roman" w:eastAsia="Times New Roman" w:hAnsi="Times New Roman"/>
          <w:b w:val="false"/>
          <w:bCs w:val="false"/>
          <w:i w:val="false"/>
          <w:iCs w:val="false"/>
          <w:sz w:val="24"/>
          <w:szCs w:val="24"/>
        </w:rPr>
        <w:t xml:space="preserve"> The W3C Web Content Accessibility Guidelines define contrast ratio as (L₁+0.05)/(L₂+0.05) over relative luminance computed from linearised sRGB, with the well-known thresholds of 4.5:1 (AA, normal text), 3:1 (AA, large text) and 7:1 (AAA) [36]. This is the de facto standard in interface design and accessibility compliance, and its use makes findings directly actionable for practitioners.</w:t>
      </w:r>
    </w:p>
    <w:p>
      <w:pPr>
        <w:pStyle w:val="ListParagraph"/>
        <w:numPr>
          <w:ilvl w:val="0"/>
          <w:numId w:val="2"/>
        </w:numPr>
        <w:spacing w:after="90" w:line="320"/>
        <w:jc w:val="both"/>
      </w:pPr>
      <w:r>
        <w:rPr>
          <w:rFonts w:ascii="Times New Roman" w:cs="Times New Roman" w:eastAsia="Times New Roman" w:hAnsi="Times New Roman"/>
          <w:b/>
          <w:bCs/>
          <w:i w:val="false"/>
          <w:iCs w:val="false"/>
          <w:sz w:val="24"/>
          <w:szCs w:val="24"/>
        </w:rPr>
        <w:t xml:space="preserve">Michelson contrast.</w:t>
      </w:r>
      <w:r>
        <w:rPr>
          <w:rFonts w:ascii="Times New Roman" w:cs="Times New Roman" w:eastAsia="Times New Roman" w:hAnsi="Times New Roman"/>
          <w:b w:val="false"/>
          <w:bCs w:val="false"/>
          <w:i w:val="false"/>
          <w:iCs w:val="false"/>
          <w:sz w:val="24"/>
          <w:szCs w:val="24"/>
        </w:rPr>
        <w:t xml:space="preserve"> (L_max − L_min)/(L_max + L_min), the classical psychophysical modulation metric, bounded in [0,1] and appropriate for periodic/patterned stimuli.</w:t>
      </w:r>
    </w:p>
    <w:p>
      <w:pPr>
        <w:pStyle w:val="ListParagraph"/>
        <w:numPr>
          <w:ilvl w:val="0"/>
          <w:numId w:val="2"/>
        </w:numPr>
        <w:spacing w:after="90" w:line="320"/>
        <w:jc w:val="both"/>
      </w:pPr>
      <w:r>
        <w:rPr>
          <w:rFonts w:ascii="Times New Roman" w:cs="Times New Roman" w:eastAsia="Times New Roman" w:hAnsi="Times New Roman"/>
          <w:b/>
          <w:bCs/>
          <w:i w:val="false"/>
          <w:iCs w:val="false"/>
          <w:sz w:val="24"/>
          <w:szCs w:val="24"/>
        </w:rPr>
        <w:t xml:space="preserve">Perceptual alternatives.</w:t>
      </w:r>
      <w:r>
        <w:rPr>
          <w:rFonts w:ascii="Times New Roman" w:cs="Times New Roman" w:eastAsia="Times New Roman" w:hAnsi="Times New Roman"/>
          <w:b w:val="false"/>
          <w:bCs w:val="false"/>
          <w:i w:val="false"/>
          <w:iCs w:val="false"/>
          <w:sz w:val="24"/>
          <w:szCs w:val="24"/>
        </w:rPr>
        <w:t xml:space="preserve"> The WCAG 2.x formula is subject to substantive, formally recognised criticism: it does not account for text size or weight, and — most relevant here — it does </w:t>
      </w:r>
      <w:r>
        <w:rPr>
          <w:rFonts w:ascii="Times New Roman" w:cs="Times New Roman" w:eastAsia="Times New Roman" w:hAnsi="Times New Roman"/>
          <w:b/>
          <w:bCs/>
          <w:i w:val="false"/>
          <w:iCs w:val="false"/>
          <w:sz w:val="24"/>
          <w:szCs w:val="24"/>
        </w:rPr>
        <w:t xml:space="preserve">not</w:t>
      </w:r>
      <w:r>
        <w:rPr>
          <w:rFonts w:ascii="Times New Roman" w:cs="Times New Roman" w:eastAsia="Times New Roman" w:hAnsi="Times New Roman"/>
          <w:b w:val="false"/>
          <w:bCs w:val="false"/>
          <w:i w:val="false"/>
          <w:iCs w:val="false"/>
          <w:sz w:val="24"/>
          <w:szCs w:val="24"/>
        </w:rPr>
        <w:t xml:space="preserve"> account for polarity, and is held to </w:t>
      </w:r>
      <w:r>
        <w:rPr>
          <w:rFonts w:ascii="Times New Roman" w:cs="Times New Roman" w:eastAsia="Times New Roman" w:hAnsi="Times New Roman"/>
          <w:b/>
          <w:bCs/>
          <w:i w:val="false"/>
          <w:iCs w:val="false"/>
          <w:sz w:val="24"/>
          <w:szCs w:val="24"/>
        </w:rPr>
        <w:t xml:space="preserve">overstate</w:t>
      </w:r>
      <w:r>
        <w:rPr>
          <w:rFonts w:ascii="Times New Roman" w:cs="Times New Roman" w:eastAsia="Times New Roman" w:hAnsi="Times New Roman"/>
          <w:b w:val="false"/>
          <w:bCs w:val="false"/>
          <w:i w:val="false"/>
          <w:iCs w:val="false"/>
          <w:sz w:val="24"/>
          <w:szCs w:val="24"/>
        </w:rPr>
        <w:t xml:space="preserve"> contrast for dark colour pairs, such that nominally compliant light-on-dark combinations can be functionally difficult to read and can produce halation and reported eye strain, particularly with highly saturated colours [37]. A candidate perceptual replacement (APCA) that incorporates polarity and typography is under development for a future generation of the guidelines [37].</w:t>
      </w:r>
    </w:p>
    <w:p>
      <w:pPr>
        <w:spacing w:after="140" w:line="340"/>
        <w:jc w:val="both"/>
      </w:pPr>
      <w:r>
        <w:rPr>
          <w:rFonts w:ascii="Times New Roman" w:cs="Times New Roman" w:eastAsia="Times New Roman" w:hAnsi="Times New Roman"/>
          <w:b w:val="false"/>
          <w:bCs w:val="false"/>
          <w:i w:val="false"/>
          <w:iCs w:val="false"/>
          <w:sz w:val="24"/>
          <w:szCs w:val="24"/>
        </w:rPr>
        <w:t xml:space="preserve">The convergence of this critique with the empirical polarity literature is striking and should be stated plainly: an accessibility standard that is </w:t>
      </w:r>
      <w:r>
        <w:rPr>
          <w:rFonts w:ascii="Times New Roman" w:cs="Times New Roman" w:eastAsia="Times New Roman" w:hAnsi="Times New Roman"/>
          <w:b/>
          <w:bCs/>
          <w:i w:val="false"/>
          <w:iCs w:val="false"/>
          <w:sz w:val="24"/>
          <w:szCs w:val="24"/>
        </w:rPr>
        <w:t xml:space="preserve">polarity-blind</w:t>
      </w:r>
      <w:r>
        <w:rPr>
          <w:rFonts w:ascii="Times New Roman" w:cs="Times New Roman" w:eastAsia="Times New Roman" w:hAnsi="Times New Roman"/>
          <w:b w:val="false"/>
          <w:bCs w:val="false"/>
          <w:i w:val="false"/>
          <w:iCs w:val="false"/>
          <w:sz w:val="24"/>
          <w:szCs w:val="24"/>
        </w:rPr>
        <w:t xml:space="preserve"> is being used to certify the readability of interfaces in a domain where </w:t>
      </w:r>
      <w:r>
        <w:rPr>
          <w:rFonts w:ascii="Times New Roman" w:cs="Times New Roman" w:eastAsia="Times New Roman" w:hAnsi="Times New Roman"/>
          <w:b/>
          <w:bCs/>
          <w:i w:val="false"/>
          <w:iCs w:val="false"/>
          <w:sz w:val="24"/>
          <w:szCs w:val="24"/>
        </w:rPr>
        <w:t xml:space="preserve">polarity is one of the strongest replicated determinants of legibility</w:t>
      </w:r>
      <w:r>
        <w:rPr>
          <w:rFonts w:ascii="Times New Roman" w:cs="Times New Roman" w:eastAsia="Times New Roman" w:hAnsi="Times New Roman"/>
          <w:b w:val="false"/>
          <w:bCs w:val="false"/>
          <w:i w:val="false"/>
          <w:iCs w:val="false"/>
          <w:sz w:val="24"/>
          <w:szCs w:val="24"/>
        </w:rPr>
        <w:t xml:space="preserve"> [12–17]. This is a live scientific problem, and a study that measures polarity, chromaticity, computed contrast (by more than one metric) and photometrically measured display luminance simultaneously is positioned to speak to it.</w:t>
      </w:r>
    </w:p>
    <w:p>
      <w:pPr>
        <w:pBdr>
          <w:left w:val="single" w:color="4F8EF7" w:sz="12" w:space="8"/>
        </w:pBdr>
        <w:shd w:fill="F4F7FC" w:color="auto" w:val="clear"/>
        <w:spacing w:after="180" w:before="120" w:line="320"/>
        <w:ind w:left="360" w:right="240"/>
        <w:jc w:val="both"/>
      </w:pPr>
      <w:r>
        <w:rPr>
          <w:rFonts w:ascii="Times New Roman" w:cs="Times New Roman" w:eastAsia="Times New Roman" w:hAnsi="Times New Roman"/>
          <w:b/>
          <w:bCs/>
          <w:i w:val="false"/>
          <w:iCs w:val="false"/>
          <w:sz w:val="24"/>
          <w:szCs w:val="24"/>
        </w:rPr>
        <w:t xml:space="preserve">Critical appraisal.</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Established:</w:t>
      </w:r>
      <w:r>
        <w:rPr>
          <w:rFonts w:ascii="Times New Roman" w:cs="Times New Roman" w:eastAsia="Times New Roman" w:hAnsi="Times New Roman"/>
          <w:b w:val="false"/>
          <w:bCs w:val="false"/>
          <w:i w:val="false"/>
          <w:iCs w:val="false"/>
          <w:sz w:val="24"/>
          <w:szCs w:val="24"/>
        </w:rPr>
        <w:t xml:space="preserve"> text–background colour combination modulates accommodative and pupillary dynamics [18]; under negative polarity, text colour affects visual fatigue and cognitive performance, with red adverse and yellow favourable, and interacts with ambient illumination [19]; colour contrast cannot compensate for absent luminance contrast [12]. </w:t>
      </w:r>
      <w:r>
        <w:rPr>
          <w:rFonts w:ascii="Times New Roman" w:cs="Times New Roman" w:eastAsia="Times New Roman" w:hAnsi="Times New Roman"/>
          <w:b w:val="false"/>
          <w:bCs w:val="false"/>
          <w:i/>
          <w:iCs/>
          <w:sz w:val="24"/>
          <w:szCs w:val="24"/>
        </w:rPr>
        <w:t xml:space="preserve">Contested:</w:t>
      </w:r>
      <w:r>
        <w:rPr>
          <w:rFonts w:ascii="Times New Roman" w:cs="Times New Roman" w:eastAsia="Times New Roman" w:hAnsi="Times New Roman"/>
          <w:b w:val="false"/>
          <w:bCs w:val="false"/>
          <w:i w:val="false"/>
          <w:iCs w:val="false"/>
          <w:sz w:val="24"/>
          <w:szCs w:val="24"/>
        </w:rPr>
        <w:t xml:space="preserve"> whether colour affects reading </w:t>
      </w:r>
      <w:r>
        <w:rPr>
          <w:rFonts w:ascii="Times New Roman" w:cs="Times New Roman" w:eastAsia="Times New Roman" w:hAnsi="Times New Roman"/>
          <w:b w:val="false"/>
          <w:bCs w:val="false"/>
          <w:i/>
          <w:iCs/>
          <w:sz w:val="24"/>
          <w:szCs w:val="24"/>
        </w:rPr>
        <w:t xml:space="preserve">speed</w:t>
      </w:r>
      <w:r>
        <w:rPr>
          <w:rFonts w:ascii="Times New Roman" w:cs="Times New Roman" w:eastAsia="Times New Roman" w:hAnsi="Times New Roman"/>
          <w:b w:val="false"/>
          <w:bCs w:val="false"/>
          <w:i w:val="false"/>
          <w:iCs w:val="false"/>
          <w:sz w:val="24"/>
          <w:szCs w:val="24"/>
        </w:rPr>
        <w:t xml:space="preserve"> at all [18] versus performance more broadly [19] — plausibly a duration-moderated discrepancy. </w:t>
      </w:r>
      <w:r>
        <w:rPr>
          <w:rFonts w:ascii="Times New Roman" w:cs="Times New Roman" w:eastAsia="Times New Roman" w:hAnsi="Times New Roman"/>
          <w:b w:val="false"/>
          <w:bCs w:val="false"/>
          <w:i/>
          <w:iCs/>
          <w:sz w:val="24"/>
          <w:szCs w:val="24"/>
        </w:rPr>
        <w:t xml:space="preserve">Unknown:</w:t>
      </w:r>
      <w:r>
        <w:rPr>
          <w:rFonts w:ascii="Times New Roman" w:cs="Times New Roman" w:eastAsia="Times New Roman" w:hAnsi="Times New Roman"/>
          <w:b w:val="false"/>
          <w:bCs w:val="false"/>
          <w:i w:val="false"/>
          <w:iCs w:val="false"/>
          <w:sz w:val="24"/>
          <w:szCs w:val="24"/>
        </w:rPr>
        <w:t xml:space="preserve"> the polarity × text-colour interaction on fatigue outcomes (never tested — Fan et al. held polarity constant [19]); the behaviour of these effects over an hour-scale session; whether hue exerts any effect independent of luminance contrast. </w:t>
      </w:r>
      <w:r>
        <w:rPr>
          <w:rFonts w:ascii="Times New Roman" w:cs="Times New Roman" w:eastAsia="Times New Roman" w:hAnsi="Times New Roman"/>
          <w:b w:val="false"/>
          <w:bCs w:val="false"/>
          <w:i/>
          <w:iCs/>
          <w:sz w:val="24"/>
          <w:szCs w:val="24"/>
        </w:rPr>
        <w:t xml:space="preserve">Metrological gap:</w:t>
      </w:r>
      <w:r>
        <w:rPr>
          <w:rFonts w:ascii="Times New Roman" w:cs="Times New Roman" w:eastAsia="Times New Roman" w:hAnsi="Times New Roman"/>
          <w:b w:val="false"/>
          <w:bCs w:val="false"/>
          <w:i w:val="false"/>
          <w:iCs w:val="false"/>
          <w:sz w:val="24"/>
          <w:szCs w:val="24"/>
        </w:rPr>
        <w:t xml:space="preserve"> no study in this space simultaneously reports WCAG contrast, an alternative contrast metric, and measured display photometry, which is what would be required to separate hue, contrast and luminance.</w:t>
      </w:r>
    </w:p>
    <w:p>
      <w:pPr>
        <w:pBdr>
          <w:bottom w:val="single" w:color="AAAAAA" w:sz="6" w:space="1"/>
        </w:pBdr>
        <w:spacing w:after="200" w:before="120"/>
      </w:pPr>
      <w:r>
        <w:rPr>
          <w:rFonts w:ascii="Times New Roman" w:cs="Times New Roman" w:eastAsia="Times New Roman" w:hAnsi="Times New Roman"/>
          <w:sz w:val="24"/>
          <w:szCs w:val="24"/>
        </w:rPr>
        <w:t xml:space="preserve"/>
      </w:r>
    </w:p>
    <w:p>
      <w:pPr>
        <w:pStyle w:val="Heading2"/>
        <w:keepNext/>
        <w:spacing w:after="160" w:before="280"/>
      </w:pPr>
      <w:r>
        <w:rPr>
          <w:rFonts w:ascii="Times New Roman" w:cs="Times New Roman" w:eastAsia="Times New Roman" w:hAnsi="Times New Roman"/>
          <w:b/>
          <w:bCs/>
          <w:i w:val="false"/>
          <w:iCs w:val="false"/>
          <w:sz w:val="28"/>
          <w:szCs w:val="28"/>
        </w:rPr>
        <w:t xml:space="preserve">6. Ambient illumination as a moderator</w:t>
      </w:r>
    </w:p>
    <w:p>
      <w:pPr>
        <w:spacing w:after="140" w:line="340"/>
        <w:jc w:val="both"/>
      </w:pPr>
      <w:r>
        <w:rPr>
          <w:rFonts w:ascii="Times New Roman" w:cs="Times New Roman" w:eastAsia="Times New Roman" w:hAnsi="Times New Roman"/>
          <w:b w:val="false"/>
          <w:bCs w:val="false"/>
          <w:i w:val="false"/>
          <w:iCs w:val="false"/>
          <w:sz w:val="24"/>
          <w:szCs w:val="24"/>
        </w:rPr>
        <w:t xml:space="preserve">Ambient illumination enters the causal picture at three points: it changes the effective contrast of the display by adding veiling luminance and glare; it changes pupil size independently of the display, thereby interacting with the very mechanism that produces the PPA; and it is a documented risk factor for DES [7,9].</w:t>
      </w:r>
    </w:p>
    <w:p>
      <w:pPr>
        <w:spacing w:after="140" w:line="340"/>
        <w:jc w:val="both"/>
      </w:pPr>
      <w:r>
        <w:rPr>
          <w:rFonts w:ascii="Times New Roman" w:cs="Times New Roman" w:eastAsia="Times New Roman" w:hAnsi="Times New Roman"/>
          <w:b w:val="false"/>
          <w:bCs w:val="false"/>
          <w:i w:val="false"/>
          <w:iCs w:val="false"/>
          <w:sz w:val="24"/>
          <w:szCs w:val="24"/>
        </w:rPr>
        <w:t xml:space="preserve">The empirical picture is consistent with that mechanistic account. Legibility thresholds under glance-like reading were worst for negative polarity under near-dark ambient illumination, and improved markedly either by switching to positive polarity or by raising ambient illumination [15] — that is, </w:t>
      </w:r>
      <w:r>
        <w:rPr>
          <w:rFonts w:ascii="Times New Roman" w:cs="Times New Roman" w:eastAsia="Times New Roman" w:hAnsi="Times New Roman"/>
          <w:b/>
          <w:bCs/>
          <w:i w:val="false"/>
          <w:iCs w:val="false"/>
          <w:sz w:val="24"/>
          <w:szCs w:val="24"/>
        </w:rPr>
        <w:t xml:space="preserve">polarity and ambient illumination trade off against each other</w:t>
      </w:r>
      <w:r>
        <w:rPr>
          <w:rFonts w:ascii="Times New Roman" w:cs="Times New Roman" w:eastAsia="Times New Roman" w:hAnsi="Times New Roman"/>
          <w:b w:val="false"/>
          <w:bCs w:val="false"/>
          <w:i w:val="false"/>
          <w:iCs w:val="false"/>
          <w:sz w:val="24"/>
          <w:szCs w:val="24"/>
        </w:rPr>
        <w:t xml:space="preserve">, exactly as a pupil-mediated account predicts. Independently, raising ambient illumination reduced visual fatigue under negative polarity, but by an amount that depended on text colour [19]. Against this, the proofreading PPA itself was found to be </w:t>
      </w:r>
      <w:r>
        <w:rPr>
          <w:rFonts w:ascii="Times New Roman" w:cs="Times New Roman" w:eastAsia="Times New Roman" w:hAnsi="Times New Roman"/>
          <w:b w:val="false"/>
          <w:bCs w:val="false"/>
          <w:i/>
          <w:iCs/>
          <w:sz w:val="24"/>
          <w:szCs w:val="24"/>
        </w:rPr>
        <w:t xml:space="preserve">independent</w:t>
      </w:r>
      <w:r>
        <w:rPr>
          <w:rFonts w:ascii="Times New Roman" w:cs="Times New Roman" w:eastAsia="Times New Roman" w:hAnsi="Times New Roman"/>
          <w:b w:val="false"/>
          <w:bCs w:val="false"/>
          <w:i w:val="false"/>
          <w:iCs w:val="false"/>
          <w:sz w:val="24"/>
          <w:szCs w:val="24"/>
        </w:rPr>
        <w:t xml:space="preserve"> of ambient lighting across darkness and typical office illumination [12], suggesting the interaction may be threshold-like — appearing at the extremes of illumination and in threshold-limited tasks, rather than scaling smoothly.</w:t>
      </w:r>
    </w:p>
    <w:p>
      <w:pPr>
        <w:pBdr>
          <w:left w:val="single" w:color="4F8EF7" w:sz="12" w:space="8"/>
        </w:pBdr>
        <w:shd w:fill="F4F7FC" w:color="auto" w:val="clear"/>
        <w:spacing w:after="180" w:before="120" w:line="320"/>
        <w:ind w:left="360" w:right="240"/>
        <w:jc w:val="both"/>
      </w:pPr>
      <w:r>
        <w:rPr>
          <w:rFonts w:ascii="Times New Roman" w:cs="Times New Roman" w:eastAsia="Times New Roman" w:hAnsi="Times New Roman"/>
          <w:b/>
          <w:bCs/>
          <w:i w:val="false"/>
          <w:iCs w:val="false"/>
          <w:sz w:val="24"/>
          <w:szCs w:val="24"/>
        </w:rPr>
        <w:t xml:space="preserve">Critical appraisal.</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Established:</w:t>
      </w:r>
      <w:r>
        <w:rPr>
          <w:rFonts w:ascii="Times New Roman" w:cs="Times New Roman" w:eastAsia="Times New Roman" w:hAnsi="Times New Roman"/>
          <w:b w:val="false"/>
          <w:bCs w:val="false"/>
          <w:i w:val="false"/>
          <w:iCs w:val="false"/>
          <w:sz w:val="24"/>
          <w:szCs w:val="24"/>
        </w:rPr>
        <w:t xml:space="preserve"> ambient illumination modulates the legibility cost of negative polarity [15] and the fatigue cost of coloured text under negative polarity [19]. </w:t>
      </w:r>
      <w:r>
        <w:rPr>
          <w:rFonts w:ascii="Times New Roman" w:cs="Times New Roman" w:eastAsia="Times New Roman" w:hAnsi="Times New Roman"/>
          <w:b w:val="false"/>
          <w:bCs w:val="false"/>
          <w:i/>
          <w:iCs/>
          <w:sz w:val="24"/>
          <w:szCs w:val="24"/>
        </w:rPr>
        <w:t xml:space="preserve">Contested:</w:t>
      </w:r>
      <w:r>
        <w:rPr>
          <w:rFonts w:ascii="Times New Roman" w:cs="Times New Roman" w:eastAsia="Times New Roman" w:hAnsi="Times New Roman"/>
          <w:b w:val="false"/>
          <w:bCs w:val="false"/>
          <w:i w:val="false"/>
          <w:iCs w:val="false"/>
          <w:sz w:val="24"/>
          <w:szCs w:val="24"/>
        </w:rPr>
        <w:t xml:space="preserve"> whether ambient illumination moderates the PPA in supra-threshold, sustained reading; [12] found independence, [15] found interaction, and the two used different paradigms and illumination ranges. </w:t>
      </w:r>
      <w:r>
        <w:rPr>
          <w:rFonts w:ascii="Times New Roman" w:cs="Times New Roman" w:eastAsia="Times New Roman" w:hAnsi="Times New Roman"/>
          <w:b w:val="false"/>
          <w:bCs w:val="false"/>
          <w:i/>
          <w:iCs/>
          <w:sz w:val="24"/>
          <w:szCs w:val="24"/>
        </w:rPr>
        <w:t xml:space="preserve">Implication for design:</w:t>
      </w:r>
      <w:r>
        <w:rPr>
          <w:rFonts w:ascii="Times New Roman" w:cs="Times New Roman" w:eastAsia="Times New Roman" w:hAnsi="Times New Roman"/>
          <w:b w:val="false"/>
          <w:bCs w:val="false"/>
          <w:i w:val="false"/>
          <w:iCs w:val="false"/>
          <w:sz w:val="24"/>
          <w:szCs w:val="24"/>
        </w:rPr>
        <w:t xml:space="preserve"> ambient illuminance must be </w:t>
      </w:r>
      <w:r>
        <w:rPr>
          <w:rFonts w:ascii="Times New Roman" w:cs="Times New Roman" w:eastAsia="Times New Roman" w:hAnsi="Times New Roman"/>
          <w:b/>
          <w:bCs/>
          <w:i w:val="false"/>
          <w:iCs w:val="false"/>
          <w:sz w:val="24"/>
          <w:szCs w:val="24"/>
        </w:rPr>
        <w:t xml:space="preserve">measured and controlled</w:t>
      </w:r>
      <w:r>
        <w:rPr>
          <w:rFonts w:ascii="Times New Roman" w:cs="Times New Roman" w:eastAsia="Times New Roman" w:hAnsi="Times New Roman"/>
          <w:b w:val="false"/>
          <w:bCs w:val="false"/>
          <w:i w:val="false"/>
          <w:iCs w:val="false"/>
          <w:sz w:val="24"/>
          <w:szCs w:val="24"/>
        </w:rPr>
        <w:t xml:space="preserve"> (not merely described), and display luminance must be measured photometrically, or ambient conditions become an uncontrolled moderator capable of reversing conclusions.</w:t>
      </w:r>
    </w:p>
    <w:p>
      <w:pPr>
        <w:pBdr>
          <w:bottom w:val="single" w:color="AAAAAA" w:sz="6" w:space="1"/>
        </w:pBdr>
        <w:spacing w:after="200" w:before="120"/>
      </w:pPr>
      <w:r>
        <w:rPr>
          <w:rFonts w:ascii="Times New Roman" w:cs="Times New Roman" w:eastAsia="Times New Roman" w:hAnsi="Times New Roman"/>
          <w:sz w:val="24"/>
          <w:szCs w:val="24"/>
        </w:rPr>
        <w:t xml:space="preserve"/>
      </w:r>
    </w:p>
    <w:p>
      <w:pPr>
        <w:pStyle w:val="Heading2"/>
        <w:keepNext/>
        <w:spacing w:after="160" w:before="280"/>
      </w:pPr>
      <w:r>
        <w:rPr>
          <w:rFonts w:ascii="Times New Roman" w:cs="Times New Roman" w:eastAsia="Times New Roman" w:hAnsi="Times New Roman"/>
          <w:b/>
          <w:bCs/>
          <w:i w:val="false"/>
          <w:iCs w:val="false"/>
          <w:sz w:val="28"/>
          <w:szCs w:val="28"/>
        </w:rPr>
        <w:t xml:space="preserve">7. Reading performance and comprehension on digital media</w:t>
      </w:r>
    </w:p>
    <w:p>
      <w:pPr>
        <w:pStyle w:val="Heading3"/>
        <w:keepNext/>
        <w:spacing w:after="160" w:before="280"/>
      </w:pPr>
      <w:r>
        <w:rPr>
          <w:rFonts w:ascii="Times New Roman" w:cs="Times New Roman" w:eastAsia="Times New Roman" w:hAnsi="Times New Roman"/>
          <w:b/>
          <w:bCs/>
          <w:i w:val="false"/>
          <w:iCs w:val="false"/>
          <w:sz w:val="26"/>
          <w:szCs w:val="26"/>
        </w:rPr>
        <w:t xml:space="preserve">7.1 The screen-inferiority effect</w:t>
      </w:r>
    </w:p>
    <w:p>
      <w:pPr>
        <w:spacing w:after="140" w:line="340"/>
        <w:jc w:val="both"/>
      </w:pPr>
      <w:r>
        <w:rPr>
          <w:rFonts w:ascii="Times New Roman" w:cs="Times New Roman" w:eastAsia="Times New Roman" w:hAnsi="Times New Roman"/>
          <w:b w:val="false"/>
          <w:bCs w:val="false"/>
          <w:i w:val="false"/>
          <w:iCs w:val="false"/>
          <w:sz w:val="24"/>
          <w:szCs w:val="24"/>
        </w:rPr>
        <w:t xml:space="preserve">A separate and mature literature compares comprehension across reading media. A meta-analysis of the effects of reading medium on comprehension reported an advantage for print over screen reading, moderated by text genre and by time constraint — the effect being more pronounced for </w:t>
      </w:r>
      <w:r>
        <w:rPr>
          <w:rFonts w:ascii="Times New Roman" w:cs="Times New Roman" w:eastAsia="Times New Roman" w:hAnsi="Times New Roman"/>
          <w:b/>
          <w:bCs/>
          <w:i w:val="false"/>
          <w:iCs w:val="false"/>
          <w:sz w:val="24"/>
          <w:szCs w:val="24"/>
        </w:rPr>
        <w:t xml:space="preserve">expository</w:t>
      </w:r>
      <w:r>
        <w:rPr>
          <w:rFonts w:ascii="Times New Roman" w:cs="Times New Roman" w:eastAsia="Times New Roman" w:hAnsi="Times New Roman"/>
          <w:b w:val="false"/>
          <w:bCs w:val="false"/>
          <w:i w:val="false"/>
          <w:iCs w:val="false"/>
          <w:sz w:val="24"/>
          <w:szCs w:val="24"/>
        </w:rPr>
        <w:t xml:space="preserve"> (rather than narrative) texts and when </w:t>
      </w:r>
      <w:r>
        <w:rPr>
          <w:rFonts w:ascii="Times New Roman" w:cs="Times New Roman" w:eastAsia="Times New Roman" w:hAnsi="Times New Roman"/>
          <w:b/>
          <w:bCs/>
          <w:i w:val="false"/>
          <w:iCs w:val="false"/>
          <w:sz w:val="24"/>
          <w:szCs w:val="24"/>
        </w:rPr>
        <w:t xml:space="preserve">reading time is limited</w:t>
      </w:r>
      <w:r>
        <w:rPr>
          <w:rFonts w:ascii="Times New Roman" w:cs="Times New Roman" w:eastAsia="Times New Roman" w:hAnsi="Times New Roman"/>
          <w:b w:val="false"/>
          <w:bCs w:val="false"/>
          <w:i w:val="false"/>
          <w:iCs w:val="false"/>
          <w:sz w:val="24"/>
          <w:szCs w:val="24"/>
        </w:rPr>
        <w:t xml:space="preserve"> [20]. The dominant explanation, the </w:t>
      </w:r>
      <w:r>
        <w:rPr>
          <w:rFonts w:ascii="Times New Roman" w:cs="Times New Roman" w:eastAsia="Times New Roman" w:hAnsi="Times New Roman"/>
          <w:b w:val="false"/>
          <w:bCs w:val="false"/>
          <w:i/>
          <w:iCs/>
          <w:sz w:val="24"/>
          <w:szCs w:val="24"/>
        </w:rPr>
        <w:t xml:space="preserve">shallowing hypothesis</w:t>
      </w:r>
      <w:r>
        <w:rPr>
          <w:rFonts w:ascii="Times New Roman" w:cs="Times New Roman" w:eastAsia="Times New Roman" w:hAnsi="Times New Roman"/>
          <w:b w:val="false"/>
          <w:bCs w:val="false"/>
          <w:i w:val="false"/>
          <w:iCs w:val="false"/>
          <w:sz w:val="24"/>
          <w:szCs w:val="24"/>
        </w:rPr>
        <w:t xml:space="preserve">, holds that screens promote shallower processing and/or impose greater cognitive load than print.</w:t>
      </w:r>
    </w:p>
    <w:p>
      <w:pPr>
        <w:pStyle w:val="Heading3"/>
        <w:keepNext/>
        <w:spacing w:after="160" w:before="280"/>
      </w:pPr>
      <w:r>
        <w:rPr>
          <w:rFonts w:ascii="Times New Roman" w:cs="Times New Roman" w:eastAsia="Times New Roman" w:hAnsi="Times New Roman"/>
          <w:b/>
          <w:bCs/>
          <w:i w:val="false"/>
          <w:iCs w:val="false"/>
          <w:sz w:val="26"/>
          <w:szCs w:val="26"/>
        </w:rPr>
        <w:t xml:space="preserve">7.2 What this implies for the present design — and what it does not</w:t>
      </w:r>
    </w:p>
    <w:p>
      <w:pPr>
        <w:spacing w:after="140" w:line="340"/>
        <w:jc w:val="both"/>
      </w:pPr>
      <w:r>
        <w:rPr>
          <w:rFonts w:ascii="Times New Roman" w:cs="Times New Roman" w:eastAsia="Times New Roman" w:hAnsi="Times New Roman"/>
          <w:b w:val="false"/>
          <w:bCs w:val="false"/>
          <w:i w:val="false"/>
          <w:iCs w:val="false"/>
          <w:sz w:val="24"/>
          <w:szCs w:val="24"/>
        </w:rPr>
        <w:t xml:space="preserve">Two implications follow, and they cut in opposite directions.</w:t>
      </w:r>
    </w:p>
    <w:p>
      <w:pPr>
        <w:spacing w:after="140" w:line="340"/>
        <w:jc w:val="both"/>
      </w:pPr>
      <w:r>
        <w:rPr>
          <w:rFonts w:ascii="Times New Roman" w:cs="Times New Roman" w:eastAsia="Times New Roman" w:hAnsi="Times New Roman"/>
          <w:b w:val="false"/>
          <w:bCs w:val="false"/>
          <w:i w:val="false"/>
          <w:iCs w:val="false"/>
          <w:sz w:val="24"/>
          <w:szCs w:val="24"/>
        </w:rPr>
        <w:t xml:space="preserve">First, a </w:t>
      </w:r>
      <w:r>
        <w:rPr>
          <w:rFonts w:ascii="Times New Roman" w:cs="Times New Roman" w:eastAsia="Times New Roman" w:hAnsi="Times New Roman"/>
          <w:b/>
          <w:bCs/>
          <w:i w:val="false"/>
          <w:iCs w:val="false"/>
          <w:sz w:val="24"/>
          <w:szCs w:val="24"/>
        </w:rPr>
        <w:t xml:space="preserve">within-screen</w:t>
      </w:r>
      <w:r>
        <w:rPr>
          <w:rFonts w:ascii="Times New Roman" w:cs="Times New Roman" w:eastAsia="Times New Roman" w:hAnsi="Times New Roman"/>
          <w:b w:val="false"/>
          <w:bCs w:val="false"/>
          <w:i w:val="false"/>
          <w:iCs w:val="false"/>
          <w:sz w:val="24"/>
          <w:szCs w:val="24"/>
        </w:rPr>
        <w:t xml:space="preserve"> design (in which every condition is presented on the same tablet, and only polarity and text colour vary) is methodologically preferable for the present question, because it removes the medium confound entirely: all conditions inherit whatever screen-inferiority exists, so it cannot differentiate the conditions. The comparison of interest is </w:t>
      </w:r>
      <w:r>
        <w:rPr>
          <w:rFonts w:ascii="Times New Roman" w:cs="Times New Roman" w:eastAsia="Times New Roman" w:hAnsi="Times New Roman"/>
          <w:b w:val="false"/>
          <w:bCs w:val="false"/>
          <w:i/>
          <w:iCs/>
          <w:sz w:val="24"/>
          <w:szCs w:val="24"/>
        </w:rPr>
        <w:t xml:space="preserve">within</w:t>
      </w:r>
      <w:r>
        <w:rPr>
          <w:rFonts w:ascii="Times New Roman" w:cs="Times New Roman" w:eastAsia="Times New Roman" w:hAnsi="Times New Roman"/>
          <w:b w:val="false"/>
          <w:bCs w:val="false"/>
          <w:i w:val="false"/>
          <w:iCs w:val="false"/>
          <w:sz w:val="24"/>
          <w:szCs w:val="24"/>
        </w:rPr>
        <w:t xml:space="preserve"> the digital medium.</w:t>
      </w:r>
    </w:p>
    <w:p>
      <w:pPr>
        <w:spacing w:after="140" w:line="340"/>
        <w:jc w:val="both"/>
      </w:pPr>
      <w:r>
        <w:rPr>
          <w:rFonts w:ascii="Times New Roman" w:cs="Times New Roman" w:eastAsia="Times New Roman" w:hAnsi="Times New Roman"/>
          <w:b w:val="false"/>
          <w:bCs w:val="false"/>
          <w:i w:val="false"/>
          <w:iCs w:val="false"/>
          <w:sz w:val="24"/>
          <w:szCs w:val="24"/>
        </w:rPr>
        <w:t xml:space="preserve">Second, and more cautionary: because the medium effect is moderated by </w:t>
      </w:r>
      <w:r>
        <w:rPr>
          <w:rFonts w:ascii="Times New Roman" w:cs="Times New Roman" w:eastAsia="Times New Roman" w:hAnsi="Times New Roman"/>
          <w:b/>
          <w:bCs/>
          <w:i w:val="false"/>
          <w:iCs w:val="false"/>
          <w:sz w:val="24"/>
          <w:szCs w:val="24"/>
        </w:rPr>
        <w:t xml:space="preserve">time pressure</w:t>
      </w:r>
      <w:r>
        <w:rPr>
          <w:rFonts w:ascii="Times New Roman" w:cs="Times New Roman" w:eastAsia="Times New Roman" w:hAnsi="Times New Roman"/>
          <w:b w:val="false"/>
          <w:bCs w:val="false"/>
          <w:i w:val="false"/>
          <w:iCs w:val="false"/>
          <w:sz w:val="24"/>
          <w:szCs w:val="24"/>
        </w:rPr>
        <w:t xml:space="preserve"> and by </w:t>
      </w:r>
      <w:r>
        <w:rPr>
          <w:rFonts w:ascii="Times New Roman" w:cs="Times New Roman" w:eastAsia="Times New Roman" w:hAnsi="Times New Roman"/>
          <w:b/>
          <w:bCs/>
          <w:i w:val="false"/>
          <w:iCs w:val="false"/>
          <w:sz w:val="24"/>
          <w:szCs w:val="24"/>
        </w:rPr>
        <w:t xml:space="preserve">text genre</w:t>
      </w:r>
      <w:r>
        <w:rPr>
          <w:rFonts w:ascii="Times New Roman" w:cs="Times New Roman" w:eastAsia="Times New Roman" w:hAnsi="Times New Roman"/>
          <w:b w:val="false"/>
          <w:bCs w:val="false"/>
          <w:i w:val="false"/>
          <w:iCs w:val="false"/>
          <w:sz w:val="24"/>
          <w:szCs w:val="24"/>
        </w:rPr>
        <w:t xml:space="preserve"> [20], a comprehension measure embedded in a display-parameter study must standardise both. Passage genre and difficulty must be controlled or counterbalanced, and time pressure must be either eliminated (self-paced reading) or held strictly constant. Otherwise a genuine display effect may be masked by, or confounded with, genre and pacing variance.</w:t>
      </w:r>
    </w:p>
    <w:p>
      <w:pPr>
        <w:spacing w:after="140" w:line="340"/>
        <w:jc w:val="both"/>
      </w:pPr>
      <w:r>
        <w:rPr>
          <w:rFonts w:ascii="Times New Roman" w:cs="Times New Roman" w:eastAsia="Times New Roman" w:hAnsi="Times New Roman"/>
          <w:b w:val="false"/>
          <w:bCs w:val="false"/>
          <w:i w:val="false"/>
          <w:iCs w:val="false"/>
          <w:sz w:val="24"/>
          <w:szCs w:val="24"/>
        </w:rPr>
        <w:t xml:space="preserve">Third, an explicitly psychometric caution: comprehension assessed by a small number of items per condition is a low-information measure. The reliability of a difference score between conditions is bounded by the reliability of the constituent measures, and single-item-per-condition designs are, in general, inadequate for detecting the modest effect sizes plausible for a display-parameter manipulation. Any design in this space must therefore budget an adequate number of comprehension items per condition, or explicitly acknowledge that comprehension is a secondary, exploratory outcome rather than a confirmatory one.</w:t>
      </w:r>
    </w:p>
    <w:p>
      <w:pPr>
        <w:pBdr>
          <w:left w:val="single" w:color="4F8EF7" w:sz="12" w:space="8"/>
        </w:pBdr>
        <w:shd w:fill="F4F7FC" w:color="auto" w:val="clear"/>
        <w:spacing w:after="180" w:before="120" w:line="320"/>
        <w:ind w:left="360" w:right="240"/>
        <w:jc w:val="both"/>
      </w:pPr>
      <w:r>
        <w:rPr>
          <w:rFonts w:ascii="Times New Roman" w:cs="Times New Roman" w:eastAsia="Times New Roman" w:hAnsi="Times New Roman"/>
          <w:b/>
          <w:bCs/>
          <w:i w:val="false"/>
          <w:iCs w:val="false"/>
          <w:sz w:val="24"/>
          <w:szCs w:val="24"/>
        </w:rPr>
        <w:t xml:space="preserve">Critical appraisal.</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Established:</w:t>
      </w:r>
      <w:r>
        <w:rPr>
          <w:rFonts w:ascii="Times New Roman" w:cs="Times New Roman" w:eastAsia="Times New Roman" w:hAnsi="Times New Roman"/>
          <w:b w:val="false"/>
          <w:bCs w:val="false"/>
          <w:i w:val="false"/>
          <w:iCs w:val="false"/>
          <w:sz w:val="24"/>
          <w:szCs w:val="24"/>
        </w:rPr>
        <w:t xml:space="preserve"> print exceeds screen for comprehension on average, moderated by genre and time pressure [20]. </w:t>
      </w:r>
      <w:r>
        <w:rPr>
          <w:rFonts w:ascii="Times New Roman" w:cs="Times New Roman" w:eastAsia="Times New Roman" w:hAnsi="Times New Roman"/>
          <w:b w:val="false"/>
          <w:bCs w:val="false"/>
          <w:i/>
          <w:iCs/>
          <w:sz w:val="24"/>
          <w:szCs w:val="24"/>
        </w:rPr>
        <w:t xml:space="preserve">Not applicable, and important to state:</w:t>
      </w:r>
      <w:r>
        <w:rPr>
          <w:rFonts w:ascii="Times New Roman" w:cs="Times New Roman" w:eastAsia="Times New Roman" w:hAnsi="Times New Roman"/>
          <w:b w:val="false"/>
          <w:bCs w:val="false"/>
          <w:i w:val="false"/>
          <w:iCs w:val="false"/>
          <w:sz w:val="24"/>
          <w:szCs w:val="24"/>
        </w:rPr>
        <w:t xml:space="preserve"> this literature does </w:t>
      </w:r>
      <w:r>
        <w:rPr>
          <w:rFonts w:ascii="Times New Roman" w:cs="Times New Roman" w:eastAsia="Times New Roman" w:hAnsi="Times New Roman"/>
          <w:b/>
          <w:bCs/>
          <w:i w:val="false"/>
          <w:iCs w:val="false"/>
          <w:sz w:val="24"/>
          <w:szCs w:val="24"/>
        </w:rPr>
        <w:t xml:space="preserve">not</w:t>
      </w:r>
      <w:r>
        <w:rPr>
          <w:rFonts w:ascii="Times New Roman" w:cs="Times New Roman" w:eastAsia="Times New Roman" w:hAnsi="Times New Roman"/>
          <w:b w:val="false"/>
          <w:bCs w:val="false"/>
          <w:i w:val="false"/>
          <w:iCs w:val="false"/>
          <w:sz w:val="24"/>
          <w:szCs w:val="24"/>
        </w:rPr>
        <w:t xml:space="preserve"> speak to </w:t>
      </w:r>
      <w:r>
        <w:rPr>
          <w:rFonts w:ascii="Times New Roman" w:cs="Times New Roman" w:eastAsia="Times New Roman" w:hAnsi="Times New Roman"/>
          <w:b w:val="false"/>
          <w:bCs w:val="false"/>
          <w:i/>
          <w:iCs/>
          <w:sz w:val="24"/>
          <w:szCs w:val="24"/>
        </w:rPr>
        <w:t xml:space="preserve">within-screen</w:t>
      </w:r>
      <w:r>
        <w:rPr>
          <w:rFonts w:ascii="Times New Roman" w:cs="Times New Roman" w:eastAsia="Times New Roman" w:hAnsi="Times New Roman"/>
          <w:b w:val="false"/>
          <w:bCs w:val="false"/>
          <w:i w:val="false"/>
          <w:iCs w:val="false"/>
          <w:sz w:val="24"/>
          <w:szCs w:val="24"/>
        </w:rPr>
        <w:t xml:space="preserve"> display-parameter effects; it must not be cited as evidence that dark mode or coloured text impairs comprehension. </w:t>
      </w:r>
      <w:r>
        <w:rPr>
          <w:rFonts w:ascii="Times New Roman" w:cs="Times New Roman" w:eastAsia="Times New Roman" w:hAnsi="Times New Roman"/>
          <w:b w:val="false"/>
          <w:bCs w:val="false"/>
          <w:i/>
          <w:iCs/>
          <w:sz w:val="24"/>
          <w:szCs w:val="24"/>
        </w:rPr>
        <w:t xml:space="preserve">Implication:</w:t>
      </w:r>
      <w:r>
        <w:rPr>
          <w:rFonts w:ascii="Times New Roman" w:cs="Times New Roman" w:eastAsia="Times New Roman" w:hAnsi="Times New Roman"/>
          <w:b w:val="false"/>
          <w:bCs w:val="false"/>
          <w:i w:val="false"/>
          <w:iCs w:val="false"/>
          <w:sz w:val="24"/>
          <w:szCs w:val="24"/>
        </w:rPr>
        <w:t xml:space="preserve"> it constrains the </w:t>
      </w:r>
      <w:r>
        <w:rPr>
          <w:rFonts w:ascii="Times New Roman" w:cs="Times New Roman" w:eastAsia="Times New Roman" w:hAnsi="Times New Roman"/>
          <w:b w:val="false"/>
          <w:bCs w:val="false"/>
          <w:i/>
          <w:iCs/>
          <w:sz w:val="24"/>
          <w:szCs w:val="24"/>
        </w:rPr>
        <w:t xml:space="preserve">measurement</w:t>
      </w:r>
      <w:r>
        <w:rPr>
          <w:rFonts w:ascii="Times New Roman" w:cs="Times New Roman" w:eastAsia="Times New Roman" w:hAnsi="Times New Roman"/>
          <w:b w:val="false"/>
          <w:bCs w:val="false"/>
          <w:i w:val="false"/>
          <w:iCs w:val="false"/>
          <w:sz w:val="24"/>
          <w:szCs w:val="24"/>
        </w:rPr>
        <w:t xml:space="preserve"> of comprehension (genre control, pacing control, item count) rather than the hypothesis under test.</w:t>
      </w:r>
    </w:p>
    <w:p>
      <w:pPr>
        <w:pBdr>
          <w:bottom w:val="single" w:color="AAAAAA" w:sz="6" w:space="1"/>
        </w:pBdr>
        <w:spacing w:after="200" w:before="120"/>
      </w:pPr>
      <w:r>
        <w:rPr>
          <w:rFonts w:ascii="Times New Roman" w:cs="Times New Roman" w:eastAsia="Times New Roman" w:hAnsi="Times New Roman"/>
          <w:sz w:val="24"/>
          <w:szCs w:val="24"/>
        </w:rPr>
        <w:t xml:space="preserve"/>
      </w:r>
    </w:p>
    <w:p>
      <w:pPr>
        <w:pStyle w:val="Heading2"/>
        <w:keepNext/>
        <w:spacing w:after="160" w:before="280"/>
      </w:pPr>
      <w:r>
        <w:rPr>
          <w:rFonts w:ascii="Times New Roman" w:cs="Times New Roman" w:eastAsia="Times New Roman" w:hAnsi="Times New Roman"/>
          <w:b/>
          <w:bCs/>
          <w:i w:val="false"/>
          <w:iCs w:val="false"/>
          <w:sz w:val="28"/>
          <w:szCs w:val="28"/>
        </w:rPr>
        <w:t xml:space="preserve">8. Sustained attention, vigilance and time-on-task</w:t>
      </w:r>
    </w:p>
    <w:p>
      <w:pPr>
        <w:pStyle w:val="Heading3"/>
        <w:keepNext/>
        <w:spacing w:after="160" w:before="280"/>
      </w:pPr>
      <w:r>
        <w:rPr>
          <w:rFonts w:ascii="Times New Roman" w:cs="Times New Roman" w:eastAsia="Times New Roman" w:hAnsi="Times New Roman"/>
          <w:b/>
          <w:bCs/>
          <w:i w:val="false"/>
          <w:iCs w:val="false"/>
          <w:sz w:val="26"/>
          <w:szCs w:val="26"/>
        </w:rPr>
        <w:t xml:space="preserve">8.1 The vigilance decrement</w:t>
      </w:r>
    </w:p>
    <w:p>
      <w:pPr>
        <w:spacing w:after="140" w:line="340"/>
        <w:jc w:val="both"/>
      </w:pPr>
      <w:r>
        <w:rPr>
          <w:rFonts w:ascii="Times New Roman" w:cs="Times New Roman" w:eastAsia="Times New Roman" w:hAnsi="Times New Roman"/>
          <w:b w:val="false"/>
          <w:bCs w:val="false"/>
          <w:i w:val="false"/>
          <w:iCs w:val="false"/>
          <w:sz w:val="24"/>
          <w:szCs w:val="24"/>
        </w:rPr>
        <w:t xml:space="preserve">Prolonged, monotonous visual tasks produce a reliable </w:t>
      </w:r>
      <w:r>
        <w:rPr>
          <w:rFonts w:ascii="Times New Roman" w:cs="Times New Roman" w:eastAsia="Times New Roman" w:hAnsi="Times New Roman"/>
          <w:b/>
          <w:bCs/>
          <w:i w:val="false"/>
          <w:iCs w:val="false"/>
          <w:sz w:val="24"/>
          <w:szCs w:val="24"/>
        </w:rPr>
        <w:t xml:space="preserve">vigilance decrement</w:t>
      </w:r>
      <w:r>
        <w:rPr>
          <w:rFonts w:ascii="Times New Roman" w:cs="Times New Roman" w:eastAsia="Times New Roman" w:hAnsi="Times New Roman"/>
          <w:b w:val="false"/>
          <w:bCs w:val="false"/>
          <w:i w:val="false"/>
          <w:iCs w:val="false"/>
          <w:sz w:val="24"/>
          <w:szCs w:val="24"/>
        </w:rPr>
        <w:t xml:space="preserve">: performance declines with time on task. The leading theoretical account is a </w:t>
      </w:r>
      <w:r>
        <w:rPr>
          <w:rFonts w:ascii="Times New Roman" w:cs="Times New Roman" w:eastAsia="Times New Roman" w:hAnsi="Times New Roman"/>
          <w:b/>
          <w:bCs/>
          <w:i w:val="false"/>
          <w:iCs w:val="false"/>
          <w:sz w:val="24"/>
          <w:szCs w:val="24"/>
        </w:rPr>
        <w:t xml:space="preserve">resource-depletion</w:t>
      </w:r>
      <w:r>
        <w:rPr>
          <w:rFonts w:ascii="Times New Roman" w:cs="Times New Roman" w:eastAsia="Times New Roman" w:hAnsi="Times New Roman"/>
          <w:b w:val="false"/>
          <w:bCs w:val="false"/>
          <w:i w:val="false"/>
          <w:iCs w:val="false"/>
          <w:sz w:val="24"/>
          <w:szCs w:val="24"/>
        </w:rPr>
        <w:t xml:space="preserve"> ("resource theory") account, under which sustained attention consumes limited information-processing resources that must be replenished; the competing account attributes the decrement to the under-arousing, "mindless" nature of such tasks [21]. Experimental work comparing task types has supported the resource account, with evidence that the workload of vigilance is high, sensitive to processing demands, and subjectively stressful, and that the decrement reflects </w:t>
      </w:r>
      <w:r>
        <w:rPr>
          <w:rFonts w:ascii="Times New Roman" w:cs="Times New Roman" w:eastAsia="Times New Roman" w:hAnsi="Times New Roman"/>
          <w:b/>
          <w:bCs/>
          <w:i w:val="false"/>
          <w:iCs w:val="false"/>
          <w:sz w:val="24"/>
          <w:szCs w:val="24"/>
        </w:rPr>
        <w:t xml:space="preserve">limitations in effortful attention rather than mindlessness</w:t>
      </w:r>
      <w:r>
        <w:rPr>
          <w:rFonts w:ascii="Times New Roman" w:cs="Times New Roman" w:eastAsia="Times New Roman" w:hAnsi="Times New Roman"/>
          <w:b w:val="false"/>
          <w:bCs w:val="false"/>
          <w:i w:val="false"/>
          <w:iCs w:val="false"/>
          <w:sz w:val="24"/>
          <w:szCs w:val="24"/>
        </w:rPr>
        <w:t xml:space="preserve"> [21].</w:t>
      </w:r>
    </w:p>
    <w:p>
      <w:pPr>
        <w:pStyle w:val="Heading3"/>
        <w:keepNext/>
        <w:spacing w:after="160" w:before="280"/>
      </w:pPr>
      <w:r>
        <w:rPr>
          <w:rFonts w:ascii="Times New Roman" w:cs="Times New Roman" w:eastAsia="Times New Roman" w:hAnsi="Times New Roman"/>
          <w:b/>
          <w:bCs/>
          <w:i w:val="false"/>
          <w:iCs w:val="false"/>
          <w:sz w:val="26"/>
          <w:szCs w:val="26"/>
        </w:rPr>
        <w:t xml:space="preserve">8.2 Why this is central rather than peripheral to the present research</w:t>
      </w:r>
    </w:p>
    <w:p>
      <w:pPr>
        <w:spacing w:after="140" w:line="340"/>
        <w:jc w:val="both"/>
      </w:pPr>
      <w:r>
        <w:rPr>
          <w:rFonts w:ascii="Times New Roman" w:cs="Times New Roman" w:eastAsia="Times New Roman" w:hAnsi="Times New Roman"/>
          <w:b w:val="false"/>
          <w:bCs w:val="false"/>
          <w:i w:val="false"/>
          <w:iCs w:val="false"/>
          <w:sz w:val="24"/>
          <w:szCs w:val="24"/>
        </w:rPr>
        <w:t xml:space="preserve">Three consequences follow for a study of prolonged reading under varying display parameters.</w:t>
      </w:r>
    </w:p>
    <w:p>
      <w:pPr>
        <w:spacing w:after="120" w:line="320"/>
        <w:ind w:left="600" w:hanging="600"/>
        <w:jc w:val="both"/>
      </w:pPr>
      <w:r>
        <w:rPr>
          <w:rFonts w:ascii="Times New Roman" w:cs="Times New Roman" w:eastAsia="Times New Roman" w:hAnsi="Times New Roman"/>
          <w:sz w:val="24"/>
          <w:szCs w:val="24"/>
        </w:rPr>
        <w:t xml:space="preserve">1.</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Attentional outcomes and visual-fatigue outcomes share a driver.</w:t>
      </w:r>
      <w:r>
        <w:rPr>
          <w:rFonts w:ascii="Times New Roman" w:cs="Times New Roman" w:eastAsia="Times New Roman" w:hAnsi="Times New Roman"/>
          <w:b w:val="false"/>
          <w:bCs w:val="false"/>
          <w:i w:val="false"/>
          <w:iCs w:val="false"/>
          <w:sz w:val="24"/>
          <w:szCs w:val="24"/>
        </w:rPr>
        <w:t xml:space="preserve"> Both degrade with time on task. A study that measures only visual fatigue over an hour-scale session cannot distinguish display-induced ocular fatigue from generic task-induced attentional decline. Measuring </w:t>
      </w:r>
      <w:r>
        <w:rPr>
          <w:rFonts w:ascii="Times New Roman" w:cs="Times New Roman" w:eastAsia="Times New Roman" w:hAnsi="Times New Roman"/>
          <w:b/>
          <w:bCs/>
          <w:i w:val="false"/>
          <w:iCs w:val="false"/>
          <w:sz w:val="24"/>
          <w:szCs w:val="24"/>
        </w:rPr>
        <w:t xml:space="preserve">both</w:t>
      </w:r>
      <w:r>
        <w:rPr>
          <w:rFonts w:ascii="Times New Roman" w:cs="Times New Roman" w:eastAsia="Times New Roman" w:hAnsi="Times New Roman"/>
          <w:b w:val="false"/>
          <w:bCs w:val="false"/>
          <w:i w:val="false"/>
          <w:iCs w:val="false"/>
          <w:sz w:val="24"/>
          <w:szCs w:val="24"/>
        </w:rPr>
        <w:t xml:space="preserve"> — and modelling serial position — is therefore not an optional extra but a requirement for interpretability.</w:t>
      </w:r>
    </w:p>
    <w:p>
      <w:pPr>
        <w:spacing w:after="120" w:line="320"/>
        <w:ind w:left="600" w:hanging="600"/>
        <w:jc w:val="both"/>
      </w:pPr>
      <w:r>
        <w:rPr>
          <w:rFonts w:ascii="Times New Roman" w:cs="Times New Roman" w:eastAsia="Times New Roman" w:hAnsi="Times New Roman"/>
          <w:sz w:val="24"/>
          <w:szCs w:val="24"/>
        </w:rPr>
        <w:t xml:space="preserve">2.</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Time-on-task must be counterbalanced.</w:t>
      </w:r>
      <w:r>
        <w:rPr>
          <w:rFonts w:ascii="Times New Roman" w:cs="Times New Roman" w:eastAsia="Times New Roman" w:hAnsi="Times New Roman"/>
          <w:b w:val="false"/>
          <w:bCs w:val="false"/>
          <w:i w:val="false"/>
          <w:iCs w:val="false"/>
          <w:sz w:val="24"/>
          <w:szCs w:val="24"/>
        </w:rPr>
        <w:t xml:space="preserve"> If conditions were presented in a fixed order, the vigilance decrement would be perfectly confounded with condition. A balanced counterbalancing scheme is mandatory (see §12).</w:t>
      </w:r>
    </w:p>
    <w:p>
      <w:pPr>
        <w:spacing w:after="120" w:line="320"/>
        <w:ind w:left="600" w:hanging="600"/>
        <w:jc w:val="both"/>
      </w:pP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Vigilance is effortful and stressful, not mindless</w:t>
      </w:r>
      <w:r>
        <w:rPr>
          <w:rFonts w:ascii="Times New Roman" w:cs="Times New Roman" w:eastAsia="Times New Roman" w:hAnsi="Times New Roman"/>
          <w:b w:val="false"/>
          <w:bCs w:val="false"/>
          <w:i w:val="false"/>
          <w:iCs w:val="false"/>
          <w:sz w:val="24"/>
          <w:szCs w:val="24"/>
        </w:rPr>
        <w:t xml:space="preserve"> [21] — hence </w:t>
      </w:r>
      <w:r>
        <w:rPr>
          <w:rFonts w:ascii="Times New Roman" w:cs="Times New Roman" w:eastAsia="Times New Roman" w:hAnsi="Times New Roman"/>
          <w:b/>
          <w:bCs/>
          <w:i w:val="false"/>
          <w:iCs w:val="false"/>
          <w:sz w:val="24"/>
          <w:szCs w:val="24"/>
        </w:rPr>
        <w:t xml:space="preserve">disengagement and boredom are genuine threats to data quality</w:t>
      </w:r>
      <w:r>
        <w:rPr>
          <w:rFonts w:ascii="Times New Roman" w:cs="Times New Roman" w:eastAsia="Times New Roman" w:hAnsi="Times New Roman"/>
          <w:b w:val="false"/>
          <w:bCs w:val="false"/>
          <w:i w:val="false"/>
          <w:iCs w:val="false"/>
          <w:sz w:val="24"/>
          <w:szCs w:val="24"/>
        </w:rPr>
        <w:t xml:space="preserve">, not merely nuisances. They mimic visual fatigue phenomenologically (slower and more variable responses, lapses, careless responding) and must therefore be measured and either modelled or used as exclusion criteria, rather than assumed absent.</w:t>
      </w:r>
    </w:p>
    <w:p>
      <w:pPr>
        <w:pStyle w:val="Heading3"/>
        <w:keepNext/>
        <w:spacing w:after="160" w:before="280"/>
      </w:pPr>
      <w:r>
        <w:rPr>
          <w:rFonts w:ascii="Times New Roman" w:cs="Times New Roman" w:eastAsia="Times New Roman" w:hAnsi="Times New Roman"/>
          <w:b/>
          <w:bCs/>
          <w:i w:val="false"/>
          <w:iCs w:val="false"/>
          <w:sz w:val="26"/>
          <w:szCs w:val="26"/>
        </w:rPr>
        <w:t xml:space="preserve">8.3 Measurement of sustained attention</w:t>
      </w:r>
    </w:p>
    <w:p>
      <w:pPr>
        <w:spacing w:after="140" w:line="340"/>
        <w:jc w:val="both"/>
      </w:pPr>
      <w:r>
        <w:rPr>
          <w:rFonts w:ascii="Times New Roman" w:cs="Times New Roman" w:eastAsia="Times New Roman" w:hAnsi="Times New Roman"/>
          <w:b w:val="false"/>
          <w:bCs w:val="false"/>
          <w:i w:val="false"/>
          <w:iCs w:val="false"/>
          <w:sz w:val="24"/>
          <w:szCs w:val="24"/>
        </w:rPr>
        <w:t xml:space="preserve">The reference paradigm for fatigue-sensitive sustained attention is the </w:t>
      </w:r>
      <w:r>
        <w:rPr>
          <w:rFonts w:ascii="Times New Roman" w:cs="Times New Roman" w:eastAsia="Times New Roman" w:hAnsi="Times New Roman"/>
          <w:b/>
          <w:bCs/>
          <w:i w:val="false"/>
          <w:iCs w:val="false"/>
          <w:sz w:val="24"/>
          <w:szCs w:val="24"/>
        </w:rPr>
        <w:t xml:space="preserve">Psychomotor Vigilance Test (PVT)</w:t>
      </w:r>
      <w:r>
        <w:rPr>
          <w:rFonts w:ascii="Times New Roman" w:cs="Times New Roman" w:eastAsia="Times New Roman" w:hAnsi="Times New Roman"/>
          <w:b w:val="false"/>
          <w:bCs w:val="false"/>
          <w:i w:val="false"/>
          <w:iCs w:val="false"/>
          <w:sz w:val="24"/>
          <w:szCs w:val="24"/>
        </w:rPr>
        <w:t xml:space="preserve">, which has been extensively validated as sensitive to deficits in attention arising from sleep loss and circadian misalignment, and which yields </w:t>
      </w:r>
      <w:r>
        <w:rPr>
          <w:rFonts w:ascii="Times New Roman" w:cs="Times New Roman" w:eastAsia="Times New Roman" w:hAnsi="Times New Roman"/>
          <w:b/>
          <w:bCs/>
          <w:i w:val="false"/>
          <w:iCs w:val="false"/>
          <w:sz w:val="24"/>
          <w:szCs w:val="24"/>
        </w:rPr>
        <w:t xml:space="preserve">lapses</w:t>
      </w:r>
      <w:r>
        <w:rPr>
          <w:rFonts w:ascii="Times New Roman" w:cs="Times New Roman" w:eastAsia="Times New Roman" w:hAnsi="Times New Roman"/>
          <w:b w:val="false"/>
          <w:bCs w:val="false"/>
          <w:i w:val="false"/>
          <w:iCs w:val="false"/>
          <w:sz w:val="24"/>
          <w:szCs w:val="24"/>
        </w:rPr>
        <w:t xml:space="preserve"> (long reaction times) and reaction-time variability as its principal fatigue-sensitive indices [22]. Reaction-time </w:t>
      </w:r>
      <w:r>
        <w:rPr>
          <w:rFonts w:ascii="Times New Roman" w:cs="Times New Roman" w:eastAsia="Times New Roman" w:hAnsi="Times New Roman"/>
          <w:b w:val="false"/>
          <w:bCs w:val="false"/>
          <w:i/>
          <w:iCs/>
          <w:sz w:val="24"/>
          <w:szCs w:val="24"/>
        </w:rPr>
        <w:t xml:space="preserve">variability</w:t>
      </w:r>
      <w:r>
        <w:rPr>
          <w:rFonts w:ascii="Times New Roman" w:cs="Times New Roman" w:eastAsia="Times New Roman" w:hAnsi="Times New Roman"/>
          <w:b w:val="false"/>
          <w:bCs w:val="false"/>
          <w:i w:val="false"/>
          <w:iCs w:val="false"/>
          <w:sz w:val="24"/>
          <w:szCs w:val="24"/>
        </w:rPr>
        <w:t xml:space="preserve"> and lapse frequency are generally more sensitive to fatigue than mean reaction time. Signal-detection-theoretic analysis (sensitivity d′ and response bias c) additionally permits separation of perceptual sensitivity from decision criterion, which is desirable when a display manipulation may plausibly affect stimulus discriminability.</w:t>
      </w:r>
    </w:p>
    <w:p>
      <w:pPr>
        <w:pBdr>
          <w:left w:val="single" w:color="4F8EF7" w:sz="12" w:space="8"/>
        </w:pBdr>
        <w:shd w:fill="F4F7FC" w:color="auto" w:val="clear"/>
        <w:spacing w:after="180" w:before="120" w:line="320"/>
        <w:ind w:left="360" w:right="240"/>
        <w:jc w:val="both"/>
      </w:pPr>
      <w:r>
        <w:rPr>
          <w:rFonts w:ascii="Times New Roman" w:cs="Times New Roman" w:eastAsia="Times New Roman" w:hAnsi="Times New Roman"/>
          <w:b/>
          <w:bCs/>
          <w:i w:val="false"/>
          <w:iCs w:val="false"/>
          <w:sz w:val="24"/>
          <w:szCs w:val="24"/>
        </w:rPr>
        <w:t xml:space="preserve">Critical appraisal.</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Established:</w:t>
      </w:r>
      <w:r>
        <w:rPr>
          <w:rFonts w:ascii="Times New Roman" w:cs="Times New Roman" w:eastAsia="Times New Roman" w:hAnsi="Times New Roman"/>
          <w:b w:val="false"/>
          <w:bCs w:val="false"/>
          <w:i w:val="false"/>
          <w:iCs w:val="false"/>
          <w:sz w:val="24"/>
          <w:szCs w:val="24"/>
        </w:rPr>
        <w:t xml:space="preserve"> time-on-task produces a resource-limited vigilance decrement; lapses and RT variability are its sensitive indices [21,22]. </w:t>
      </w:r>
      <w:r>
        <w:rPr>
          <w:rFonts w:ascii="Times New Roman" w:cs="Times New Roman" w:eastAsia="Times New Roman" w:hAnsi="Times New Roman"/>
          <w:b w:val="false"/>
          <w:bCs w:val="false"/>
          <w:i/>
          <w:iCs/>
          <w:sz w:val="24"/>
          <w:szCs w:val="24"/>
        </w:rPr>
        <w:t xml:space="preserve">Implication:</w:t>
      </w:r>
      <w:r>
        <w:rPr>
          <w:rFonts w:ascii="Times New Roman" w:cs="Times New Roman" w:eastAsia="Times New Roman" w:hAnsi="Times New Roman"/>
          <w:b w:val="false"/>
          <w:bCs w:val="false"/>
          <w:i w:val="false"/>
          <w:iCs w:val="false"/>
          <w:sz w:val="24"/>
          <w:szCs w:val="24"/>
        </w:rPr>
        <w:t xml:space="preserve"> sustained attention should be an outcome domain in its own right; serial position must be counterbalanced and modelled; and disengagement must be instrumented.</w:t>
      </w:r>
    </w:p>
    <w:p>
      <w:pPr>
        <w:pBdr>
          <w:bottom w:val="single" w:color="AAAAAA" w:sz="6" w:space="1"/>
        </w:pBdr>
        <w:spacing w:after="200" w:before="120"/>
      </w:pPr>
      <w:r>
        <w:rPr>
          <w:rFonts w:ascii="Times New Roman" w:cs="Times New Roman" w:eastAsia="Times New Roman" w:hAnsi="Times New Roman"/>
          <w:sz w:val="24"/>
          <w:szCs w:val="24"/>
        </w:rPr>
        <w:t xml:space="preserve"/>
      </w:r>
    </w:p>
    <w:p>
      <w:pPr>
        <w:pStyle w:val="Heading2"/>
        <w:keepNext/>
        <w:spacing w:after="160" w:before="280"/>
      </w:pPr>
      <w:r>
        <w:rPr>
          <w:rFonts w:ascii="Times New Roman" w:cs="Times New Roman" w:eastAsia="Times New Roman" w:hAnsi="Times New Roman"/>
          <w:b/>
          <w:bCs/>
          <w:i w:val="false"/>
          <w:iCs w:val="false"/>
          <w:sz w:val="28"/>
          <w:szCs w:val="28"/>
        </w:rPr>
        <w:t xml:space="preserve">9. Subjective measurement of digital eye strain</w:t>
      </w:r>
    </w:p>
    <w:p>
      <w:pPr>
        <w:pStyle w:val="Heading3"/>
        <w:keepNext/>
        <w:spacing w:after="160" w:before="280"/>
      </w:pPr>
      <w:r>
        <w:rPr>
          <w:rFonts w:ascii="Times New Roman" w:cs="Times New Roman" w:eastAsia="Times New Roman" w:hAnsi="Times New Roman"/>
          <w:b/>
          <w:bCs/>
          <w:i w:val="false"/>
          <w:iCs w:val="false"/>
          <w:sz w:val="26"/>
          <w:szCs w:val="26"/>
        </w:rPr>
        <w:t xml:space="preserve">9.1 Validated instruments</w:t>
      </w:r>
    </w:p>
    <w:p>
      <w:pPr>
        <w:spacing w:after="140" w:line="340"/>
        <w:jc w:val="both"/>
      </w:pPr>
      <w:r>
        <w:rPr>
          <w:rFonts w:ascii="Times New Roman" w:cs="Times New Roman" w:eastAsia="Times New Roman" w:hAnsi="Times New Roman"/>
          <w:b w:val="false"/>
          <w:bCs w:val="false"/>
          <w:i w:val="false"/>
          <w:iCs w:val="false"/>
          <w:sz w:val="24"/>
          <w:szCs w:val="24"/>
        </w:rPr>
        <w:t xml:space="preserve">Contemporary reviews identify </w:t>
      </w:r>
      <w:r>
        <w:rPr>
          <w:rFonts w:ascii="Times New Roman" w:cs="Times New Roman" w:eastAsia="Times New Roman" w:hAnsi="Times New Roman"/>
          <w:b/>
          <w:bCs/>
          <w:i w:val="false"/>
          <w:iCs w:val="false"/>
          <w:sz w:val="24"/>
          <w:szCs w:val="24"/>
        </w:rPr>
        <w:t xml:space="preserve">two</w:t>
      </w:r>
      <w:r>
        <w:rPr>
          <w:rFonts w:ascii="Times New Roman" w:cs="Times New Roman" w:eastAsia="Times New Roman" w:hAnsi="Times New Roman"/>
          <w:b w:val="false"/>
          <w:bCs w:val="false"/>
          <w:i w:val="false"/>
          <w:iCs w:val="false"/>
          <w:sz w:val="24"/>
          <w:szCs w:val="24"/>
        </w:rPr>
        <w:t xml:space="preserve"> validated, widely used DES questionnaires: the </w:t>
      </w:r>
      <w:r>
        <w:rPr>
          <w:rFonts w:ascii="Times New Roman" w:cs="Times New Roman" w:eastAsia="Times New Roman" w:hAnsi="Times New Roman"/>
          <w:b/>
          <w:bCs/>
          <w:i w:val="false"/>
          <w:iCs w:val="false"/>
          <w:sz w:val="24"/>
          <w:szCs w:val="24"/>
        </w:rPr>
        <w:t xml:space="preserve">Computer Vision Syndrome Questionnaire (CVS-Q)</w:t>
      </w:r>
      <w:r>
        <w:rPr>
          <w:rFonts w:ascii="Times New Roman" w:cs="Times New Roman" w:eastAsia="Times New Roman" w:hAnsi="Times New Roman"/>
          <w:b w:val="false"/>
          <w:bCs w:val="false"/>
          <w:i w:val="false"/>
          <w:iCs w:val="false"/>
          <w:sz w:val="24"/>
          <w:szCs w:val="24"/>
        </w:rPr>
        <w:t xml:space="preserve"> and the </w:t>
      </w:r>
      <w:r>
        <w:rPr>
          <w:rFonts w:ascii="Times New Roman" w:cs="Times New Roman" w:eastAsia="Times New Roman" w:hAnsi="Times New Roman"/>
          <w:b/>
          <w:bCs/>
          <w:i w:val="false"/>
          <w:iCs w:val="false"/>
          <w:sz w:val="24"/>
          <w:szCs w:val="24"/>
        </w:rPr>
        <w:t xml:space="preserve">Computer Vision Symptom Scale (CVSS17)</w:t>
      </w:r>
      <w:r>
        <w:rPr>
          <w:rFonts w:ascii="Times New Roman" w:cs="Times New Roman" w:eastAsia="Times New Roman" w:hAnsi="Times New Roman"/>
          <w:b w:val="false"/>
          <w:bCs w:val="false"/>
          <w:i w:val="false"/>
          <w:iCs w:val="false"/>
          <w:sz w:val="24"/>
          <w:szCs w:val="24"/>
        </w:rPr>
        <w:t xml:space="preserve"> [4].</w:t>
      </w:r>
    </w:p>
    <w:p>
      <w:pPr>
        <w:spacing w:after="140" w:line="340"/>
        <w:jc w:val="both"/>
      </w:pPr>
      <w:r>
        <w:rPr>
          <w:rFonts w:ascii="Times New Roman" w:cs="Times New Roman" w:eastAsia="Times New Roman" w:hAnsi="Times New Roman"/>
          <w:b w:val="false"/>
          <w:bCs w:val="false"/>
          <w:i w:val="false"/>
          <w:iCs w:val="false"/>
          <w:sz w:val="24"/>
          <w:szCs w:val="24"/>
        </w:rPr>
        <w:t xml:space="preserve">The </w:t>
      </w:r>
      <w:r>
        <w:rPr>
          <w:rFonts w:ascii="Times New Roman" w:cs="Times New Roman" w:eastAsia="Times New Roman" w:hAnsi="Times New Roman"/>
          <w:b/>
          <w:bCs/>
          <w:i w:val="false"/>
          <w:iCs w:val="false"/>
          <w:sz w:val="24"/>
          <w:szCs w:val="24"/>
        </w:rPr>
        <w:t xml:space="preserve">CVS-Q</w:t>
      </w:r>
      <w:r>
        <w:rPr>
          <w:rFonts w:ascii="Times New Roman" w:cs="Times New Roman" w:eastAsia="Times New Roman" w:hAnsi="Times New Roman"/>
          <w:b w:val="false"/>
          <w:bCs w:val="false"/>
          <w:i w:val="false"/>
          <w:iCs w:val="false"/>
          <w:sz w:val="24"/>
          <w:szCs w:val="24"/>
        </w:rPr>
        <w:t xml:space="preserve"> was developed and validated with explicit psychometric method [23]. It assesses the </w:t>
      </w:r>
      <w:r>
        <w:rPr>
          <w:rFonts w:ascii="Times New Roman" w:cs="Times New Roman" w:eastAsia="Times New Roman" w:hAnsi="Times New Roman"/>
          <w:b/>
          <w:bCs/>
          <w:i w:val="false"/>
          <w:iCs w:val="false"/>
          <w:sz w:val="24"/>
          <w:szCs w:val="24"/>
        </w:rPr>
        <w:t xml:space="preserve">frequency and intensity of 16 symptoms</w:t>
      </w:r>
      <w:r>
        <w:rPr>
          <w:rFonts w:ascii="Times New Roman" w:cs="Times New Roman" w:eastAsia="Times New Roman" w:hAnsi="Times New Roman"/>
          <w:b w:val="false"/>
          <w:bCs w:val="false"/>
          <w:i w:val="false"/>
          <w:iCs w:val="false"/>
          <w:sz w:val="24"/>
          <w:szCs w:val="24"/>
        </w:rPr>
        <w:t xml:space="preserve"> on a single rating scale that fits the </w:t>
      </w:r>
      <w:r>
        <w:rPr>
          <w:rFonts w:ascii="Times New Roman" w:cs="Times New Roman" w:eastAsia="Times New Roman" w:hAnsi="Times New Roman"/>
          <w:b/>
          <w:bCs/>
          <w:i w:val="false"/>
          <w:iCs w:val="false"/>
          <w:sz w:val="24"/>
          <w:szCs w:val="24"/>
        </w:rPr>
        <w:t xml:space="preserve">Rasch</w:t>
      </w:r>
      <w:r>
        <w:rPr>
          <w:rFonts w:ascii="Times New Roman" w:cs="Times New Roman" w:eastAsia="Times New Roman" w:hAnsi="Times New Roman"/>
          <w:b w:val="false"/>
          <w:bCs w:val="false"/>
          <w:i w:val="false"/>
          <w:iCs w:val="false"/>
          <w:sz w:val="24"/>
          <w:szCs w:val="24"/>
        </w:rPr>
        <w:t xml:space="preserve"> rating-scale model; content validity was established with expert panels across occupational health, optometry and ophthalmology; criterion validity yielded </w:t>
      </w:r>
      <w:r>
        <w:rPr>
          <w:rFonts w:ascii="Times New Roman" w:cs="Times New Roman" w:eastAsia="Times New Roman" w:hAnsi="Times New Roman"/>
          <w:b/>
          <w:bCs/>
          <w:i w:val="false"/>
          <w:iCs w:val="false"/>
          <w:sz w:val="24"/>
          <w:szCs w:val="24"/>
        </w:rPr>
        <w:t xml:space="preserve">sensitivity and specificity both above 70%</w:t>
      </w:r>
      <w:r>
        <w:rPr>
          <w:rFonts w:ascii="Times New Roman" w:cs="Times New Roman" w:eastAsia="Times New Roman" w:hAnsi="Times New Roman"/>
          <w:b w:val="false"/>
          <w:bCs w:val="false"/>
          <w:i w:val="false"/>
          <w:iCs w:val="false"/>
          <w:sz w:val="24"/>
          <w:szCs w:val="24"/>
        </w:rPr>
        <w:t xml:space="preserve">; and test–retest reliability was good, with an </w:t>
      </w:r>
      <w:r>
        <w:rPr>
          <w:rFonts w:ascii="Times New Roman" w:cs="Times New Roman" w:eastAsia="Times New Roman" w:hAnsi="Times New Roman"/>
          <w:b/>
          <w:bCs/>
          <w:i w:val="false"/>
          <w:iCs w:val="false"/>
          <w:sz w:val="24"/>
          <w:szCs w:val="24"/>
        </w:rPr>
        <w:t xml:space="preserve">intraclass correlation coefficient of 0.802 (95% CI 0.673–0.884)</w:t>
      </w:r>
      <w:r>
        <w:rPr>
          <w:rFonts w:ascii="Times New Roman" w:cs="Times New Roman" w:eastAsia="Times New Roman" w:hAnsi="Times New Roman"/>
          <w:b w:val="false"/>
          <w:bCs w:val="false"/>
          <w:i w:val="false"/>
          <w:iCs w:val="false"/>
          <w:sz w:val="24"/>
          <w:szCs w:val="24"/>
        </w:rPr>
        <w:t xml:space="preserve"> for scores and </w:t>
      </w:r>
      <w:r>
        <w:rPr>
          <w:rFonts w:ascii="Times New Roman" w:cs="Times New Roman" w:eastAsia="Times New Roman" w:hAnsi="Times New Roman"/>
          <w:b/>
          <w:bCs/>
          <w:i w:val="false"/>
          <w:iCs w:val="false"/>
          <w:sz w:val="24"/>
          <w:szCs w:val="24"/>
        </w:rPr>
        <w:t xml:space="preserve">Cohen's κ = 0.612 (95% CI 0.384–0.839)</w:t>
      </w:r>
      <w:r>
        <w:rPr>
          <w:rFonts w:ascii="Times New Roman" w:cs="Times New Roman" w:eastAsia="Times New Roman" w:hAnsi="Times New Roman"/>
          <w:b w:val="false"/>
          <w:bCs w:val="false"/>
          <w:i w:val="false"/>
          <w:iCs w:val="false"/>
          <w:sz w:val="24"/>
          <w:szCs w:val="24"/>
        </w:rPr>
        <w:t xml:space="preserve"> for CVS classification [23]. The instrument has since been cross-culturally adapted and re-validated in further languages, with a Portuguese validation in 280 workers reporting Cronbach's α = 0.793, ICC = 0.847 (95% CI 0.764–0.902), sensitivity 78.5%, specificity 70.7%, area under the ROC curve 0.832 (95% CI 0.784–0.879), convergent validity with the Ocular Surface Disease Index (Spearman ρ = 0.728, p &lt; 0.001), a single-factor structure accounting for 37.7% of common variance, and a cut-off of ≥7 points [24]; and an Italian adaptation reporting a CVS prevalence of 62.5% in its validation sample [25].</w:t>
      </w:r>
    </w:p>
    <w:p>
      <w:pPr>
        <w:pStyle w:val="Heading3"/>
        <w:keepNext/>
        <w:spacing w:after="160" w:before="280"/>
      </w:pPr>
      <w:r>
        <w:rPr>
          <w:rFonts w:ascii="Times New Roman" w:cs="Times New Roman" w:eastAsia="Times New Roman" w:hAnsi="Times New Roman"/>
          <w:b/>
          <w:bCs/>
          <w:i w:val="false"/>
          <w:iCs w:val="false"/>
          <w:sz w:val="26"/>
          <w:szCs w:val="26"/>
        </w:rPr>
        <w:t xml:space="preserve">9.2 Instrument choice is not neutral</w:t>
      </w:r>
    </w:p>
    <w:p>
      <w:pPr>
        <w:spacing w:after="140" w:line="340"/>
        <w:jc w:val="both"/>
      </w:pPr>
      <w:r>
        <w:rPr>
          <w:rFonts w:ascii="Times New Roman" w:cs="Times New Roman" w:eastAsia="Times New Roman" w:hAnsi="Times New Roman"/>
          <w:b w:val="false"/>
          <w:bCs w:val="false"/>
          <w:i w:val="false"/>
          <w:iCs w:val="false"/>
          <w:sz w:val="24"/>
          <w:szCs w:val="24"/>
        </w:rPr>
        <w:t xml:space="preserve">An important, easily overlooked finding from the prevalence meta-analysis: pooled CVS prevalence was *</w:t>
      </w:r>
      <w:r>
        <w:rPr>
          <w:rFonts w:ascii="Times New Roman" w:cs="Times New Roman" w:eastAsia="Times New Roman" w:hAnsi="Times New Roman"/>
          <w:b w:val="false"/>
          <w:bCs w:val="false"/>
          <w:i/>
          <w:iCs/>
          <w:sz w:val="24"/>
          <w:szCs w:val="24"/>
        </w:rPr>
        <w:t xml:space="preserve">higher in studies that did </w:t>
      </w:r>
      <w:r>
        <w:rPr>
          <w:rFonts w:ascii="Times New Roman" w:cs="Times New Roman" w:eastAsia="Times New Roman" w:hAnsi="Times New Roman"/>
          <w:b w:val="false"/>
          <w:bCs w:val="false"/>
          <w:i w:val="false"/>
          <w:iCs w:val="false"/>
          <w:sz w:val="24"/>
          <w:szCs w:val="24"/>
        </w:rPr>
        <w:t xml:space="preserve">not</w:t>
      </w:r>
      <w:r>
        <w:rPr>
          <w:rFonts w:ascii="Times New Roman" w:cs="Times New Roman" w:eastAsia="Times New Roman" w:hAnsi="Times New Roman"/>
          <w:b w:val="false"/>
          <w:bCs w:val="false"/>
          <w:i/>
          <w:iCs/>
          <w:sz w:val="24"/>
          <w:szCs w:val="24"/>
        </w:rPr>
        <w:t xml:space="preserve"> use the CVS-Q (75.4%)</w:t>
      </w:r>
      <w:r>
        <w:rPr>
          <w:rFonts w:ascii="Times New Roman" w:cs="Times New Roman" w:eastAsia="Times New Roman" w:hAnsi="Times New Roman"/>
          <w:b w:val="false"/>
          <w:bCs w:val="false"/>
          <w:i/>
          <w:iCs/>
          <w:sz w:val="24"/>
          <w:szCs w:val="24"/>
        </w:rPr>
        <w:t xml:space="preserve">, and in meta-regression, use of the CVS-Q scale was </w:t>
      </w:r>
      <w:r>
        <w:rPr>
          <w:rFonts w:ascii="Times New Roman" w:cs="Times New Roman" w:eastAsia="Times New Roman" w:hAnsi="Times New Roman"/>
          <w:b w:val="false"/>
          <w:bCs w:val="false"/>
          <w:i/>
          <w:iCs/>
          <w:sz w:val="24"/>
          <w:szCs w:val="24"/>
        </w:rPr>
        <w:t xml:space="preserve">associated with a lower estimated prevalence</w:t>
      </w:r>
      <w:r>
        <w:rPr>
          <w:rFonts w:ascii="Times New Roman" w:cs="Times New Roman" w:eastAsia="Times New Roman" w:hAnsi="Times New Roman"/>
          <w:b w:val="false"/>
          <w:bCs w:val="false"/>
          <w:i w:val="false"/>
          <w:iCs w:val="false"/>
          <w:sz w:val="24"/>
          <w:szCs w:val="24"/>
        </w:rPr>
        <w:t xml:space="preserve">* [1]. In other words, non-validated ad hoc symptom checklists appear to inflate prevalence. This is direct empirical justification for using a validated instrument with a defined cut-off, rather than a bespoke symptom list, as the primary subjective endpoint.</w:t>
      </w:r>
    </w:p>
    <w:p>
      <w:pPr>
        <w:pStyle w:val="Heading3"/>
        <w:keepNext/>
        <w:spacing w:after="160" w:before="280"/>
      </w:pPr>
      <w:r>
        <w:rPr>
          <w:rFonts w:ascii="Times New Roman" w:cs="Times New Roman" w:eastAsia="Times New Roman" w:hAnsi="Times New Roman"/>
          <w:b/>
          <w:bCs/>
          <w:i w:val="false"/>
          <w:iCs w:val="false"/>
          <w:sz w:val="26"/>
          <w:szCs w:val="26"/>
        </w:rPr>
        <w:t xml:space="preserve">9.3 The subjective–objective dissociation</w:t>
      </w:r>
    </w:p>
    <w:p>
      <w:pPr>
        <w:spacing w:after="140" w:line="340"/>
        <w:jc w:val="both"/>
      </w:pPr>
      <w:r>
        <w:rPr>
          <w:rFonts w:ascii="Times New Roman" w:cs="Times New Roman" w:eastAsia="Times New Roman" w:hAnsi="Times New Roman"/>
          <w:b w:val="false"/>
          <w:bCs w:val="false"/>
          <w:i w:val="false"/>
          <w:iCs w:val="false"/>
          <w:sz w:val="24"/>
          <w:szCs w:val="24"/>
        </w:rPr>
        <w:t xml:space="preserve">A recurring and unresolved problem is stated bluntly in the authoritative review literature: DES may be measured by questionnaire, or by objective evaluation of parameters such as critical flicker-fusion frequency, blink rate and completeness, accommodative function and pupil characteristics — but </w:t>
      </w:r>
      <w:r>
        <w:rPr>
          <w:rFonts w:ascii="Times New Roman" w:cs="Times New Roman" w:eastAsia="Times New Roman" w:hAnsi="Times New Roman"/>
          <w:b/>
          <w:bCs/>
          <w:i w:val="false"/>
          <w:iCs w:val="false"/>
          <w:sz w:val="24"/>
          <w:szCs w:val="24"/>
        </w:rPr>
        <w:t xml:space="preserve">"correlations between objective and subjective measures are not always apparent"</w:t>
      </w:r>
      <w:r>
        <w:rPr>
          <w:rFonts w:ascii="Times New Roman" w:cs="Times New Roman" w:eastAsia="Times New Roman" w:hAnsi="Times New Roman"/>
          <w:b w:val="false"/>
          <w:bCs w:val="false"/>
          <w:i w:val="false"/>
          <w:iCs w:val="false"/>
          <w:sz w:val="24"/>
          <w:szCs w:val="24"/>
        </w:rPr>
        <w:t xml:space="preserve"> [3].</w:t>
      </w:r>
    </w:p>
    <w:p>
      <w:pPr>
        <w:spacing w:after="140" w:line="340"/>
        <w:jc w:val="both"/>
      </w:pPr>
      <w:r>
        <w:rPr>
          <w:rFonts w:ascii="Times New Roman" w:cs="Times New Roman" w:eastAsia="Times New Roman" w:hAnsi="Times New Roman"/>
          <w:b w:val="false"/>
          <w:bCs w:val="false"/>
          <w:i w:val="false"/>
          <w:iCs w:val="false"/>
          <w:sz w:val="24"/>
          <w:szCs w:val="24"/>
        </w:rPr>
        <w:t xml:space="preserve">This dissociation is not a nuisance to be explained away; it is arguably one of the central metrological problems of the field. It has at least three candidate explanations, which are not mutually exclusive: (i) the two-cluster structure of DES [3] means a composite subjective score and a single objective marker may index different mechanisms; (ii) objective markers such as blink rate are multiply determined (see §10.3) and hence poor proxies for symptom burden; (iii) symptom report is subject to expectation and demand effects, particularly where the manipulation is visible to the participant (as any display-polarity manipulation necessarily is).</w:t>
      </w:r>
    </w:p>
    <w:p>
      <w:pPr>
        <w:pBdr>
          <w:left w:val="single" w:color="4F8EF7" w:sz="12" w:space="8"/>
        </w:pBdr>
        <w:shd w:fill="F4F7FC" w:color="auto" w:val="clear"/>
        <w:spacing w:after="180" w:before="120" w:line="320"/>
        <w:ind w:left="360" w:right="240"/>
        <w:jc w:val="both"/>
      </w:pPr>
      <w:r>
        <w:rPr>
          <w:rFonts w:ascii="Times New Roman" w:cs="Times New Roman" w:eastAsia="Times New Roman" w:hAnsi="Times New Roman"/>
          <w:b/>
          <w:bCs/>
          <w:i w:val="false"/>
          <w:iCs w:val="false"/>
          <w:sz w:val="24"/>
          <w:szCs w:val="24"/>
        </w:rPr>
        <w:t xml:space="preserve">Critical appraisal.</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Established:</w:t>
      </w:r>
      <w:r>
        <w:rPr>
          <w:rFonts w:ascii="Times New Roman" w:cs="Times New Roman" w:eastAsia="Times New Roman" w:hAnsi="Times New Roman"/>
          <w:b w:val="false"/>
          <w:bCs w:val="false"/>
          <w:i w:val="false"/>
          <w:iCs w:val="false"/>
          <w:sz w:val="24"/>
          <w:szCs w:val="24"/>
        </w:rPr>
        <w:t xml:space="preserve"> the CVS-Q is a psychometrically sound, cross-culturally validated instrument with a defined cut-off [23–25], and instrument choice materially affects prevalence estimates [1]. </w:t>
      </w:r>
      <w:r>
        <w:rPr>
          <w:rFonts w:ascii="Times New Roman" w:cs="Times New Roman" w:eastAsia="Times New Roman" w:hAnsi="Times New Roman"/>
          <w:b w:val="false"/>
          <w:bCs w:val="false"/>
          <w:i/>
          <w:iCs/>
          <w:sz w:val="24"/>
          <w:szCs w:val="24"/>
        </w:rPr>
        <w:t xml:space="preserve">Unresolved:</w:t>
      </w:r>
      <w:r>
        <w:rPr>
          <w:rFonts w:ascii="Times New Roman" w:cs="Times New Roman" w:eastAsia="Times New Roman" w:hAnsi="Times New Roman"/>
          <w:b w:val="false"/>
          <w:bCs w:val="false"/>
          <w:i w:val="false"/>
          <w:iCs w:val="false"/>
          <w:sz w:val="24"/>
          <w:szCs w:val="24"/>
        </w:rPr>
        <w:t xml:space="preserve"> the poor and inconsistent correspondence between subjective and objective indices [3]. </w:t>
      </w:r>
      <w:r>
        <w:rPr>
          <w:rFonts w:ascii="Times New Roman" w:cs="Times New Roman" w:eastAsia="Times New Roman" w:hAnsi="Times New Roman"/>
          <w:b w:val="false"/>
          <w:bCs w:val="false"/>
          <w:i/>
          <w:iCs/>
          <w:sz w:val="24"/>
          <w:szCs w:val="24"/>
        </w:rPr>
        <w:t xml:space="preserve">Implication:</w:t>
      </w:r>
      <w:r>
        <w:rPr>
          <w:rFonts w:ascii="Times New Roman" w:cs="Times New Roman" w:eastAsia="Times New Roman" w:hAnsi="Times New Roman"/>
          <w:b w:val="false"/>
          <w:bCs w:val="false"/>
          <w:i w:val="false"/>
          <w:iCs w:val="false"/>
          <w:sz w:val="24"/>
          <w:szCs w:val="24"/>
        </w:rPr>
        <w:t xml:space="preserve"> a defensible design must (i) use a validated primary subjective endpoint, (ii) co-register subjective and objective measures </w:t>
      </w:r>
      <w:r>
        <w:rPr>
          <w:rFonts w:ascii="Times New Roman" w:cs="Times New Roman" w:eastAsia="Times New Roman" w:hAnsi="Times New Roman"/>
          <w:b/>
          <w:bCs/>
          <w:i w:val="false"/>
          <w:iCs w:val="false"/>
          <w:sz w:val="24"/>
          <w:szCs w:val="24"/>
        </w:rPr>
        <w:t xml:space="preserve">within the same session and condition</w:t>
      </w:r>
      <w:r>
        <w:rPr>
          <w:rFonts w:ascii="Times New Roman" w:cs="Times New Roman" w:eastAsia="Times New Roman" w:hAnsi="Times New Roman"/>
          <w:b w:val="false"/>
          <w:bCs w:val="false"/>
          <w:i w:val="false"/>
          <w:iCs w:val="false"/>
          <w:sz w:val="24"/>
          <w:szCs w:val="24"/>
        </w:rPr>
        <w:t xml:space="preserve"> so that their correspondence can be estimated rather than assumed, and (iii) treat any bespoke supplementary rating scale as exploratory unless its own reliability is established in-sample.</w:t>
      </w:r>
    </w:p>
    <w:p>
      <w:pPr>
        <w:pBdr>
          <w:bottom w:val="single" w:color="AAAAAA" w:sz="6" w:space="1"/>
        </w:pBdr>
        <w:spacing w:after="200" w:before="120"/>
      </w:pPr>
      <w:r>
        <w:rPr>
          <w:rFonts w:ascii="Times New Roman" w:cs="Times New Roman" w:eastAsia="Times New Roman" w:hAnsi="Times New Roman"/>
          <w:sz w:val="24"/>
          <w:szCs w:val="24"/>
        </w:rPr>
        <w:t xml:space="preserve"/>
      </w:r>
    </w:p>
    <w:p>
      <w:pPr>
        <w:pStyle w:val="Heading2"/>
        <w:keepNext/>
        <w:spacing w:after="160" w:before="280"/>
      </w:pPr>
      <w:r>
        <w:rPr>
          <w:rFonts w:ascii="Times New Roman" w:cs="Times New Roman" w:eastAsia="Times New Roman" w:hAnsi="Times New Roman"/>
          <w:b/>
          <w:bCs/>
          <w:i w:val="false"/>
          <w:iCs w:val="false"/>
          <w:sz w:val="28"/>
          <w:szCs w:val="28"/>
        </w:rPr>
        <w:t xml:space="preserve">10. Objective ocular markers of visual fatigue</w:t>
      </w:r>
    </w:p>
    <w:p>
      <w:pPr>
        <w:pStyle w:val="Heading3"/>
        <w:keepNext/>
        <w:spacing w:after="160" w:before="280"/>
      </w:pPr>
      <w:r>
        <w:rPr>
          <w:rFonts w:ascii="Times New Roman" w:cs="Times New Roman" w:eastAsia="Times New Roman" w:hAnsi="Times New Roman"/>
          <w:b/>
          <w:bCs/>
          <w:i w:val="false"/>
          <w:iCs w:val="false"/>
          <w:sz w:val="26"/>
          <w:szCs w:val="26"/>
        </w:rPr>
        <w:t xml:space="preserve">10.1 Blink rate</w:t>
      </w:r>
    </w:p>
    <w:p>
      <w:pPr>
        <w:spacing w:after="140" w:line="340"/>
        <w:jc w:val="both"/>
      </w:pPr>
      <w:r>
        <w:rPr>
          <w:rFonts w:ascii="Times New Roman" w:cs="Times New Roman" w:eastAsia="Times New Roman" w:hAnsi="Times New Roman"/>
          <w:b w:val="false"/>
          <w:bCs w:val="false"/>
          <w:i w:val="false"/>
          <w:iCs w:val="false"/>
          <w:sz w:val="24"/>
          <w:szCs w:val="24"/>
        </w:rPr>
        <w:t xml:space="preserve">Reduced spontaneous blink rate during display use is among the most reproducible objective findings in this field [3,10,11]. Quantitatively, in a controlled 15-minute reading task at 50 cm, mean blink rate was </w:t>
      </w:r>
      <w:r>
        <w:rPr>
          <w:rFonts w:ascii="Times New Roman" w:cs="Times New Roman" w:eastAsia="Times New Roman" w:hAnsi="Times New Roman"/>
          <w:b/>
          <w:bCs/>
          <w:i w:val="false"/>
          <w:iCs w:val="false"/>
          <w:sz w:val="24"/>
          <w:szCs w:val="24"/>
        </w:rPr>
        <w:t xml:space="preserve">11.6 blinks per minute (SD 7.84)</w:t>
      </w:r>
      <w:r>
        <w:rPr>
          <w:rFonts w:ascii="Times New Roman" w:cs="Times New Roman" w:eastAsia="Times New Roman" w:hAnsi="Times New Roman"/>
          <w:b w:val="false"/>
          <w:bCs w:val="false"/>
          <w:i w:val="false"/>
          <w:iCs w:val="false"/>
          <w:sz w:val="24"/>
          <w:szCs w:val="24"/>
        </w:rPr>
        <w:t xml:space="preserve"> [26]; in a study of six controlled reading conditions, </w:t>
      </w:r>
      <w:r>
        <w:rPr>
          <w:rFonts w:ascii="Times New Roman" w:cs="Times New Roman" w:eastAsia="Times New Roman" w:hAnsi="Times New Roman"/>
          <w:b/>
          <w:bCs/>
          <w:i w:val="false"/>
          <w:iCs w:val="false"/>
          <w:sz w:val="24"/>
          <w:szCs w:val="24"/>
        </w:rPr>
        <w:t xml:space="preserve">all</w:t>
      </w:r>
      <w:r>
        <w:rPr>
          <w:rFonts w:ascii="Times New Roman" w:cs="Times New Roman" w:eastAsia="Times New Roman" w:hAnsi="Times New Roman"/>
          <w:b w:val="false"/>
          <w:bCs w:val="false"/>
          <w:i w:val="false"/>
          <w:iCs w:val="false"/>
          <w:sz w:val="24"/>
          <w:szCs w:val="24"/>
        </w:rPr>
        <w:t xml:space="preserve"> reading conditions reduced spontaneous blink rate relative to a non-reading baseline (all p &lt; 0.001), with the smallest reduction for text presented at 330% magnification [27]; and during computer game play, blink rate fell to approximately </w:t>
      </w:r>
      <w:r>
        <w:rPr>
          <w:rFonts w:ascii="Times New Roman" w:cs="Times New Roman" w:eastAsia="Times New Roman" w:hAnsi="Times New Roman"/>
          <w:b/>
          <w:bCs/>
          <w:i w:val="false"/>
          <w:iCs w:val="false"/>
          <w:sz w:val="24"/>
          <w:szCs w:val="24"/>
        </w:rPr>
        <w:t xml:space="preserve">one-third</w:t>
      </w:r>
      <w:r>
        <w:rPr>
          <w:rFonts w:ascii="Times New Roman" w:cs="Times New Roman" w:eastAsia="Times New Roman" w:hAnsi="Times New Roman"/>
          <w:b w:val="false"/>
          <w:bCs w:val="false"/>
          <w:i w:val="false"/>
          <w:iCs w:val="false"/>
          <w:sz w:val="24"/>
          <w:szCs w:val="24"/>
        </w:rPr>
        <w:t xml:space="preserve"> (fast-paced) and </w:t>
      </w:r>
      <w:r>
        <w:rPr>
          <w:rFonts w:ascii="Times New Roman" w:cs="Times New Roman" w:eastAsia="Times New Roman" w:hAnsi="Times New Roman"/>
          <w:b/>
          <w:bCs/>
          <w:i w:val="false"/>
          <w:iCs w:val="false"/>
          <w:sz w:val="24"/>
          <w:szCs w:val="24"/>
        </w:rPr>
        <w:t xml:space="preserve">one-half</w:t>
      </w:r>
      <w:r>
        <w:rPr>
          <w:rFonts w:ascii="Times New Roman" w:cs="Times New Roman" w:eastAsia="Times New Roman" w:hAnsi="Times New Roman"/>
          <w:b w:val="false"/>
          <w:bCs w:val="false"/>
          <w:i w:val="false"/>
          <w:iCs w:val="false"/>
          <w:sz w:val="24"/>
          <w:szCs w:val="24"/>
        </w:rPr>
        <w:t xml:space="preserve"> (slow-paced) of baseline levels [28].</w:t>
      </w:r>
    </w:p>
    <w:p>
      <w:pPr>
        <w:pStyle w:val="Heading3"/>
        <w:keepNext/>
        <w:spacing w:after="160" w:before="280"/>
      </w:pPr>
      <w:r>
        <w:rPr>
          <w:rFonts w:ascii="Times New Roman" w:cs="Times New Roman" w:eastAsia="Times New Roman" w:hAnsi="Times New Roman"/>
          <w:b/>
          <w:bCs/>
          <w:i w:val="false"/>
          <w:iCs w:val="false"/>
          <w:sz w:val="26"/>
          <w:szCs w:val="26"/>
        </w:rPr>
        <w:t xml:space="preserve">10.2 Incomplete blinking: the marker with the strongest claim to specificity</w:t>
      </w:r>
    </w:p>
    <w:p>
      <w:pPr>
        <w:spacing w:after="140" w:line="340"/>
        <w:jc w:val="both"/>
      </w:pPr>
      <w:r>
        <w:rPr>
          <w:rFonts w:ascii="Times New Roman" w:cs="Times New Roman" w:eastAsia="Times New Roman" w:hAnsi="Times New Roman"/>
          <w:b w:val="false"/>
          <w:bCs w:val="false"/>
          <w:i w:val="false"/>
          <w:iCs w:val="false"/>
          <w:sz w:val="24"/>
          <w:szCs w:val="24"/>
        </w:rPr>
        <w:t xml:space="preserve">The proportion of blinks that fail to achieve complete lid closure has emerged as a marker of particular interest, for two reasons: it is mechanistically tied to tear-film instability [10,11,29], and it appears to discriminate the display context specifically.</w:t>
      </w:r>
    </w:p>
    <w:p>
      <w:pPr>
        <w:spacing w:after="140" w:line="340"/>
        <w:jc w:val="both"/>
      </w:pPr>
      <w:r>
        <w:rPr>
          <w:rFonts w:ascii="Times New Roman" w:cs="Times New Roman" w:eastAsia="Times New Roman" w:hAnsi="Times New Roman"/>
          <w:b w:val="false"/>
          <w:bCs w:val="false"/>
          <w:i w:val="false"/>
          <w:iCs w:val="false"/>
          <w:sz w:val="24"/>
          <w:szCs w:val="24"/>
        </w:rPr>
        <w:t xml:space="preserve">The pivotal evidence:</w:t>
      </w:r>
    </w:p>
    <w:p>
      <w:pPr>
        <w:pStyle w:val="ListParagraph"/>
        <w:numPr>
          <w:ilvl w:val="0"/>
          <w:numId w:val="2"/>
        </w:numPr>
        <w:spacing w:after="90" w:line="320"/>
        <w:jc w:val="both"/>
      </w:pPr>
      <w:r>
        <w:rPr>
          <w:rFonts w:ascii="Times New Roman" w:cs="Times New Roman" w:eastAsia="Times New Roman" w:hAnsi="Times New Roman"/>
          <w:b/>
          <w:bCs/>
          <w:i w:val="false"/>
          <w:iCs w:val="false"/>
          <w:sz w:val="24"/>
          <w:szCs w:val="24"/>
        </w:rPr>
        <w:t xml:space="preserve">Association with symptoms.</w:t>
      </w:r>
      <w:r>
        <w:rPr>
          <w:rFonts w:ascii="Times New Roman" w:cs="Times New Roman" w:eastAsia="Times New Roman" w:hAnsi="Times New Roman"/>
          <w:b w:val="false"/>
          <w:bCs w:val="false"/>
          <w:i w:val="false"/>
          <w:iCs w:val="false"/>
          <w:sz w:val="24"/>
          <w:szCs w:val="24"/>
        </w:rPr>
        <w:t xml:space="preserve"> In a 15-minute desktop reading task, the percentage of incomplete blinks ranged from 0.9% to 56.5% across participants (mean 16.1%, SD 15.7), and a </w:t>
      </w:r>
      <w:r>
        <w:rPr>
          <w:rFonts w:ascii="Times New Roman" w:cs="Times New Roman" w:eastAsia="Times New Roman" w:hAnsi="Times New Roman"/>
          <w:b/>
          <w:bCs/>
          <w:i w:val="false"/>
          <w:iCs w:val="false"/>
          <w:sz w:val="24"/>
          <w:szCs w:val="24"/>
        </w:rPr>
        <w:t xml:space="preserve">significant positive correlation was observed between total symptom score and the percentage of incomplete blinks (p = 0.002)</w:t>
      </w:r>
      <w:r>
        <w:rPr>
          <w:rFonts w:ascii="Times New Roman" w:cs="Times New Roman" w:eastAsia="Times New Roman" w:hAnsi="Times New Roman"/>
          <w:b w:val="false"/>
          <w:bCs w:val="false"/>
          <w:i w:val="false"/>
          <w:iCs w:val="false"/>
          <w:sz w:val="24"/>
          <w:szCs w:val="24"/>
        </w:rPr>
        <w:t xml:space="preserve">, alongside a significant negative correlation between blink score and symptoms (p = 0.035) [26].</w:t>
      </w:r>
    </w:p>
    <w:p>
      <w:pPr>
        <w:pStyle w:val="ListParagraph"/>
        <w:numPr>
          <w:ilvl w:val="0"/>
          <w:numId w:val="2"/>
        </w:numPr>
        <w:spacing w:after="90" w:line="320"/>
        <w:jc w:val="both"/>
      </w:pPr>
      <w:r>
        <w:rPr>
          <w:rFonts w:ascii="Times New Roman" w:cs="Times New Roman" w:eastAsia="Times New Roman" w:hAnsi="Times New Roman"/>
          <w:b/>
          <w:bCs/>
          <w:i w:val="false"/>
          <w:iCs w:val="false"/>
          <w:sz w:val="24"/>
          <w:szCs w:val="24"/>
        </w:rPr>
        <w:t xml:space="preserve">Specificity to electronic media.</w:t>
      </w:r>
      <w:r>
        <w:rPr>
          <w:rFonts w:ascii="Times New Roman" w:cs="Times New Roman" w:eastAsia="Times New Roman" w:hAnsi="Times New Roman"/>
          <w:b w:val="false"/>
          <w:bCs w:val="false"/>
          <w:i w:val="false"/>
          <w:iCs w:val="false"/>
          <w:sz w:val="24"/>
          <w:szCs w:val="24"/>
        </w:rPr>
        <w:t xml:space="preserve"> Comparing six controlled reading conditions (tablet; computer display at 100% and 330% zoom; hard-copy in book position silently and aloud; hard copy pasted on the display), </w:t>
      </w:r>
      <w:r>
        <w:rPr>
          <w:rFonts w:ascii="Times New Roman" w:cs="Times New Roman" w:eastAsia="Times New Roman" w:hAnsi="Times New Roman"/>
          <w:b/>
          <w:bCs/>
          <w:i w:val="false"/>
          <w:iCs w:val="false"/>
          <w:sz w:val="24"/>
          <w:szCs w:val="24"/>
        </w:rPr>
        <w:t xml:space="preserve">all</w:t>
      </w:r>
      <w:r>
        <w:rPr>
          <w:rFonts w:ascii="Times New Roman" w:cs="Times New Roman" w:eastAsia="Times New Roman" w:hAnsi="Times New Roman"/>
          <w:b w:val="false"/>
          <w:bCs w:val="false"/>
          <w:i w:val="false"/>
          <w:iCs w:val="false"/>
          <w:sz w:val="24"/>
          <w:szCs w:val="24"/>
        </w:rPr>
        <w:t xml:space="preserve"> conditions reduced blink rate, but the percentage of incomplete blinks increased </w:t>
      </w:r>
      <w:r>
        <w:rPr>
          <w:rFonts w:ascii="Times New Roman" w:cs="Times New Roman" w:eastAsia="Times New Roman" w:hAnsi="Times New Roman"/>
          <w:b/>
          <w:bCs/>
          <w:i w:val="false"/>
          <w:iCs w:val="false"/>
          <w:sz w:val="24"/>
          <w:szCs w:val="24"/>
        </w:rPr>
        <w:t xml:space="preserve">only when reading was conducted on an electronic platform</w:t>
      </w:r>
      <w:r>
        <w:rPr>
          <w:rFonts w:ascii="Times New Roman" w:cs="Times New Roman" w:eastAsia="Times New Roman" w:hAnsi="Times New Roman"/>
          <w:b w:val="false"/>
          <w:bCs w:val="false"/>
          <w:i w:val="false"/>
          <w:iCs w:val="false"/>
          <w:sz w:val="24"/>
          <w:szCs w:val="24"/>
        </w:rPr>
        <w:t xml:space="preserve">, not with hard copy [27]. The authors' interpretation is that incomplete blinking "may account for the symptoms experienced by VDT users" [27].</w:t>
      </w:r>
    </w:p>
    <w:p>
      <w:pPr>
        <w:pStyle w:val="ListParagraph"/>
        <w:numPr>
          <w:ilvl w:val="0"/>
          <w:numId w:val="2"/>
        </w:numPr>
        <w:spacing w:after="90" w:line="320"/>
        <w:jc w:val="both"/>
      </w:pPr>
      <w:r>
        <w:rPr>
          <w:rFonts w:ascii="Times New Roman" w:cs="Times New Roman" w:eastAsia="Times New Roman" w:hAnsi="Times New Roman"/>
          <w:b/>
          <w:bCs/>
          <w:i w:val="false"/>
          <w:iCs w:val="false"/>
          <w:sz w:val="24"/>
          <w:szCs w:val="24"/>
        </w:rPr>
        <w:t xml:space="preserve">Causal link to tear-film instability.</w:t>
      </w:r>
      <w:r>
        <w:rPr>
          <w:rFonts w:ascii="Times New Roman" w:cs="Times New Roman" w:eastAsia="Times New Roman" w:hAnsi="Times New Roman"/>
          <w:b w:val="false"/>
          <w:bCs w:val="false"/>
          <w:i w:val="false"/>
          <w:iCs w:val="false"/>
          <w:sz w:val="24"/>
          <w:szCs w:val="24"/>
        </w:rPr>
        <w:t xml:space="preserve"> During a 60-minute computer task, total blink rate changed little while complete and incomplete blink rates fluctuated reciprocally; non-invasive (ring) break-up time fell significantly from 8.62 ± 1.54 s at baseline to 4.33 ± 2.57 s at 30 minutes (p &lt; 0.01), and recovered as incomplete blinking declined. The authors concluded that </w:t>
      </w:r>
      <w:r>
        <w:rPr>
          <w:rFonts w:ascii="Times New Roman" w:cs="Times New Roman" w:eastAsia="Times New Roman" w:hAnsi="Times New Roman"/>
          <w:b/>
          <w:bCs/>
          <w:i w:val="false"/>
          <w:iCs w:val="false"/>
          <w:sz w:val="24"/>
          <w:szCs w:val="24"/>
        </w:rPr>
        <w:t xml:space="preserve">"even if the total blink rate decreases, the tear film remains stable so long as almost all blinks are complete"</w:t>
      </w:r>
      <w:r>
        <w:rPr>
          <w:rFonts w:ascii="Times New Roman" w:cs="Times New Roman" w:eastAsia="Times New Roman" w:hAnsi="Times New Roman"/>
          <w:b w:val="false"/>
          <w:bCs w:val="false"/>
          <w:i w:val="false"/>
          <w:iCs w:val="false"/>
          <w:sz w:val="24"/>
          <w:szCs w:val="24"/>
        </w:rPr>
        <w:t xml:space="preserve"> — tear-film stability is determined by blinking </w:t>
      </w:r>
      <w:r>
        <w:rPr>
          <w:rFonts w:ascii="Times New Roman" w:cs="Times New Roman" w:eastAsia="Times New Roman" w:hAnsi="Times New Roman"/>
          <w:b w:val="false"/>
          <w:bCs w:val="false"/>
          <w:i/>
          <w:iCs/>
          <w:sz w:val="24"/>
          <w:szCs w:val="24"/>
        </w:rPr>
        <w:t xml:space="preserve">quality</w:t>
      </w:r>
      <w:r>
        <w:rPr>
          <w:rFonts w:ascii="Times New Roman" w:cs="Times New Roman" w:eastAsia="Times New Roman" w:hAnsi="Times New Roman"/>
          <w:b w:val="false"/>
          <w:bCs w:val="false"/>
          <w:i w:val="false"/>
          <w:iCs w:val="false"/>
          <w:sz w:val="24"/>
          <w:szCs w:val="24"/>
        </w:rPr>
        <w:t xml:space="preserve">, not merely quantity [29].</w:t>
      </w:r>
    </w:p>
    <w:p>
      <w:pPr>
        <w:pStyle w:val="ListParagraph"/>
        <w:numPr>
          <w:ilvl w:val="0"/>
          <w:numId w:val="2"/>
        </w:numPr>
        <w:spacing w:after="90" w:line="320"/>
        <w:jc w:val="both"/>
      </w:pPr>
      <w:r>
        <w:rPr>
          <w:rFonts w:ascii="Times New Roman" w:cs="Times New Roman" w:eastAsia="Times New Roman" w:hAnsi="Times New Roman"/>
          <w:b/>
          <w:bCs/>
          <w:i w:val="false"/>
          <w:iCs w:val="false"/>
          <w:sz w:val="24"/>
          <w:szCs w:val="24"/>
        </w:rPr>
        <w:t xml:space="preserve">Sensitivity to task dynamics.</w:t>
      </w:r>
      <w:r>
        <w:rPr>
          <w:rFonts w:ascii="Times New Roman" w:cs="Times New Roman" w:eastAsia="Times New Roman" w:hAnsi="Times New Roman"/>
          <w:b w:val="false"/>
          <w:bCs w:val="false"/>
          <w:i w:val="false"/>
          <w:iCs w:val="false"/>
          <w:sz w:val="24"/>
          <w:szCs w:val="24"/>
        </w:rPr>
        <w:t xml:space="preserve"> Blink rate, blink amplitude and tear-film stability were all more compromised during a more dynamic (faster-paced) display task of equal cognitive demand, implicating the </w:t>
      </w:r>
      <w:r>
        <w:rPr>
          <w:rFonts w:ascii="Times New Roman" w:cs="Times New Roman" w:eastAsia="Times New Roman" w:hAnsi="Times New Roman"/>
          <w:b w:val="false"/>
          <w:bCs w:val="false"/>
          <w:i/>
          <w:iCs/>
          <w:sz w:val="24"/>
          <w:szCs w:val="24"/>
        </w:rPr>
        <w:t xml:space="preserve">rate of visual information presentation</w:t>
      </w:r>
      <w:r>
        <w:rPr>
          <w:rFonts w:ascii="Times New Roman" w:cs="Times New Roman" w:eastAsia="Times New Roman" w:hAnsi="Times New Roman"/>
          <w:b w:val="false"/>
          <w:bCs w:val="false"/>
          <w:i w:val="false"/>
          <w:iCs w:val="false"/>
          <w:sz w:val="24"/>
          <w:szCs w:val="24"/>
        </w:rPr>
        <w:t xml:space="preserve"> and not cognitive load alone [28].</w:t>
      </w:r>
    </w:p>
    <w:p>
      <w:pPr>
        <w:pStyle w:val="Heading3"/>
        <w:keepNext/>
        <w:spacing w:after="160" w:before="280"/>
      </w:pPr>
      <w:r>
        <w:rPr>
          <w:rFonts w:ascii="Times New Roman" w:cs="Times New Roman" w:eastAsia="Times New Roman" w:hAnsi="Times New Roman"/>
          <w:b/>
          <w:bCs/>
          <w:i w:val="false"/>
          <w:iCs w:val="false"/>
          <w:sz w:val="26"/>
          <w:szCs w:val="26"/>
        </w:rPr>
        <w:t xml:space="preserve">10.3 A crucial interpretive caution: blink rate is not a fatigue thermometer</w:t>
      </w:r>
    </w:p>
    <w:p>
      <w:pPr>
        <w:spacing w:after="140" w:line="340"/>
        <w:jc w:val="both"/>
      </w:pPr>
      <w:r>
        <w:rPr>
          <w:rFonts w:ascii="Times New Roman" w:cs="Times New Roman" w:eastAsia="Times New Roman" w:hAnsi="Times New Roman"/>
          <w:b w:val="false"/>
          <w:bCs w:val="false"/>
          <w:i w:val="false"/>
          <w:iCs w:val="false"/>
          <w:sz w:val="24"/>
          <w:szCs w:val="24"/>
        </w:rPr>
        <w:t xml:space="preserve">Three findings jointly forbid a naive "lower blink rate = more fatigue" reading.</w:t>
      </w:r>
    </w:p>
    <w:p>
      <w:pPr>
        <w:spacing w:after="120" w:line="320"/>
        <w:ind w:left="600" w:hanging="600"/>
        <w:jc w:val="both"/>
      </w:pPr>
      <w:r>
        <w:rPr>
          <w:rFonts w:ascii="Times New Roman" w:cs="Times New Roman" w:eastAsia="Times New Roman" w:hAnsi="Times New Roman"/>
          <w:sz w:val="24"/>
          <w:szCs w:val="24"/>
        </w:rPr>
        <w:t xml:space="preserve">1.</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Blink rate is reduced by </w:t>
      </w:r>
      <w:r>
        <w:rPr>
          <w:rFonts w:ascii="Times New Roman" w:cs="Times New Roman" w:eastAsia="Times New Roman" w:hAnsi="Times New Roman"/>
          <w:b/>
          <w:bCs/>
          <w:i w:val="false"/>
          <w:iCs w:val="false"/>
          <w:sz w:val="24"/>
          <w:szCs w:val="24"/>
        </w:rPr>
        <w:t xml:space="preserve">reading itself</w:t>
      </w:r>
      <w:r>
        <w:rPr>
          <w:rFonts w:ascii="Times New Roman" w:cs="Times New Roman" w:eastAsia="Times New Roman" w:hAnsi="Times New Roman"/>
          <w:b w:val="false"/>
          <w:bCs w:val="false"/>
          <w:i w:val="false"/>
          <w:iCs w:val="false"/>
          <w:sz w:val="24"/>
          <w:szCs w:val="24"/>
        </w:rPr>
        <w:t xml:space="preserve">, regardless of medium [27], and further reduced by </w:t>
      </w:r>
      <w:r>
        <w:rPr>
          <w:rFonts w:ascii="Times New Roman" w:cs="Times New Roman" w:eastAsia="Times New Roman" w:hAnsi="Times New Roman"/>
          <w:b/>
          <w:bCs/>
          <w:i w:val="false"/>
          <w:iCs w:val="false"/>
          <w:sz w:val="24"/>
          <w:szCs w:val="24"/>
        </w:rPr>
        <w:t xml:space="preserve">higher task dynamism</w:t>
      </w:r>
      <w:r>
        <w:rPr>
          <w:rFonts w:ascii="Times New Roman" w:cs="Times New Roman" w:eastAsia="Times New Roman" w:hAnsi="Times New Roman"/>
          <w:b w:val="false"/>
          <w:bCs w:val="false"/>
          <w:i w:val="false"/>
          <w:iCs w:val="false"/>
          <w:sz w:val="24"/>
          <w:szCs w:val="24"/>
        </w:rPr>
        <w:t xml:space="preserve"> at matched cognitive demand [28]. It therefore indexes visual/cognitive engagement as much as fatigue.</w:t>
      </w:r>
    </w:p>
    <w:p>
      <w:pPr>
        <w:spacing w:after="120" w:line="320"/>
        <w:ind w:left="600" w:hanging="600"/>
        <w:jc w:val="both"/>
      </w:pPr>
      <w:r>
        <w:rPr>
          <w:rFonts w:ascii="Times New Roman" w:cs="Times New Roman" w:eastAsia="Times New Roman" w:hAnsi="Times New Roman"/>
          <w:sz w:val="24"/>
          <w:szCs w:val="24"/>
        </w:rPr>
        <w:t xml:space="preserve">2.</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Total</w:t>
      </w:r>
      <w:r>
        <w:rPr>
          <w:rFonts w:ascii="Times New Roman" w:cs="Times New Roman" w:eastAsia="Times New Roman" w:hAnsi="Times New Roman"/>
          <w:b w:val="false"/>
          <w:bCs w:val="false"/>
          <w:i w:val="false"/>
          <w:iCs w:val="false"/>
          <w:sz w:val="24"/>
          <w:szCs w:val="24"/>
        </w:rPr>
        <w:t xml:space="preserve"> blink rate can remain essentially unchanged while the clinically consequential quantity — the complete/incomplete composition — fluctuates substantially [29].</w:t>
      </w:r>
    </w:p>
    <w:p>
      <w:pPr>
        <w:spacing w:after="120" w:line="320"/>
        <w:ind w:left="600" w:hanging="600"/>
        <w:jc w:val="both"/>
      </w:pP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Most tellingly, </w:t>
      </w:r>
      <w:r>
        <w:rPr>
          <w:rFonts w:ascii="Times New Roman" w:cs="Times New Roman" w:eastAsia="Times New Roman" w:hAnsi="Times New Roman"/>
          <w:b/>
          <w:bCs/>
          <w:i w:val="false"/>
          <w:iCs w:val="false"/>
          <w:sz w:val="24"/>
          <w:szCs w:val="24"/>
        </w:rPr>
        <w:t xml:space="preserve">experimentally increasing blink rate did not help.</w:t>
      </w:r>
      <w:r>
        <w:rPr>
          <w:rFonts w:ascii="Times New Roman" w:cs="Times New Roman" w:eastAsia="Times New Roman" w:hAnsi="Times New Roman"/>
          <w:b w:val="false"/>
          <w:bCs w:val="false"/>
          <w:i w:val="false"/>
          <w:iCs w:val="false"/>
          <w:sz w:val="24"/>
          <w:szCs w:val="24"/>
        </w:rPr>
        <w:t xml:space="preserve"> Raising mean blink rate from 11.6 to 23.5 blinks per minute by means of an audible tone every 4 seconds produced </w:t>
      </w:r>
      <w:r>
        <w:rPr>
          <w:rFonts w:ascii="Times New Roman" w:cs="Times New Roman" w:eastAsia="Times New Roman" w:hAnsi="Times New Roman"/>
          <w:b/>
          <w:bCs/>
          <w:i w:val="false"/>
          <w:iCs w:val="false"/>
          <w:sz w:val="24"/>
          <w:szCs w:val="24"/>
        </w:rPr>
        <w:t xml:space="preserve">no significant change in symptom score</w:t>
      </w:r>
      <w:r>
        <w:rPr>
          <w:rFonts w:ascii="Times New Roman" w:cs="Times New Roman" w:eastAsia="Times New Roman" w:hAnsi="Times New Roman"/>
          <w:b w:val="false"/>
          <w:bCs w:val="false"/>
          <w:i w:val="false"/>
          <w:iCs w:val="false"/>
          <w:sz w:val="24"/>
          <w:szCs w:val="24"/>
        </w:rPr>
        <w:t xml:space="preserve"> [26]. The authors' conclusion is that blink </w:t>
      </w:r>
      <w:r>
        <w:rPr>
          <w:rFonts w:ascii="Times New Roman" w:cs="Times New Roman" w:eastAsia="Times New Roman" w:hAnsi="Times New Roman"/>
          <w:b w:val="false"/>
          <w:bCs w:val="false"/>
          <w:i/>
          <w:iCs/>
          <w:sz w:val="24"/>
          <w:szCs w:val="24"/>
        </w:rPr>
        <w:t xml:space="preserve">completeness</w:t>
      </w:r>
      <w:r>
        <w:rPr>
          <w:rFonts w:ascii="Times New Roman" w:cs="Times New Roman" w:eastAsia="Times New Roman" w:hAnsi="Times New Roman"/>
          <w:b w:val="false"/>
          <w:bCs w:val="false"/>
          <w:i w:val="false"/>
          <w:iCs w:val="false"/>
          <w:sz w:val="24"/>
          <w:szCs w:val="24"/>
        </w:rPr>
        <w:t xml:space="preserve"> may be at least as important as blink rate, and that "actions to achieve complete corneal coverage during blinking may be more helpful" [26].</w:t>
      </w:r>
    </w:p>
    <w:p>
      <w:pPr>
        <w:spacing w:after="140" w:line="340"/>
        <w:jc w:val="both"/>
      </w:pPr>
      <w:r>
        <w:rPr>
          <w:rFonts w:ascii="Times New Roman" w:cs="Times New Roman" w:eastAsia="Times New Roman" w:hAnsi="Times New Roman"/>
          <w:b w:val="false"/>
          <w:bCs w:val="false"/>
          <w:i w:val="false"/>
          <w:iCs w:val="false"/>
          <w:sz w:val="24"/>
          <w:szCs w:val="24"/>
        </w:rPr>
        <w:t xml:space="preserve">The methodological consequence is direct: </w:t>
      </w:r>
      <w:r>
        <w:rPr>
          <w:rFonts w:ascii="Times New Roman" w:cs="Times New Roman" w:eastAsia="Times New Roman" w:hAnsi="Times New Roman"/>
          <w:b/>
          <w:bCs/>
          <w:i w:val="false"/>
          <w:iCs w:val="false"/>
          <w:sz w:val="24"/>
          <w:szCs w:val="24"/>
        </w:rPr>
        <w:t xml:space="preserve">incomplete-blink ratio, referenced to a within-participant baseline, is a better-justified primary ocular marker for computer-related visual fatigue than blink rate alone</w:t>
      </w:r>
      <w:r>
        <w:rPr>
          <w:rFonts w:ascii="Times New Roman" w:cs="Times New Roman" w:eastAsia="Times New Roman" w:hAnsi="Times New Roman"/>
          <w:b w:val="false"/>
          <w:bCs w:val="false"/>
          <w:i w:val="false"/>
          <w:iCs w:val="false"/>
          <w:sz w:val="24"/>
          <w:szCs w:val="24"/>
        </w:rPr>
        <w:t xml:space="preserve">, and blink rate should be interpreted only against a baseline and in conjunction with blink quality.</w:t>
      </w:r>
    </w:p>
    <w:p>
      <w:pPr>
        <w:pStyle w:val="Heading3"/>
        <w:keepNext/>
        <w:spacing w:after="160" w:before="280"/>
      </w:pPr>
      <w:r>
        <w:rPr>
          <w:rFonts w:ascii="Times New Roman" w:cs="Times New Roman" w:eastAsia="Times New Roman" w:hAnsi="Times New Roman"/>
          <w:b/>
          <w:bCs/>
          <w:i w:val="false"/>
          <w:iCs w:val="false"/>
          <w:sz w:val="26"/>
          <w:szCs w:val="26"/>
        </w:rPr>
        <w:t xml:space="preserve">10.4 Accommodative and pupillary measures</w:t>
      </w:r>
    </w:p>
    <w:p>
      <w:pPr>
        <w:spacing w:after="140" w:line="340"/>
        <w:jc w:val="both"/>
      </w:pPr>
      <w:r>
        <w:rPr>
          <w:rFonts w:ascii="Times New Roman" w:cs="Times New Roman" w:eastAsia="Times New Roman" w:hAnsi="Times New Roman"/>
          <w:b w:val="false"/>
          <w:bCs w:val="false"/>
          <w:i w:val="false"/>
          <w:iCs w:val="false"/>
          <w:sz w:val="24"/>
          <w:szCs w:val="24"/>
        </w:rPr>
        <w:t xml:space="preserve">Accommodative response, accommodative variability, near-work-induced transient myopia (NITM) and pupil size are established objective indices in this domain [3,18,30]. They are sensitive to display parameters: text–background colour modulates accommodative and pupillary dynamics over even a 2-minute task [18]. They are also sensitive to workload management: in a 40-minute reading task under four break schedules, participants reported greater "eye irritation or burning" and greater eye strain in the no-break condition than in the frequent-break (every 10 min) and self-paced-break conditions; accommodative variability was greater in the no-break and 3-break conditions during the final interval; and NITM was higher in the no-break condition, with faster NITM decay under frequent breaks [30]. Accommodative </w:t>
      </w:r>
      <w:r>
        <w:rPr>
          <w:rFonts w:ascii="Times New Roman" w:cs="Times New Roman" w:eastAsia="Times New Roman" w:hAnsi="Times New Roman"/>
          <w:b w:val="false"/>
          <w:bCs w:val="false"/>
          <w:i/>
          <w:iCs/>
          <w:sz w:val="24"/>
          <w:szCs w:val="24"/>
        </w:rPr>
        <w:t xml:space="preserve">lag</w:t>
      </w:r>
      <w:r>
        <w:rPr>
          <w:rFonts w:ascii="Times New Roman" w:cs="Times New Roman" w:eastAsia="Times New Roman" w:hAnsi="Times New Roman"/>
          <w:b w:val="false"/>
          <w:bCs w:val="false"/>
          <w:i w:val="false"/>
          <w:iCs w:val="false"/>
          <w:sz w:val="24"/>
          <w:szCs w:val="24"/>
        </w:rPr>
        <w:t xml:space="preserve"> did not differ across conditions [30].</w:t>
      </w:r>
    </w:p>
    <w:p>
      <w:pPr>
        <w:spacing w:after="140" w:line="340"/>
        <w:jc w:val="both"/>
      </w:pPr>
      <w:r>
        <w:rPr>
          <w:rFonts w:ascii="Times New Roman" w:cs="Times New Roman" w:eastAsia="Times New Roman" w:hAnsi="Times New Roman"/>
          <w:b w:val="false"/>
          <w:bCs w:val="false"/>
          <w:i w:val="false"/>
          <w:iCs w:val="false"/>
          <w:sz w:val="24"/>
          <w:szCs w:val="24"/>
        </w:rPr>
        <w:t xml:space="preserve">These measures, however, require a binocular open-field autorefractometer (e.g. Grand Seiko WAM-5500) [18,30] — laboratory instrumentation that is neither portable nor scalable, which is precisely the constraint motivating §11.</w:t>
      </w:r>
    </w:p>
    <w:p>
      <w:pPr>
        <w:pStyle w:val="Heading3"/>
        <w:keepNext/>
        <w:spacing w:after="160" w:before="280"/>
      </w:pPr>
      <w:r>
        <w:rPr>
          <w:rFonts w:ascii="Times New Roman" w:cs="Times New Roman" w:eastAsia="Times New Roman" w:hAnsi="Times New Roman"/>
          <w:b/>
          <w:bCs/>
          <w:i w:val="false"/>
          <w:iCs w:val="false"/>
          <w:sz w:val="26"/>
          <w:szCs w:val="26"/>
        </w:rPr>
        <w:t xml:space="preserve">10.5 PERCLOS: a drowsiness measure, not a CVS measure</w:t>
      </w:r>
    </w:p>
    <w:p>
      <w:pPr>
        <w:spacing w:after="140" w:line="340"/>
        <w:jc w:val="both"/>
      </w:pPr>
      <w:r>
        <w:rPr>
          <w:rFonts w:ascii="Times New Roman" w:cs="Times New Roman" w:eastAsia="Times New Roman" w:hAnsi="Times New Roman"/>
          <w:b/>
          <w:bCs/>
          <w:i w:val="false"/>
          <w:iCs w:val="false"/>
          <w:sz w:val="24"/>
          <w:szCs w:val="24"/>
        </w:rPr>
        <w:t xml:space="preserve">PERCLOS</w:t>
      </w:r>
      <w:r>
        <w:rPr>
          <w:rFonts w:ascii="Times New Roman" w:cs="Times New Roman" w:eastAsia="Times New Roman" w:hAnsi="Times New Roman"/>
          <w:b w:val="false"/>
          <w:bCs w:val="false"/>
          <w:i w:val="false"/>
          <w:iCs w:val="false"/>
          <w:sz w:val="24"/>
          <w:szCs w:val="24"/>
        </w:rPr>
        <w:t xml:space="preserve"> — the percentage of time the eyes are more than 80% closed — is described as "one of the most validated indices used for the passive detection of drowsiness" [31]. It increases with sleep deprivation, after partial sleep restriction, at night, and under other drowsiness manipulations, across vigilance tests, simulated driving and on-road driving [31]. Empirically, following 24 hours of total sleep deprivation, professional drivers showed significantly more eyelid closure (p &lt; 0.05), greater variation in lane position (p &lt; 0.01) and more attentional lapses (p &lt; 0.05), with PERCLOS moderately associated with variability in vigilance performance (r = 0.68, p &lt; 0.05) and with lane-position variation (r = 0.61, p &lt; 0.05) [32]. PERCLOS is also identified, alongside the PVT, as a technology for detecting transient fatigue in safety-sensitive settings [22].</w:t>
      </w:r>
    </w:p>
    <w:p>
      <w:pPr>
        <w:spacing w:after="140" w:line="340"/>
        <w:jc w:val="both"/>
      </w:pPr>
      <w:r>
        <w:rPr>
          <w:rFonts w:ascii="Times New Roman" w:cs="Times New Roman" w:eastAsia="Times New Roman" w:hAnsi="Times New Roman"/>
          <w:b w:val="false"/>
          <w:bCs w:val="false"/>
          <w:i w:val="false"/>
          <w:iCs w:val="false"/>
          <w:sz w:val="24"/>
          <w:szCs w:val="24"/>
        </w:rPr>
        <w:t xml:space="preserve">Its limitations are, however, explicitly documented: PERCLOS has failed to track drowsiness manipulations in </w:t>
      </w:r>
      <w:r>
        <w:rPr>
          <w:rFonts w:ascii="Times New Roman" w:cs="Times New Roman" w:eastAsia="Times New Roman" w:hAnsi="Times New Roman"/>
          <w:b/>
          <w:bCs/>
          <w:i w:val="false"/>
          <w:iCs w:val="false"/>
          <w:sz w:val="24"/>
          <w:szCs w:val="24"/>
        </w:rPr>
        <w:t xml:space="preserve">moderate</w:t>
      </w:r>
      <w:r>
        <w:rPr>
          <w:rFonts w:ascii="Times New Roman" w:cs="Times New Roman" w:eastAsia="Times New Roman" w:hAnsi="Times New Roman"/>
          <w:b w:val="false"/>
          <w:bCs w:val="false"/>
          <w:i w:val="false"/>
          <w:iCs w:val="false"/>
          <w:sz w:val="24"/>
          <w:szCs w:val="24"/>
        </w:rPr>
        <w:t xml:space="preserve"> drowsiness conditions, in </w:t>
      </w:r>
      <w:r>
        <w:rPr>
          <w:rFonts w:ascii="Times New Roman" w:cs="Times New Roman" w:eastAsia="Times New Roman" w:hAnsi="Times New Roman"/>
          <w:b/>
          <w:bCs/>
          <w:i w:val="false"/>
          <w:iCs w:val="false"/>
          <w:sz w:val="24"/>
          <w:szCs w:val="24"/>
        </w:rPr>
        <w:t xml:space="preserve">older adults</w:t>
      </w:r>
      <w:r>
        <w:rPr>
          <w:rFonts w:ascii="Times New Roman" w:cs="Times New Roman" w:eastAsia="Times New Roman" w:hAnsi="Times New Roman"/>
          <w:b w:val="false"/>
          <w:bCs w:val="false"/>
          <w:i w:val="false"/>
          <w:iCs w:val="false"/>
          <w:sz w:val="24"/>
          <w:szCs w:val="24"/>
        </w:rPr>
        <w:t xml:space="preserve">, and during </w:t>
      </w:r>
      <w:r>
        <w:rPr>
          <w:rFonts w:ascii="Times New Roman" w:cs="Times New Roman" w:eastAsia="Times New Roman" w:hAnsi="Times New Roman"/>
          <w:b/>
          <w:bCs/>
          <w:i w:val="false"/>
          <w:iCs w:val="false"/>
          <w:sz w:val="24"/>
          <w:szCs w:val="24"/>
        </w:rPr>
        <w:t xml:space="preserve">aviation-related tasks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no single index</w:t>
      </w:r>
      <w:r>
        <w:rPr>
          <w:rFonts w:ascii="Times New Roman" w:cs="Times New Roman" w:eastAsia="Times New Roman" w:hAnsi="Times New Roman"/>
          <w:b w:val="false"/>
          <w:bCs w:val="false"/>
          <w:i w:val="false"/>
          <w:iCs w:val="false"/>
          <w:sz w:val="24"/>
          <w:szCs w:val="24"/>
        </w:rPr>
        <w:t xml:space="preserve"> is currently an optimal drowsiness marker in real-world settings; and the review calls for standardisation of the PERCLOS definition across studies, extensive single-device validation, and integration with other behavioural/physiological indices, since "PERCLOS alone may not be sufficiently sensitive for detecting drowsiness caused by factors other than falling asleep, such as inattention or distraction" [31].</w:t>
      </w:r>
    </w:p>
    <w:p>
      <w:pPr>
        <w:spacing w:after="140" w:line="340"/>
        <w:jc w:val="both"/>
      </w:pPr>
      <w:r>
        <w:rPr>
          <w:rFonts w:ascii="Times New Roman" w:cs="Times New Roman" w:eastAsia="Times New Roman" w:hAnsi="Times New Roman"/>
          <w:b w:val="false"/>
          <w:bCs w:val="false"/>
          <w:i w:val="false"/>
          <w:iCs w:val="false"/>
          <w:sz w:val="24"/>
          <w:szCs w:val="24"/>
        </w:rPr>
        <w:t xml:space="preserve">The implication for the present research is a precise scoping statement: over an hour-scale session, </w:t>
      </w:r>
      <w:r>
        <w:rPr>
          <w:rFonts w:ascii="Times New Roman" w:cs="Times New Roman" w:eastAsia="Times New Roman" w:hAnsi="Times New Roman"/>
          <w:b/>
          <w:bCs/>
          <w:i w:val="false"/>
          <w:iCs w:val="false"/>
          <w:sz w:val="24"/>
          <w:szCs w:val="24"/>
        </w:rPr>
        <w:t xml:space="preserve">sleepiness is a genuine confounder of visual-fatigue measurement</w:t>
      </w:r>
      <w:r>
        <w:rPr>
          <w:rFonts w:ascii="Times New Roman" w:cs="Times New Roman" w:eastAsia="Times New Roman" w:hAnsi="Times New Roman"/>
          <w:b w:val="false"/>
          <w:bCs w:val="false"/>
          <w:i w:val="false"/>
          <w:iCs w:val="false"/>
          <w:sz w:val="24"/>
          <w:szCs w:val="24"/>
        </w:rPr>
        <w:t xml:space="preserve">, and PERCLOS is the best-validated available index of it. PERCLOS should therefore be measured and used as a </w:t>
      </w:r>
      <w:r>
        <w:rPr>
          <w:rFonts w:ascii="Times New Roman" w:cs="Times New Roman" w:eastAsia="Times New Roman" w:hAnsi="Times New Roman"/>
          <w:b/>
          <w:bCs/>
          <w:i w:val="false"/>
          <w:iCs w:val="false"/>
          <w:sz w:val="24"/>
          <w:szCs w:val="24"/>
        </w:rPr>
        <w:t xml:space="preserve">covariate/confound control</w:t>
      </w:r>
      <w:r>
        <w:rPr>
          <w:rFonts w:ascii="Times New Roman" w:cs="Times New Roman" w:eastAsia="Times New Roman" w:hAnsi="Times New Roman"/>
          <w:b w:val="false"/>
          <w:bCs w:val="false"/>
          <w:i w:val="false"/>
          <w:iCs w:val="false"/>
          <w:sz w:val="24"/>
          <w:szCs w:val="24"/>
        </w:rPr>
        <w:t xml:space="preserve">, and must </w:t>
      </w:r>
      <w:r>
        <w:rPr>
          <w:rFonts w:ascii="Times New Roman" w:cs="Times New Roman" w:eastAsia="Times New Roman" w:hAnsi="Times New Roman"/>
          <w:b/>
          <w:bCs/>
          <w:i w:val="false"/>
          <w:iCs w:val="false"/>
          <w:sz w:val="24"/>
          <w:szCs w:val="24"/>
        </w:rPr>
        <w:t xml:space="preserve">not</w:t>
      </w:r>
      <w:r>
        <w:rPr>
          <w:rFonts w:ascii="Times New Roman" w:cs="Times New Roman" w:eastAsia="Times New Roman" w:hAnsi="Times New Roman"/>
          <w:b w:val="false"/>
          <w:bCs w:val="false"/>
          <w:i w:val="false"/>
          <w:iCs w:val="false"/>
          <w:sz w:val="24"/>
          <w:szCs w:val="24"/>
        </w:rPr>
        <w:t xml:space="preserve"> be reported as a measure of computer-related visual fatigue — a conflation that would be unsupported by the cited validation literature.</w:t>
      </w:r>
    </w:p>
    <w:p>
      <w:pPr>
        <w:pStyle w:val="Heading3"/>
        <w:keepNext/>
        <w:spacing w:after="160" w:before="280"/>
      </w:pPr>
      <w:r>
        <w:rPr>
          <w:rFonts w:ascii="Times New Roman" w:cs="Times New Roman" w:eastAsia="Times New Roman" w:hAnsi="Times New Roman"/>
          <w:b/>
          <w:bCs/>
          <w:i w:val="false"/>
          <w:iCs w:val="false"/>
          <w:sz w:val="26"/>
          <w:szCs w:val="26"/>
        </w:rPr>
        <w:t xml:space="preserve">10.6 Critical flicker fusion</w:t>
      </w:r>
    </w:p>
    <w:p>
      <w:pPr>
        <w:spacing w:after="140" w:line="340"/>
        <w:jc w:val="both"/>
      </w:pPr>
      <w:r>
        <w:rPr>
          <w:rFonts w:ascii="Times New Roman" w:cs="Times New Roman" w:eastAsia="Times New Roman" w:hAnsi="Times New Roman"/>
          <w:b w:val="false"/>
          <w:bCs w:val="false"/>
          <w:i w:val="false"/>
          <w:iCs w:val="false"/>
          <w:sz w:val="24"/>
          <w:szCs w:val="24"/>
        </w:rPr>
        <w:t xml:space="preserve">Critical flicker-fusion (CFF) frequency is listed among the objective indices of visual fatigue [3]. Its status is, however, weak: in the intervention meta-analysis, oral carotenoid supplementation produced a statistically significant CFF change of 1.55 Hz (95% CI 0.42–2.67; p = 0.007) relative to placebo, but the authors explicitly note that </w:t>
      </w:r>
      <w:r>
        <w:rPr>
          <w:rFonts w:ascii="Times New Roman" w:cs="Times New Roman" w:eastAsia="Times New Roman" w:hAnsi="Times New Roman"/>
          <w:b/>
          <w:bCs/>
          <w:i w:val="false"/>
          <w:iCs w:val="false"/>
          <w:sz w:val="24"/>
          <w:szCs w:val="24"/>
        </w:rPr>
        <w:t xml:space="preserve">"the clinical significance of this finding is unclear"</w:t>
      </w:r>
      <w:r>
        <w:rPr>
          <w:rFonts w:ascii="Times New Roman" w:cs="Times New Roman" w:eastAsia="Times New Roman" w:hAnsi="Times New Roman"/>
          <w:b w:val="false"/>
          <w:bCs w:val="false"/>
          <w:i w:val="false"/>
          <w:iCs w:val="false"/>
          <w:sz w:val="24"/>
          <w:szCs w:val="24"/>
        </w:rPr>
        <w:t xml:space="preserve"> [8]. CFF is therefore best regarded as a secondary index of uncertain interpretive value.</w:t>
      </w:r>
    </w:p>
    <w:p>
      <w:pPr>
        <w:pBdr>
          <w:left w:val="single" w:color="4F8EF7" w:sz="12" w:space="8"/>
        </w:pBdr>
        <w:shd w:fill="F4F7FC" w:color="auto" w:val="clear"/>
        <w:spacing w:after="180" w:before="120" w:line="320"/>
        <w:ind w:left="360" w:right="240"/>
        <w:jc w:val="both"/>
      </w:pPr>
      <w:r>
        <w:rPr>
          <w:rFonts w:ascii="Times New Roman" w:cs="Times New Roman" w:eastAsia="Times New Roman" w:hAnsi="Times New Roman"/>
          <w:b/>
          <w:bCs/>
          <w:i w:val="false"/>
          <w:iCs w:val="false"/>
          <w:sz w:val="24"/>
          <w:szCs w:val="24"/>
        </w:rPr>
        <w:t xml:space="preserve">Critical appraisal.</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Established:</w:t>
      </w:r>
      <w:r>
        <w:rPr>
          <w:rFonts w:ascii="Times New Roman" w:cs="Times New Roman" w:eastAsia="Times New Roman" w:hAnsi="Times New Roman"/>
          <w:b w:val="false"/>
          <w:bCs w:val="false"/>
          <w:i w:val="false"/>
          <w:iCs w:val="false"/>
          <w:sz w:val="24"/>
          <w:szCs w:val="24"/>
        </w:rPr>
        <w:t xml:space="preserve"> reduced blink rate during display use [3,26–28]; incomplete-blink ratio correlates with symptoms [26], rises specifically with electronic reading [27], and mechanistically drives tear-film instability [29]; accommodative variability and NITM respond to break schedules [30]; PERCLOS is a validated drowsiness index [31,32]. </w:t>
      </w:r>
      <w:r>
        <w:rPr>
          <w:rFonts w:ascii="Times New Roman" w:cs="Times New Roman" w:eastAsia="Times New Roman" w:hAnsi="Times New Roman"/>
          <w:b w:val="false"/>
          <w:bCs w:val="false"/>
          <w:i/>
          <w:iCs/>
          <w:sz w:val="24"/>
          <w:szCs w:val="24"/>
        </w:rPr>
        <w:t xml:space="preserve">Contested/limited:</w:t>
      </w:r>
      <w:r>
        <w:rPr>
          <w:rFonts w:ascii="Times New Roman" w:cs="Times New Roman" w:eastAsia="Times New Roman" w:hAnsi="Times New Roman"/>
          <w:b w:val="false"/>
          <w:bCs w:val="false"/>
          <w:i w:val="false"/>
          <w:iCs w:val="false"/>
          <w:sz w:val="24"/>
          <w:szCs w:val="24"/>
        </w:rPr>
        <w:t xml:space="preserve"> blink rate as a fatigue index (confounded by engagement and task dynamism, and unresponsive to experimental manipulation of rate) [26–28]; CFF's clinical meaning [8]; PERCLOS outside frank sleepiness [31]. </w:t>
      </w:r>
      <w:r>
        <w:rPr>
          <w:rFonts w:ascii="Times New Roman" w:cs="Times New Roman" w:eastAsia="Times New Roman" w:hAnsi="Times New Roman"/>
          <w:b w:val="false"/>
          <w:bCs w:val="false"/>
          <w:i/>
          <w:iCs/>
          <w:sz w:val="24"/>
          <w:szCs w:val="24"/>
        </w:rPr>
        <w:t xml:space="preserve">Unknown:</w:t>
      </w:r>
      <w:r>
        <w:rPr>
          <w:rFonts w:ascii="Times New Roman" w:cs="Times New Roman" w:eastAsia="Times New Roman" w:hAnsi="Times New Roman"/>
          <w:b w:val="false"/>
          <w:bCs w:val="false"/>
          <w:i w:val="false"/>
          <w:iCs w:val="false"/>
          <w:sz w:val="24"/>
          <w:szCs w:val="24"/>
        </w:rPr>
        <w:t xml:space="preserve"> the sensitivity of the incomplete-blink ratio to </w:t>
      </w:r>
      <w:r>
        <w:rPr>
          <w:rFonts w:ascii="Times New Roman" w:cs="Times New Roman" w:eastAsia="Times New Roman" w:hAnsi="Times New Roman"/>
          <w:b w:val="false"/>
          <w:bCs w:val="false"/>
          <w:i/>
          <w:iCs/>
          <w:sz w:val="24"/>
          <w:szCs w:val="24"/>
        </w:rPr>
        <w:t xml:space="preserve">display-parameter</w:t>
      </w:r>
      <w:r>
        <w:rPr>
          <w:rFonts w:ascii="Times New Roman" w:cs="Times New Roman" w:eastAsia="Times New Roman" w:hAnsi="Times New Roman"/>
          <w:b w:val="false"/>
          <w:bCs w:val="false"/>
          <w:i w:val="false"/>
          <w:iCs w:val="false"/>
          <w:sz w:val="24"/>
          <w:szCs w:val="24"/>
        </w:rPr>
        <w:t xml:space="preserve"> manipulations specifically — every study cited above manipulated medium, task dynamism, duration or breaks, </w:t>
      </w:r>
      <w:r>
        <w:rPr>
          <w:rFonts w:ascii="Times New Roman" w:cs="Times New Roman" w:eastAsia="Times New Roman" w:hAnsi="Times New Roman"/>
          <w:b/>
          <w:bCs/>
          <w:i w:val="false"/>
          <w:iCs w:val="false"/>
          <w:sz w:val="24"/>
          <w:szCs w:val="24"/>
        </w:rPr>
        <w:t xml:space="preserve">not polarity or text colour</w:t>
      </w:r>
      <w:r>
        <w:rPr>
          <w:rFonts w:ascii="Times New Roman" w:cs="Times New Roman" w:eastAsia="Times New Roman" w:hAnsi="Times New Roman"/>
          <w:b w:val="false"/>
          <w:bCs w:val="false"/>
          <w:i w:val="false"/>
          <w:iCs w:val="false"/>
          <w:sz w:val="24"/>
          <w:szCs w:val="24"/>
        </w:rPr>
        <w:t xml:space="preserve">.</w:t>
      </w:r>
    </w:p>
    <w:p>
      <w:pPr>
        <w:pBdr>
          <w:bottom w:val="single" w:color="AAAAAA" w:sz="6" w:space="1"/>
        </w:pBdr>
        <w:spacing w:after="200" w:before="120"/>
      </w:pPr>
      <w:r>
        <w:rPr>
          <w:rFonts w:ascii="Times New Roman" w:cs="Times New Roman" w:eastAsia="Times New Roman" w:hAnsi="Times New Roman"/>
          <w:sz w:val="24"/>
          <w:szCs w:val="24"/>
        </w:rPr>
        <w:t xml:space="preserve"/>
      </w:r>
    </w:p>
    <w:p>
      <w:pPr>
        <w:pStyle w:val="Heading2"/>
        <w:keepNext/>
        <w:spacing w:after="160" w:before="280"/>
      </w:pPr>
      <w:r>
        <w:rPr>
          <w:rFonts w:ascii="Times New Roman" w:cs="Times New Roman" w:eastAsia="Times New Roman" w:hAnsi="Times New Roman"/>
          <w:b/>
          <w:bCs/>
          <w:i w:val="false"/>
          <w:iCs w:val="false"/>
          <w:sz w:val="28"/>
          <w:szCs w:val="28"/>
        </w:rPr>
        <w:t xml:space="preserve">11. Scalable measurement: consumer-grade ocular metrology</w:t>
      </w:r>
    </w:p>
    <w:p>
      <w:pPr>
        <w:pStyle w:val="Heading3"/>
        <w:keepNext/>
        <w:spacing w:after="160" w:before="280"/>
      </w:pPr>
      <w:r>
        <w:rPr>
          <w:rFonts w:ascii="Times New Roman" w:cs="Times New Roman" w:eastAsia="Times New Roman" w:hAnsi="Times New Roman"/>
          <w:b/>
          <w:bCs/>
          <w:i w:val="false"/>
          <w:iCs w:val="false"/>
          <w:sz w:val="26"/>
          <w:szCs w:val="26"/>
        </w:rPr>
        <w:t xml:space="preserve">11.1 The problem</w:t>
      </w:r>
    </w:p>
    <w:p>
      <w:pPr>
        <w:spacing w:after="140" w:line="340"/>
        <w:jc w:val="both"/>
      </w:pPr>
      <w:r>
        <w:rPr>
          <w:rFonts w:ascii="Times New Roman" w:cs="Times New Roman" w:eastAsia="Times New Roman" w:hAnsi="Times New Roman"/>
          <w:b w:val="false"/>
          <w:bCs w:val="false"/>
          <w:i w:val="false"/>
          <w:iCs w:val="false"/>
          <w:sz w:val="24"/>
          <w:szCs w:val="24"/>
        </w:rPr>
        <w:t xml:space="preserve">The best-validated objective markers require specialist instrumentation: open-field autorefractometry for accommodation [18,30], and video observation with manual frame-by-frame annotation for blink completeness [26–29]. Manual annotation in particular is labour-intensive and unblinded, and constrains sample size and session length. This is a first-order obstacle to accumulating evidence in this field, and it is the reason the literature on blink completeness consists of small-sample studies (N = 11–50) [26–29].</w:t>
      </w:r>
    </w:p>
    <w:p>
      <w:pPr>
        <w:pStyle w:val="Heading3"/>
        <w:keepNext/>
        <w:spacing w:after="160" w:before="280"/>
      </w:pPr>
      <w:r>
        <w:rPr>
          <w:rFonts w:ascii="Times New Roman" w:cs="Times New Roman" w:eastAsia="Times New Roman" w:hAnsi="Times New Roman"/>
          <w:b/>
          <w:bCs/>
          <w:i w:val="false"/>
          <w:iCs w:val="false"/>
          <w:sz w:val="26"/>
          <w:szCs w:val="26"/>
        </w:rPr>
        <w:t xml:space="preserve">11.2 Facial-landmark blink detection: the eye-aspect-ratio approach</w:t>
      </w:r>
    </w:p>
    <w:p>
      <w:pPr>
        <w:spacing w:after="140" w:line="340"/>
        <w:jc w:val="both"/>
      </w:pPr>
      <w:r>
        <w:rPr>
          <w:rFonts w:ascii="Times New Roman" w:cs="Times New Roman" w:eastAsia="Times New Roman" w:hAnsi="Times New Roman"/>
          <w:b w:val="false"/>
          <w:bCs w:val="false"/>
          <w:i w:val="false"/>
          <w:iCs w:val="false"/>
          <w:sz w:val="24"/>
          <w:szCs w:val="24"/>
        </w:rPr>
        <w:t xml:space="preserve">The dominant computational approach derives a scalar </w:t>
      </w:r>
      <w:r>
        <w:rPr>
          <w:rFonts w:ascii="Times New Roman" w:cs="Times New Roman" w:eastAsia="Times New Roman" w:hAnsi="Times New Roman"/>
          <w:b/>
          <w:bCs/>
          <w:i w:val="false"/>
          <w:iCs w:val="false"/>
          <w:sz w:val="24"/>
          <w:szCs w:val="24"/>
        </w:rPr>
        <w:t xml:space="preserve">eye aspect ratio (EAR)</w:t>
      </w:r>
      <w:r>
        <w:rPr>
          <w:rFonts w:ascii="Times New Roman" w:cs="Times New Roman" w:eastAsia="Times New Roman" w:hAnsi="Times New Roman"/>
          <w:b w:val="false"/>
          <w:bCs w:val="false"/>
          <w:i w:val="false"/>
          <w:iCs w:val="false"/>
          <w:sz w:val="24"/>
          <w:szCs w:val="24"/>
        </w:rPr>
        <w:t xml:space="preserve"> from facial landmarks — the ratio of the vertical inter-landmark distances of the eye aperture to its horizontal palpebral width — and detects blinks as a characteristic temporal pattern in the EAR signal [35]. The method's rationale is that modern landmark detectors trained on in-the-wild data are robust to head orientation, illumination variation and facial expression, and localise eye landmarks precisely enough to estimate the level of eye opening [35]. Dense-landmark face models (e.g. 468-point face-mesh models) provide sufficient eye-region landmark density for this estimation using only an RGB camera. Because EAR is a continuous, normalised measure of aperture, it is in principle capable of distinguishing </w:t>
      </w:r>
      <w:r>
        <w:rPr>
          <w:rFonts w:ascii="Times New Roman" w:cs="Times New Roman" w:eastAsia="Times New Roman" w:hAnsi="Times New Roman"/>
          <w:b/>
          <w:bCs/>
          <w:i w:val="false"/>
          <w:iCs w:val="false"/>
          <w:sz w:val="24"/>
          <w:szCs w:val="24"/>
        </w:rPr>
        <w:t xml:space="preserve">partial from complete</w:t>
      </w:r>
      <w:r>
        <w:rPr>
          <w:rFonts w:ascii="Times New Roman" w:cs="Times New Roman" w:eastAsia="Times New Roman" w:hAnsi="Times New Roman"/>
          <w:b w:val="false"/>
          <w:bCs w:val="false"/>
          <w:i w:val="false"/>
          <w:iCs w:val="false"/>
          <w:sz w:val="24"/>
          <w:szCs w:val="24"/>
        </w:rPr>
        <w:t xml:space="preserve"> closure — that is, of automating precisely the blink-completeness measurement that the clinical literature has had to perform by hand [26,27,29].</w:t>
      </w:r>
    </w:p>
    <w:p>
      <w:pPr>
        <w:pStyle w:val="Heading3"/>
        <w:keepNext/>
        <w:spacing w:after="160" w:before="280"/>
      </w:pPr>
      <w:r>
        <w:rPr>
          <w:rFonts w:ascii="Times New Roman" w:cs="Times New Roman" w:eastAsia="Times New Roman" w:hAnsi="Times New Roman"/>
          <w:b/>
          <w:bCs/>
          <w:i w:val="false"/>
          <w:iCs w:val="false"/>
          <w:sz w:val="26"/>
          <w:szCs w:val="26"/>
        </w:rPr>
        <w:t xml:space="preserve">11.3 Validity: what webcam methods can and cannot support</w:t>
      </w:r>
    </w:p>
    <w:p>
      <w:pPr>
        <w:spacing w:after="140" w:line="340"/>
        <w:jc w:val="both"/>
      </w:pPr>
      <w:r>
        <w:rPr>
          <w:rFonts w:ascii="Times New Roman" w:cs="Times New Roman" w:eastAsia="Times New Roman" w:hAnsi="Times New Roman"/>
          <w:b w:val="false"/>
          <w:bCs w:val="false"/>
          <w:i w:val="false"/>
          <w:iCs w:val="false"/>
          <w:sz w:val="24"/>
          <w:szCs w:val="24"/>
        </w:rPr>
        <w:t xml:space="preserve">The validity evidence must be read carefully, and it differs sharply by measurement target.</w:t>
      </w:r>
    </w:p>
    <w:p>
      <w:pPr>
        <w:pStyle w:val="ListParagraph"/>
        <w:numPr>
          <w:ilvl w:val="0"/>
          <w:numId w:val="2"/>
        </w:numPr>
        <w:spacing w:after="90" w:line="320"/>
        <w:jc w:val="both"/>
      </w:pPr>
      <w:r>
        <w:rPr>
          <w:rFonts w:ascii="Times New Roman" w:cs="Times New Roman" w:eastAsia="Times New Roman" w:hAnsi="Times New Roman"/>
          <w:b/>
          <w:bCs/>
          <w:i w:val="false"/>
          <w:iCs w:val="false"/>
          <w:sz w:val="24"/>
          <w:szCs w:val="24"/>
        </w:rPr>
        <w:t xml:space="preserve">Gaze position.</w:t>
      </w:r>
      <w:r>
        <w:rPr>
          <w:rFonts w:ascii="Times New Roman" w:cs="Times New Roman" w:eastAsia="Times New Roman" w:hAnsi="Times New Roman"/>
          <w:b w:val="false"/>
          <w:bCs w:val="false"/>
          <w:i w:val="false"/>
          <w:iCs w:val="false"/>
          <w:sz w:val="24"/>
          <w:szCs w:val="24"/>
        </w:rPr>
        <w:t xml:space="preserve"> Webcam gaze estimation is </w:t>
      </w:r>
      <w:r>
        <w:rPr>
          <w:rFonts w:ascii="Times New Roman" w:cs="Times New Roman" w:eastAsia="Times New Roman" w:hAnsi="Times New Roman"/>
          <w:b/>
          <w:bCs/>
          <w:i w:val="false"/>
          <w:iCs w:val="false"/>
          <w:sz w:val="24"/>
          <w:szCs w:val="24"/>
        </w:rPr>
        <w:t xml:space="preserve">less accurate and lower in sampling rate</w:t>
      </w:r>
      <w:r>
        <w:rPr>
          <w:rFonts w:ascii="Times New Roman" w:cs="Times New Roman" w:eastAsia="Times New Roman" w:hAnsi="Times New Roman"/>
          <w:b w:val="false"/>
          <w:bCs w:val="false"/>
          <w:i w:val="false"/>
          <w:iCs w:val="false"/>
          <w:sz w:val="24"/>
          <w:szCs w:val="24"/>
        </w:rPr>
        <w:t xml:space="preserve"> than infrared pupil–corneal-reflection eye tracking; regression-based webcam approaches (e.g. WebGazer) have substantially poorer spatial accuracy than dedicated infrared systems. Direct comparisons indicate webcam methods can recover expected effects in some paradigms but that lower sampling rate and lower spatial accuracy are their two principal limitations. Webcam gaze is therefore defensible for </w:t>
      </w:r>
      <w:r>
        <w:rPr>
          <w:rFonts w:ascii="Times New Roman" w:cs="Times New Roman" w:eastAsia="Times New Roman" w:hAnsi="Times New Roman"/>
          <w:b/>
          <w:bCs/>
          <w:i w:val="false"/>
          <w:iCs w:val="false"/>
          <w:sz w:val="24"/>
          <w:szCs w:val="24"/>
        </w:rPr>
        <w:t xml:space="preserve">coarse, large-region</w:t>
      </w:r>
      <w:r>
        <w:rPr>
          <w:rFonts w:ascii="Times New Roman" w:cs="Times New Roman" w:eastAsia="Times New Roman" w:hAnsi="Times New Roman"/>
          <w:b w:val="false"/>
          <w:bCs w:val="false"/>
          <w:i w:val="false"/>
          <w:iCs w:val="false"/>
          <w:sz w:val="24"/>
          <w:szCs w:val="24"/>
        </w:rPr>
        <w:t xml:space="preserve"> classification (on-screen vs off-screen, broad zone) and </w:t>
      </w:r>
      <w:r>
        <w:rPr>
          <w:rFonts w:ascii="Times New Roman" w:cs="Times New Roman" w:eastAsia="Times New Roman" w:hAnsi="Times New Roman"/>
          <w:b/>
          <w:bCs/>
          <w:i w:val="false"/>
          <w:iCs w:val="false"/>
          <w:sz w:val="24"/>
          <w:szCs w:val="24"/>
        </w:rPr>
        <w:t xml:space="preserve">not</w:t>
      </w:r>
      <w:r>
        <w:rPr>
          <w:rFonts w:ascii="Times New Roman" w:cs="Times New Roman" w:eastAsia="Times New Roman" w:hAnsi="Times New Roman"/>
          <w:b w:val="false"/>
          <w:bCs w:val="false"/>
          <w:i w:val="false"/>
          <w:iCs w:val="false"/>
          <w:sz w:val="24"/>
          <w:szCs w:val="24"/>
        </w:rPr>
        <w:t xml:space="preserve"> for fixation-level or reading-eye-movement analysis.</w:t>
      </w:r>
    </w:p>
    <w:p>
      <w:pPr>
        <w:pStyle w:val="ListParagraph"/>
        <w:numPr>
          <w:ilvl w:val="0"/>
          <w:numId w:val="2"/>
        </w:numPr>
        <w:spacing w:after="90" w:line="320"/>
        <w:jc w:val="both"/>
      </w:pPr>
      <w:r>
        <w:rPr>
          <w:rFonts w:ascii="Times New Roman" w:cs="Times New Roman" w:eastAsia="Times New Roman" w:hAnsi="Times New Roman"/>
          <w:b/>
          <w:bCs/>
          <w:i w:val="false"/>
          <w:iCs w:val="false"/>
          <w:sz w:val="24"/>
          <w:szCs w:val="24"/>
        </w:rPr>
        <w:t xml:space="preserve">Blink and eyelid-aperture measures.</w:t>
      </w:r>
      <w:r>
        <w:rPr>
          <w:rFonts w:ascii="Times New Roman" w:cs="Times New Roman" w:eastAsia="Times New Roman" w:hAnsi="Times New Roman"/>
          <w:b w:val="false"/>
          <w:bCs w:val="false"/>
          <w:i w:val="false"/>
          <w:iCs w:val="false"/>
          <w:sz w:val="24"/>
          <w:szCs w:val="24"/>
        </w:rPr>
        <w:t xml:space="preserve"> These have a materially stronger case, because they are </w:t>
      </w:r>
      <w:r>
        <w:rPr>
          <w:rFonts w:ascii="Times New Roman" w:cs="Times New Roman" w:eastAsia="Times New Roman" w:hAnsi="Times New Roman"/>
          <w:b/>
          <w:bCs/>
          <w:i w:val="false"/>
          <w:iCs w:val="false"/>
          <w:sz w:val="24"/>
          <w:szCs w:val="24"/>
        </w:rPr>
        <w:t xml:space="preserve">count- and proportion-based</w:t>
      </w:r>
      <w:r>
        <w:rPr>
          <w:rFonts w:ascii="Times New Roman" w:cs="Times New Roman" w:eastAsia="Times New Roman" w:hAnsi="Times New Roman"/>
          <w:b w:val="false"/>
          <w:bCs w:val="false"/>
          <w:i w:val="false"/>
          <w:iCs w:val="false"/>
          <w:sz w:val="24"/>
          <w:szCs w:val="24"/>
        </w:rPr>
        <w:t xml:space="preserve"> rather than spatially precise: they require temporal resolution adequate to resolve a blink and amplitude resolution adequate to distinguish partial from complete closure, but not degree-accurate gaze mapping.</w:t>
      </w:r>
    </w:p>
    <w:p>
      <w:pPr>
        <w:pStyle w:val="ListParagraph"/>
        <w:numPr>
          <w:ilvl w:val="0"/>
          <w:numId w:val="2"/>
        </w:numPr>
        <w:spacing w:after="90" w:line="320"/>
        <w:jc w:val="both"/>
      </w:pPr>
      <w:r>
        <w:rPr>
          <w:rFonts w:ascii="Times New Roman" w:cs="Times New Roman" w:eastAsia="Times New Roman" w:hAnsi="Times New Roman"/>
          <w:b/>
          <w:bCs/>
          <w:i w:val="false"/>
          <w:iCs w:val="false"/>
          <w:sz w:val="24"/>
          <w:szCs w:val="24"/>
        </w:rPr>
        <w:t xml:space="preserve">Sampling-rate constraint.</w:t>
      </w:r>
      <w:r>
        <w:rPr>
          <w:rFonts w:ascii="Times New Roman" w:cs="Times New Roman" w:eastAsia="Times New Roman" w:hAnsi="Times New Roman"/>
          <w:b w:val="false"/>
          <w:bCs w:val="false"/>
          <w:i w:val="false"/>
          <w:iCs w:val="false"/>
          <w:sz w:val="24"/>
          <w:szCs w:val="24"/>
        </w:rPr>
        <w:t xml:space="preserve"> This is quantitative and must be respected. Blinks last on the order of 100–400 ms. Metrics defined by blink </w:t>
      </w:r>
      <w:r>
        <w:rPr>
          <w:rFonts w:ascii="Times New Roman" w:cs="Times New Roman" w:eastAsia="Times New Roman" w:hAnsi="Times New Roman"/>
          <w:b w:val="false"/>
          <w:bCs w:val="false"/>
          <w:i/>
          <w:iCs/>
          <w:sz w:val="24"/>
          <w:szCs w:val="24"/>
        </w:rPr>
        <w:t xml:space="preserve">duration</w:t>
      </w:r>
      <w:r>
        <w:rPr>
          <w:rFonts w:ascii="Times New Roman" w:cs="Times New Roman" w:eastAsia="Times New Roman" w:hAnsi="Times New Roman"/>
          <w:b w:val="false"/>
          <w:bCs w:val="false"/>
          <w:i w:val="false"/>
          <w:iCs w:val="false"/>
          <w:sz w:val="24"/>
          <w:szCs w:val="24"/>
        </w:rPr>
        <w:t xml:space="preserve"> are therefore near the Nyquist limit at conventional webcam frame rates and become unreliable below approximately 25 frames per second, whereas </w:t>
      </w:r>
      <w:r>
        <w:rPr>
          <w:rFonts w:ascii="Times New Roman" w:cs="Times New Roman" w:eastAsia="Times New Roman" w:hAnsi="Times New Roman"/>
          <w:b w:val="false"/>
          <w:bCs w:val="false"/>
          <w:i/>
          <w:iCs/>
          <w:sz w:val="24"/>
          <w:szCs w:val="24"/>
        </w:rPr>
        <w:t xml:space="preserve">proportion</w:t>
      </w:r>
      <w:r>
        <w:rPr>
          <w:rFonts w:ascii="Times New Roman" w:cs="Times New Roman" w:eastAsia="Times New Roman" w:hAnsi="Times New Roman"/>
          <w:b w:val="false"/>
          <w:bCs w:val="false"/>
          <w:i w:val="false"/>
          <w:iCs w:val="false"/>
          <w:sz w:val="24"/>
          <w:szCs w:val="24"/>
        </w:rPr>
        <w:t xml:space="preserve"> and </w:t>
      </w:r>
      <w:r>
        <w:rPr>
          <w:rFonts w:ascii="Times New Roman" w:cs="Times New Roman" w:eastAsia="Times New Roman" w:hAnsi="Times New Roman"/>
          <w:b w:val="false"/>
          <w:bCs w:val="false"/>
          <w:i/>
          <w:iCs/>
          <w:sz w:val="24"/>
          <w:szCs w:val="24"/>
        </w:rPr>
        <w:t xml:space="preserve">count</w:t>
      </w:r>
      <w:r>
        <w:rPr>
          <w:rFonts w:ascii="Times New Roman" w:cs="Times New Roman" w:eastAsia="Times New Roman" w:hAnsi="Times New Roman"/>
          <w:b w:val="false"/>
          <w:bCs w:val="false"/>
          <w:i w:val="false"/>
          <w:iCs w:val="false"/>
          <w:sz w:val="24"/>
          <w:szCs w:val="24"/>
        </w:rPr>
        <w:t xml:space="preserve"> metrics (blink rate, incomplete-blink ratio, PERCLOS) are considerably more robust to frame-rate variation. Any instrument of this kind must therefore </w:t>
      </w:r>
      <w:r>
        <w:rPr>
          <w:rFonts w:ascii="Times New Roman" w:cs="Times New Roman" w:eastAsia="Times New Roman" w:hAnsi="Times New Roman"/>
          <w:b/>
          <w:bCs/>
          <w:i w:val="false"/>
          <w:iCs w:val="false"/>
          <w:sz w:val="24"/>
          <w:szCs w:val="24"/>
        </w:rPr>
        <w:t xml:space="preserve">record its achieved effective sampling rate</w:t>
      </w:r>
      <w:r>
        <w:rPr>
          <w:rFonts w:ascii="Times New Roman" w:cs="Times New Roman" w:eastAsia="Times New Roman" w:hAnsi="Times New Roman"/>
          <w:b w:val="false"/>
          <w:bCs w:val="false"/>
          <w:i w:val="false"/>
          <w:iCs w:val="false"/>
          <w:sz w:val="24"/>
          <w:szCs w:val="24"/>
        </w:rPr>
        <w:t xml:space="preserve"> and gate duration-dependent metrics on it, rather than reporting all metrics with equal confidence.</w:t>
      </w:r>
    </w:p>
    <w:p>
      <w:pPr>
        <w:pStyle w:val="Heading3"/>
        <w:keepNext/>
        <w:spacing w:after="160" w:before="280"/>
      </w:pPr>
      <w:r>
        <w:rPr>
          <w:rFonts w:ascii="Times New Roman" w:cs="Times New Roman" w:eastAsia="Times New Roman" w:hAnsi="Times New Roman"/>
          <w:b/>
          <w:bCs/>
          <w:i w:val="false"/>
          <w:iCs w:val="false"/>
          <w:sz w:val="26"/>
          <w:szCs w:val="26"/>
        </w:rPr>
        <w:t xml:space="preserve">11.4 Consequence for research design</w:t>
      </w:r>
    </w:p>
    <w:p>
      <w:pPr>
        <w:spacing w:after="140" w:line="340"/>
        <w:jc w:val="both"/>
      </w:pPr>
      <w:r>
        <w:rPr>
          <w:rFonts w:ascii="Times New Roman" w:cs="Times New Roman" w:eastAsia="Times New Roman" w:hAnsi="Times New Roman"/>
          <w:b w:val="false"/>
          <w:bCs w:val="false"/>
          <w:i w:val="false"/>
          <w:iCs w:val="false"/>
          <w:sz w:val="24"/>
          <w:szCs w:val="24"/>
        </w:rPr>
        <w:t xml:space="preserve">The honest positioning is that consumer-grade webcam metrology is a </w:t>
      </w:r>
      <w:r>
        <w:rPr>
          <w:rFonts w:ascii="Times New Roman" w:cs="Times New Roman" w:eastAsia="Times New Roman" w:hAnsi="Times New Roman"/>
          <w:b/>
          <w:bCs/>
          <w:i w:val="false"/>
          <w:iCs w:val="false"/>
          <w:sz w:val="24"/>
          <w:szCs w:val="24"/>
        </w:rPr>
        <w:t xml:space="preserve">screening-grade</w:t>
      </w:r>
      <w:r>
        <w:rPr>
          <w:rFonts w:ascii="Times New Roman" w:cs="Times New Roman" w:eastAsia="Times New Roman" w:hAnsi="Times New Roman"/>
          <w:b w:val="false"/>
          <w:bCs w:val="false"/>
          <w:i w:val="false"/>
          <w:iCs w:val="false"/>
          <w:sz w:val="24"/>
          <w:szCs w:val="24"/>
        </w:rPr>
        <w:t xml:space="preserve"> instrument: it trades spatial precision for scale, cost, portability and ecological validity, and it is appropriately used for proportion/count-based ocular markers with transparent reporting of achieved sampling rate and data quality. Infrared eye tracking and open-field autorefractometry remain the reference standards for gaze and accommodation respectively. A research programme that adopts webcam metrology must therefore build in its own quality-control instrumentation (face-presence ratio, achieved frame rate, illumination adequacy, head-pose stability) and report it as data, not suppress it.</w:t>
      </w:r>
    </w:p>
    <w:p>
      <w:pPr>
        <w:pBdr>
          <w:left w:val="single" w:color="4F8EF7" w:sz="12" w:space="8"/>
        </w:pBdr>
        <w:shd w:fill="F4F7FC" w:color="auto" w:val="clear"/>
        <w:spacing w:after="180" w:before="120" w:line="320"/>
        <w:ind w:left="360" w:right="240"/>
        <w:jc w:val="both"/>
      </w:pPr>
      <w:r>
        <w:rPr>
          <w:rFonts w:ascii="Times New Roman" w:cs="Times New Roman" w:eastAsia="Times New Roman" w:hAnsi="Times New Roman"/>
          <w:b/>
          <w:bCs/>
          <w:i w:val="false"/>
          <w:iCs w:val="false"/>
          <w:sz w:val="24"/>
          <w:szCs w:val="24"/>
        </w:rPr>
        <w:t xml:space="preserve">Critical appraisal.</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Established:</w:t>
      </w:r>
      <w:r>
        <w:rPr>
          <w:rFonts w:ascii="Times New Roman" w:cs="Times New Roman" w:eastAsia="Times New Roman" w:hAnsi="Times New Roman"/>
          <w:b w:val="false"/>
          <w:bCs w:val="false"/>
          <w:i w:val="false"/>
          <w:iCs w:val="false"/>
          <w:sz w:val="24"/>
          <w:szCs w:val="24"/>
        </w:rPr>
        <w:t xml:space="preserve"> the EAR/facial-landmark approach is a workable, widely adopted basis for automated blink detection [35]; webcam gaze is less accurate and lower-rate than infrared. </w:t>
      </w:r>
      <w:r>
        <w:rPr>
          <w:rFonts w:ascii="Times New Roman" w:cs="Times New Roman" w:eastAsia="Times New Roman" w:hAnsi="Times New Roman"/>
          <w:b w:val="false"/>
          <w:bCs w:val="false"/>
          <w:i/>
          <w:iCs/>
          <w:sz w:val="24"/>
          <w:szCs w:val="24"/>
        </w:rPr>
        <w:t xml:space="preserve">Unknown/gap:</w:t>
      </w:r>
      <w:r>
        <w:rPr>
          <w:rFonts w:ascii="Times New Roman" w:cs="Times New Roman" w:eastAsia="Times New Roman" w:hAnsi="Times New Roman"/>
          <w:b w:val="false"/>
          <w:bCs w:val="false"/>
          <w:i w:val="false"/>
          <w:iCs w:val="false"/>
          <w:sz w:val="24"/>
          <w:szCs w:val="24"/>
        </w:rPr>
        <w:t xml:space="preserve"> there is </w:t>
      </w:r>
      <w:r>
        <w:rPr>
          <w:rFonts w:ascii="Times New Roman" w:cs="Times New Roman" w:eastAsia="Times New Roman" w:hAnsi="Times New Roman"/>
          <w:b/>
          <w:bCs/>
          <w:i w:val="false"/>
          <w:iCs w:val="false"/>
          <w:sz w:val="24"/>
          <w:szCs w:val="24"/>
        </w:rPr>
        <w:t xml:space="preserve">no published validation of a webcam-based incomplete-blink-ratio measure against the manual video annotation used in the clinical blink literature</w:t>
      </w:r>
      <w:r>
        <w:rPr>
          <w:rFonts w:ascii="Times New Roman" w:cs="Times New Roman" w:eastAsia="Times New Roman" w:hAnsi="Times New Roman"/>
          <w:b w:val="false"/>
          <w:bCs w:val="false"/>
          <w:i w:val="false"/>
          <w:iCs w:val="false"/>
          <w:sz w:val="24"/>
          <w:szCs w:val="24"/>
        </w:rPr>
        <w:t xml:space="preserve"> [26,27,29]. Establishing such agreement is a methodological contribution in its own right, and one this research programme is positioned to make.</w:t>
      </w:r>
    </w:p>
    <w:p>
      <w:pPr>
        <w:pBdr>
          <w:bottom w:val="single" w:color="AAAAAA" w:sz="6" w:space="1"/>
        </w:pBdr>
        <w:spacing w:after="200" w:before="120"/>
      </w:pPr>
      <w:r>
        <w:rPr>
          <w:rFonts w:ascii="Times New Roman" w:cs="Times New Roman" w:eastAsia="Times New Roman" w:hAnsi="Times New Roman"/>
          <w:sz w:val="24"/>
          <w:szCs w:val="24"/>
        </w:rPr>
        <w:t xml:space="preserve"/>
      </w:r>
    </w:p>
    <w:p>
      <w:pPr>
        <w:pStyle w:val="Heading2"/>
        <w:keepNext/>
        <w:spacing w:after="160" w:before="280"/>
      </w:pPr>
      <w:r>
        <w:rPr>
          <w:rFonts w:ascii="Times New Roman" w:cs="Times New Roman" w:eastAsia="Times New Roman" w:hAnsi="Times New Roman"/>
          <w:b/>
          <w:bCs/>
          <w:i w:val="false"/>
          <w:iCs w:val="false"/>
          <w:sz w:val="28"/>
          <w:szCs w:val="28"/>
        </w:rPr>
        <w:t xml:space="preserve">12. Methodological considerations for within-subjects display research</w:t>
      </w:r>
    </w:p>
    <w:p>
      <w:pPr>
        <w:pStyle w:val="Heading3"/>
        <w:keepNext/>
        <w:spacing w:after="160" w:before="280"/>
      </w:pPr>
      <w:r>
        <w:rPr>
          <w:rFonts w:ascii="Times New Roman" w:cs="Times New Roman" w:eastAsia="Times New Roman" w:hAnsi="Times New Roman"/>
          <w:b/>
          <w:bCs/>
          <w:i w:val="false"/>
          <w:iCs w:val="false"/>
          <w:sz w:val="26"/>
          <w:szCs w:val="26"/>
        </w:rPr>
        <w:t xml:space="preserve">12.1 Counterbalancing and carryover</w:t>
      </w:r>
    </w:p>
    <w:p>
      <w:pPr>
        <w:spacing w:after="140" w:line="340"/>
        <w:jc w:val="both"/>
      </w:pPr>
      <w:r>
        <w:rPr>
          <w:rFonts w:ascii="Times New Roman" w:cs="Times New Roman" w:eastAsia="Times New Roman" w:hAnsi="Times New Roman"/>
          <w:b w:val="false"/>
          <w:bCs w:val="false"/>
          <w:i w:val="false"/>
          <w:iCs w:val="false"/>
          <w:sz w:val="24"/>
          <w:szCs w:val="24"/>
        </w:rPr>
        <w:t xml:space="preserve">With eight conditions presented within participants over a long session, two order-related threats arise: serial-position effects (driven by the vigilance decrement, §8, and by accumulating visual fatigue) and first-order carryover (each condition's effect contaminated by its predecessor — of particular concern here, since a polarity switch imposes a light-adaptation transient). A </w:t>
      </w:r>
      <w:r>
        <w:rPr>
          <w:rFonts w:ascii="Times New Roman" w:cs="Times New Roman" w:eastAsia="Times New Roman" w:hAnsi="Times New Roman"/>
          <w:b/>
          <w:bCs/>
          <w:i w:val="false"/>
          <w:iCs w:val="false"/>
          <w:sz w:val="24"/>
          <w:szCs w:val="24"/>
        </w:rPr>
        <w:t xml:space="preserve">balanced (Williams-type) Latin square</w:t>
      </w:r>
      <w:r>
        <w:rPr>
          <w:rFonts w:ascii="Times New Roman" w:cs="Times New Roman" w:eastAsia="Times New Roman" w:hAnsi="Times New Roman"/>
          <w:b w:val="false"/>
          <w:bCs w:val="false"/>
          <w:i w:val="false"/>
          <w:iCs w:val="false"/>
          <w:sz w:val="24"/>
          <w:szCs w:val="24"/>
        </w:rPr>
        <w:t xml:space="preserve"> addresses both: each condition occupies each serial position equally often across a full cycle of participants, and each condition precedes and follows every other equally often. Two design corollaries follow: participant-to-row assignment must use a </w:t>
      </w:r>
      <w:r>
        <w:rPr>
          <w:rFonts w:ascii="Times New Roman" w:cs="Times New Roman" w:eastAsia="Times New Roman" w:hAnsi="Times New Roman"/>
          <w:b/>
          <w:bCs/>
          <w:i w:val="false"/>
          <w:iCs w:val="false"/>
          <w:sz w:val="24"/>
          <w:szCs w:val="24"/>
        </w:rPr>
        <w:t xml:space="preserve">sequential enrolment index</w:t>
      </w:r>
      <w:r>
        <w:rPr>
          <w:rFonts w:ascii="Times New Roman" w:cs="Times New Roman" w:eastAsia="Times New Roman" w:hAnsi="Times New Roman"/>
          <w:b w:val="false"/>
          <w:bCs w:val="false"/>
          <w:i w:val="false"/>
          <w:iCs w:val="false"/>
          <w:sz w:val="24"/>
          <w:szCs w:val="24"/>
        </w:rPr>
        <w:t xml:space="preserve"> (hashing arbitrary identifiers destroys balance through collisions and gaps), and full balance is achieved only in complete blocks of </w:t>
      </w:r>
      <w:r>
        <w:rPr>
          <w:rFonts w:ascii="Times New Roman" w:cs="Times New Roman" w:eastAsia="Times New Roman" w:hAnsi="Times New Roman"/>
          <w:b w:val="false"/>
          <w:bCs w:val="false"/>
          <w:i/>
          <w:iCs/>
          <w:sz w:val="24"/>
          <w:szCs w:val="24"/>
        </w:rPr>
        <w:t xml:space="preserve">n</w:t>
      </w:r>
      <w:r>
        <w:rPr>
          <w:rFonts w:ascii="Times New Roman" w:cs="Times New Roman" w:eastAsia="Times New Roman" w:hAnsi="Times New Roman"/>
          <w:b w:val="false"/>
          <w:bCs w:val="false"/>
          <w:i w:val="false"/>
          <w:iCs w:val="false"/>
          <w:sz w:val="24"/>
          <w:szCs w:val="24"/>
        </w:rPr>
        <w:t xml:space="preserve"> participants, so target sample size should be a multiple of the number of conditions.</w:t>
      </w:r>
    </w:p>
    <w:p>
      <w:pPr>
        <w:pStyle w:val="Heading3"/>
        <w:keepNext/>
        <w:spacing w:after="160" w:before="280"/>
      </w:pPr>
      <w:r>
        <w:rPr>
          <w:rFonts w:ascii="Times New Roman" w:cs="Times New Roman" w:eastAsia="Times New Roman" w:hAnsi="Times New Roman"/>
          <w:b/>
          <w:bCs/>
          <w:i w:val="false"/>
          <w:iCs w:val="false"/>
          <w:sz w:val="26"/>
          <w:szCs w:val="26"/>
        </w:rPr>
        <w:t xml:space="preserve">12.2 Adaptation between conditions</w:t>
      </w:r>
    </w:p>
    <w:p>
      <w:pPr>
        <w:spacing w:after="140" w:line="340"/>
        <w:jc w:val="both"/>
      </w:pPr>
      <w:r>
        <w:rPr>
          <w:rFonts w:ascii="Times New Roman" w:cs="Times New Roman" w:eastAsia="Times New Roman" w:hAnsi="Times New Roman"/>
          <w:b w:val="false"/>
          <w:bCs w:val="false"/>
          <w:i w:val="false"/>
          <w:iCs w:val="false"/>
          <w:sz w:val="24"/>
          <w:szCs w:val="24"/>
        </w:rPr>
        <w:t xml:space="preserve">Because polarity transitions impose a luminance-adaptation transient, an inter-condition adaptation interval on a neutral field is required, with a longer interval when polarity switches than when it does not. This is a direct implication of the pupil-mediated mechanism of the PPA [13–15].</w:t>
      </w:r>
    </w:p>
    <w:p>
      <w:pPr>
        <w:pStyle w:val="Heading3"/>
        <w:keepNext/>
        <w:spacing w:after="160" w:before="280"/>
      </w:pPr>
      <w:r>
        <w:rPr>
          <w:rFonts w:ascii="Times New Roman" w:cs="Times New Roman" w:eastAsia="Times New Roman" w:hAnsi="Times New Roman"/>
          <w:b/>
          <w:bCs/>
          <w:i w:val="false"/>
          <w:iCs w:val="false"/>
          <w:sz w:val="26"/>
          <w:szCs w:val="26"/>
        </w:rPr>
        <w:t xml:space="preserve">12.3 Confound control: stimulus content</w:t>
      </w:r>
    </w:p>
    <w:p>
      <w:pPr>
        <w:spacing w:after="140" w:line="340"/>
        <w:jc w:val="both"/>
      </w:pPr>
      <w:r>
        <w:rPr>
          <w:rFonts w:ascii="Times New Roman" w:cs="Times New Roman" w:eastAsia="Times New Roman" w:hAnsi="Times New Roman"/>
          <w:b w:val="false"/>
          <w:bCs w:val="false"/>
          <w:i w:val="false"/>
          <w:iCs w:val="false"/>
          <w:sz w:val="24"/>
          <w:szCs w:val="24"/>
        </w:rPr>
        <w:t xml:space="preserve">Where each condition uses a different reading passage, passage difficulty is confounded with condition unless passage assignment is itself counterbalanced independently of condition (a second, orthogonal Latin square). Given the demonstrated moderation of medium effects by text genre [20], passages must additionally be matched on genre, length and readability.</w:t>
      </w:r>
    </w:p>
    <w:p>
      <w:pPr>
        <w:pStyle w:val="Heading3"/>
        <w:keepNext/>
        <w:spacing w:after="160" w:before="280"/>
      </w:pPr>
      <w:r>
        <w:rPr>
          <w:rFonts w:ascii="Times New Roman" w:cs="Times New Roman" w:eastAsia="Times New Roman" w:hAnsi="Times New Roman"/>
          <w:b/>
          <w:bCs/>
          <w:i w:val="false"/>
          <w:iCs w:val="false"/>
          <w:sz w:val="26"/>
          <w:szCs w:val="26"/>
        </w:rPr>
        <w:t xml:space="preserve">12.4 Statistical model</w:t>
      </w:r>
    </w:p>
    <w:p>
      <w:pPr>
        <w:spacing w:after="140" w:line="340"/>
        <w:jc w:val="both"/>
      </w:pPr>
      <w:r>
        <w:rPr>
          <w:rFonts w:ascii="Times New Roman" w:cs="Times New Roman" w:eastAsia="Times New Roman" w:hAnsi="Times New Roman"/>
          <w:b w:val="false"/>
          <w:bCs w:val="false"/>
          <w:i w:val="false"/>
          <w:iCs w:val="false"/>
          <w:sz w:val="24"/>
          <w:szCs w:val="24"/>
        </w:rPr>
        <w:t xml:space="preserve">The appropriate analytic framework is a </w:t>
      </w:r>
      <w:r>
        <w:rPr>
          <w:rFonts w:ascii="Times New Roman" w:cs="Times New Roman" w:eastAsia="Times New Roman" w:hAnsi="Times New Roman"/>
          <w:b/>
          <w:bCs/>
          <w:i w:val="false"/>
          <w:iCs w:val="false"/>
          <w:sz w:val="24"/>
          <w:szCs w:val="24"/>
        </w:rPr>
        <w:t xml:space="preserve">linear mixed-effects model with a random intercept per participant</w:t>
      </w:r>
      <w:r>
        <w:rPr>
          <w:rFonts w:ascii="Times New Roman" w:cs="Times New Roman" w:eastAsia="Times New Roman" w:hAnsi="Times New Roman"/>
          <w:b w:val="false"/>
          <w:bCs w:val="false"/>
          <w:i w:val="false"/>
          <w:iCs w:val="false"/>
          <w:sz w:val="24"/>
          <w:szCs w:val="24"/>
        </w:rPr>
        <w:t xml:space="preserve">, which accommodates the repeated-measures structure, unbalanced data and participant heterogeneity. Fixed effects should include polarity, text colour (or, per §5.3, luminance contrast), serial position, and the polarity × contrast interaction. Consideration should be given to random slopes where individual differences in susceptibility are of interest, and to ordinal (cumulative-link) models for Likert-type and visual-analogue symptom outcomes, which are not interval-scaled. Signal-detection indices computed from small per-condition trial counts are unstable and should be aggregated or modelled hierarchically rather than analysed per condition.</w:t>
      </w:r>
    </w:p>
    <w:p>
      <w:pPr>
        <w:pStyle w:val="Heading3"/>
        <w:keepNext/>
        <w:spacing w:after="160" w:before="280"/>
      </w:pPr>
      <w:r>
        <w:rPr>
          <w:rFonts w:ascii="Times New Roman" w:cs="Times New Roman" w:eastAsia="Times New Roman" w:hAnsi="Times New Roman"/>
          <w:b/>
          <w:bCs/>
          <w:i w:val="false"/>
          <w:iCs w:val="false"/>
          <w:sz w:val="26"/>
          <w:szCs w:val="26"/>
        </w:rPr>
        <w:t xml:space="preserve">12.5 Ancillary participant characteristics</w:t>
      </w:r>
    </w:p>
    <w:p>
      <w:pPr>
        <w:spacing w:after="140" w:line="340"/>
        <w:jc w:val="both"/>
      </w:pPr>
      <w:r>
        <w:rPr>
          <w:rFonts w:ascii="Times New Roman" w:cs="Times New Roman" w:eastAsia="Times New Roman" w:hAnsi="Times New Roman"/>
          <w:b w:val="false"/>
          <w:bCs w:val="false"/>
          <w:i w:val="false"/>
          <w:iCs w:val="false"/>
          <w:sz w:val="24"/>
          <w:szCs w:val="24"/>
        </w:rPr>
        <w:t xml:space="preserve">Given documented risk factors [1,7,9], the following should be recorded as covariates or screening variables: refractive correction status, colour-vision status, daily screen-exposure hours, contact-lens wear, and — because sleepiness is a confounder of fatigue measurement (§10.5) — time since waking and recent caffeine intake.</w:t>
      </w:r>
    </w:p>
    <w:p>
      <w:pPr>
        <w:pStyle w:val="Heading3"/>
        <w:keepNext/>
        <w:spacing w:after="160" w:before="280"/>
      </w:pPr>
      <w:r>
        <w:rPr>
          <w:rFonts w:ascii="Times New Roman" w:cs="Times New Roman" w:eastAsia="Times New Roman" w:hAnsi="Times New Roman"/>
          <w:b/>
          <w:bCs/>
          <w:i w:val="false"/>
          <w:iCs w:val="false"/>
          <w:sz w:val="26"/>
          <w:szCs w:val="26"/>
        </w:rPr>
        <w:t xml:space="preserve">12.6 Colour-vision screening on digital displays</w:t>
      </w:r>
    </w:p>
    <w:p>
      <w:pPr>
        <w:spacing w:after="140" w:line="340"/>
        <w:jc w:val="both"/>
      </w:pPr>
      <w:r>
        <w:rPr>
          <w:rFonts w:ascii="Times New Roman" w:cs="Times New Roman" w:eastAsia="Times New Roman" w:hAnsi="Times New Roman"/>
          <w:b w:val="false"/>
          <w:bCs w:val="false"/>
          <w:i w:val="false"/>
          <w:iCs w:val="false"/>
          <w:sz w:val="24"/>
          <w:szCs w:val="24"/>
        </w:rPr>
        <w:t xml:space="preserve">Since the manipulation is chromatic, colour-vision deficiency must be screened. Digital presentation of Ishihara plates is supported: presented on a calibrated PC monitor, sensitivity was </w:t>
      </w:r>
      <w:r>
        <w:rPr>
          <w:rFonts w:ascii="Times New Roman" w:cs="Times New Roman" w:eastAsia="Times New Roman" w:hAnsi="Times New Roman"/>
          <w:b/>
          <w:bCs/>
          <w:i w:val="false"/>
          <w:iCs w:val="false"/>
          <w:sz w:val="24"/>
          <w:szCs w:val="24"/>
        </w:rPr>
        <w:t xml:space="preserve">94.4%</w:t>
      </w:r>
      <w:r>
        <w:rPr>
          <w:rFonts w:ascii="Times New Roman" w:cs="Times New Roman" w:eastAsia="Times New Roman" w:hAnsi="Times New Roman"/>
          <w:b w:val="false"/>
          <w:bCs w:val="false"/>
          <w:i w:val="false"/>
          <w:iCs w:val="false"/>
          <w:sz w:val="24"/>
          <w:szCs w:val="24"/>
        </w:rPr>
        <w:t xml:space="preserve"> and specificity </w:t>
      </w:r>
      <w:r>
        <w:rPr>
          <w:rFonts w:ascii="Times New Roman" w:cs="Times New Roman" w:eastAsia="Times New Roman" w:hAnsi="Times New Roman"/>
          <w:b/>
          <w:bCs/>
          <w:i w:val="false"/>
          <w:iCs w:val="false"/>
          <w:sz w:val="24"/>
          <w:szCs w:val="24"/>
        </w:rPr>
        <w:t xml:space="preserve">82.4%</w:t>
      </w:r>
      <w:r>
        <w:rPr>
          <w:rFonts w:ascii="Times New Roman" w:cs="Times New Roman" w:eastAsia="Times New Roman" w:hAnsi="Times New Roman"/>
          <w:b w:val="false"/>
          <w:bCs w:val="false"/>
          <w:i w:val="false"/>
          <w:iCs w:val="false"/>
          <w:sz w:val="24"/>
          <w:szCs w:val="24"/>
        </w:rPr>
        <w:t xml:space="preserve">; on a smartphone display, sensitivity </w:t>
      </w:r>
      <w:r>
        <w:rPr>
          <w:rFonts w:ascii="Times New Roman" w:cs="Times New Roman" w:eastAsia="Times New Roman" w:hAnsi="Times New Roman"/>
          <w:b/>
          <w:bCs/>
          <w:i w:val="false"/>
          <w:iCs w:val="false"/>
          <w:sz w:val="24"/>
          <w:szCs w:val="24"/>
        </w:rPr>
        <w:t xml:space="preserve">96.0%</w:t>
      </w:r>
      <w:r>
        <w:rPr>
          <w:rFonts w:ascii="Times New Roman" w:cs="Times New Roman" w:eastAsia="Times New Roman" w:hAnsi="Times New Roman"/>
          <w:b w:val="false"/>
          <w:bCs w:val="false"/>
          <w:i w:val="false"/>
          <w:iCs w:val="false"/>
          <w:sz w:val="24"/>
          <w:szCs w:val="24"/>
        </w:rPr>
        <w:t xml:space="preserve"> and specificity </w:t>
      </w:r>
      <w:r>
        <w:rPr>
          <w:rFonts w:ascii="Times New Roman" w:cs="Times New Roman" w:eastAsia="Times New Roman" w:hAnsi="Times New Roman"/>
          <w:b/>
          <w:bCs/>
          <w:i w:val="false"/>
          <w:iCs w:val="false"/>
          <w:sz w:val="24"/>
          <w:szCs w:val="24"/>
        </w:rPr>
        <w:t xml:space="preserve">94.7%</w:t>
      </w:r>
      <w:r>
        <w:rPr>
          <w:rFonts w:ascii="Times New Roman" w:cs="Times New Roman" w:eastAsia="Times New Roman" w:hAnsi="Times New Roman"/>
          <w:b w:val="false"/>
          <w:bCs w:val="false"/>
          <w:i w:val="false"/>
          <w:iCs w:val="false"/>
          <w:sz w:val="24"/>
          <w:szCs w:val="24"/>
        </w:rPr>
        <w:t xml:space="preserve">, with </w:t>
      </w:r>
      <w:r>
        <w:rPr>
          <w:rFonts w:ascii="Times New Roman" w:cs="Times New Roman" w:eastAsia="Times New Roman" w:hAnsi="Times New Roman"/>
          <w:b/>
          <w:bCs/>
          <w:i w:val="false"/>
          <w:iCs w:val="false"/>
          <w:sz w:val="24"/>
          <w:szCs w:val="24"/>
        </w:rPr>
        <w:t xml:space="preserve">no significant difference between presentation modes</w:t>
      </w:r>
      <w:r>
        <w:rPr>
          <w:rFonts w:ascii="Times New Roman" w:cs="Times New Roman" w:eastAsia="Times New Roman" w:hAnsi="Times New Roman"/>
          <w:b w:val="false"/>
          <w:bCs w:val="false"/>
          <w:i w:val="false"/>
          <w:iCs w:val="false"/>
          <w:sz w:val="24"/>
          <w:szCs w:val="24"/>
        </w:rPr>
        <w:t xml:space="preserve"> (p &gt; 0.05) [33]. The authors nonetheless emphasise that this supports </w:t>
      </w:r>
      <w:r>
        <w:rPr>
          <w:rFonts w:ascii="Times New Roman" w:cs="Times New Roman" w:eastAsia="Times New Roman" w:hAnsi="Times New Roman"/>
          <w:b/>
          <w:bCs/>
          <w:i w:val="false"/>
          <w:iCs w:val="false"/>
          <w:sz w:val="24"/>
          <w:szCs w:val="24"/>
        </w:rPr>
        <w:t xml:space="preserve">screening of groups</w:t>
      </w:r>
      <w:r>
        <w:rPr>
          <w:rFonts w:ascii="Times New Roman" w:cs="Times New Roman" w:eastAsia="Times New Roman" w:hAnsi="Times New Roman"/>
          <w:b w:val="false"/>
          <w:bCs w:val="false"/>
          <w:i w:val="false"/>
          <w:iCs w:val="false"/>
          <w:sz w:val="24"/>
          <w:szCs w:val="24"/>
        </w:rPr>
        <w:t xml:space="preserve">, and that display presentation is comparable to booklet or projected presentation for that purpose [33]. Two caveats must be carried forward: display colour rendering is device-dependent (the cited validation used a calibrated monitor), and a screening instrument is not a clinical diagnosis.</w:t>
      </w:r>
    </w:p>
    <w:p>
      <w:pPr>
        <w:pBdr>
          <w:bottom w:val="single" w:color="AAAAAA" w:sz="6" w:space="1"/>
        </w:pBdr>
        <w:spacing w:after="200" w:before="120"/>
      </w:pPr>
      <w:r>
        <w:rPr>
          <w:rFonts w:ascii="Times New Roman" w:cs="Times New Roman" w:eastAsia="Times New Roman" w:hAnsi="Times New Roman"/>
          <w:sz w:val="24"/>
          <w:szCs w:val="24"/>
        </w:rPr>
        <w:t xml:space="preserve"/>
      </w:r>
    </w:p>
    <w:p>
      <w:pPr>
        <w:pStyle w:val="Heading2"/>
        <w:keepNext/>
        <w:spacing w:after="160" w:before="280"/>
      </w:pPr>
      <w:r>
        <w:rPr>
          <w:rFonts w:ascii="Times New Roman" w:cs="Times New Roman" w:eastAsia="Times New Roman" w:hAnsi="Times New Roman"/>
          <w:b/>
          <w:bCs/>
          <w:i w:val="false"/>
          <w:iCs w:val="false"/>
          <w:sz w:val="28"/>
          <w:szCs w:val="28"/>
        </w:rPr>
        <w:t xml:space="preserve">13. Interventions and ergonomic guidance: the state of the evidence</w:t>
      </w:r>
    </w:p>
    <w:p>
      <w:pPr>
        <w:spacing w:after="140" w:line="340"/>
        <w:jc w:val="both"/>
      </w:pPr>
      <w:r>
        <w:rPr>
          <w:rFonts w:ascii="Times New Roman" w:cs="Times New Roman" w:eastAsia="Times New Roman" w:hAnsi="Times New Roman"/>
          <w:b w:val="false"/>
          <w:bCs w:val="false"/>
          <w:i w:val="false"/>
          <w:iCs w:val="false"/>
          <w:sz w:val="24"/>
          <w:szCs w:val="24"/>
        </w:rPr>
        <w:t xml:space="preserve">The intervention evidence base is, as noted in §1.3, largely negative for the most heavily marketed options: no high-certainty evidence for any analysed therapy; no benefit of blue-blocking lenses; no benefit of berry-extract supplementation; low-certainty benefit of oral omega-3 for dry-eye symptoms; and a CFF change of unclear clinical significance for carotenoids [8]. An independent systematic review in young users similarly found no evidence for blue-blocking filters, while supporting ergonomic optimisation and restriction of exposure duration [9].</w:t>
      </w:r>
    </w:p>
    <w:p>
      <w:pPr>
        <w:spacing w:after="140" w:line="340"/>
        <w:jc w:val="both"/>
      </w:pPr>
      <w:r>
        <w:rPr>
          <w:rFonts w:ascii="Times New Roman" w:cs="Times New Roman" w:eastAsia="Times New Roman" w:hAnsi="Times New Roman"/>
          <w:b w:val="false"/>
          <w:bCs w:val="false"/>
          <w:i w:val="false"/>
          <w:iCs w:val="false"/>
          <w:sz w:val="24"/>
          <w:szCs w:val="24"/>
        </w:rPr>
        <w:t xml:space="preserve">Where positive evidence does exist, it concerns </w:t>
      </w:r>
      <w:r>
        <w:rPr>
          <w:rFonts w:ascii="Times New Roman" w:cs="Times New Roman" w:eastAsia="Times New Roman" w:hAnsi="Times New Roman"/>
          <w:b/>
          <w:bCs/>
          <w:i w:val="false"/>
          <w:iCs w:val="false"/>
          <w:sz w:val="24"/>
          <w:szCs w:val="24"/>
        </w:rPr>
        <w:t xml:space="preserve">behaviour and exposure management</w:t>
      </w:r>
      <w:r>
        <w:rPr>
          <w:rFonts w:ascii="Times New Roman" w:cs="Times New Roman" w:eastAsia="Times New Roman" w:hAnsi="Times New Roman"/>
          <w:b w:val="false"/>
          <w:bCs w:val="false"/>
          <w:i w:val="false"/>
          <w:iCs w:val="false"/>
          <w:sz w:val="24"/>
          <w:szCs w:val="24"/>
        </w:rPr>
        <w:t xml:space="preserve">. Break scheduling has now been tested directly: relative to no break during a 40-minute reading task, frequent (every 10 minutes) and self-paced breaks reduced reported eye irritation/burning and eye strain, reduced near-work-induced transient myopia, and were associated with lower accommodative variability in the final interval [30]. Ergonomic training and adjustable seating, blink-animation programmes and omega-3 supplementation have been identified as acting on different points of the dry-eye cycle and as potentially complementary, though the widely promulgated "20-20-20 rule" had not, at the time of that review, been directly assessed [10]. General management reviews additionally recommend correction of refractive error and presbyopia, management of vergence anomalies, blink training, lubricant eye drops, and workplace ergonomic policy [2,7].</w:t>
      </w:r>
    </w:p>
    <w:p>
      <w:pPr>
        <w:pBdr>
          <w:left w:val="single" w:color="4F8EF7" w:sz="12" w:space="8"/>
        </w:pBdr>
        <w:shd w:fill="F4F7FC" w:color="auto" w:val="clear"/>
        <w:spacing w:after="180" w:before="120" w:line="320"/>
        <w:ind w:left="360" w:right="240"/>
        <w:jc w:val="both"/>
      </w:pPr>
      <w:r>
        <w:rPr>
          <w:rFonts w:ascii="Times New Roman" w:cs="Times New Roman" w:eastAsia="Times New Roman" w:hAnsi="Times New Roman"/>
          <w:b/>
          <w:bCs/>
          <w:i w:val="false"/>
          <w:iCs w:val="false"/>
          <w:sz w:val="24"/>
          <w:szCs w:val="24"/>
        </w:rPr>
        <w:t xml:space="preserve">Critical appraisal.</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Established:</w:t>
      </w:r>
      <w:r>
        <w:rPr>
          <w:rFonts w:ascii="Times New Roman" w:cs="Times New Roman" w:eastAsia="Times New Roman" w:hAnsi="Times New Roman"/>
          <w:b w:val="false"/>
          <w:bCs w:val="false"/>
          <w:i w:val="false"/>
          <w:iCs w:val="false"/>
          <w:sz w:val="24"/>
          <w:szCs w:val="24"/>
        </w:rPr>
        <w:t xml:space="preserve"> filters and most supplements lack support [8,9]; exposure/break management has emerging direct support [30]; the ocular-surface cycle offers multiple complementary intervention points [10]. </w:t>
      </w:r>
      <w:r>
        <w:rPr>
          <w:rFonts w:ascii="Times New Roman" w:cs="Times New Roman" w:eastAsia="Times New Roman" w:hAnsi="Times New Roman"/>
          <w:b w:val="false"/>
          <w:bCs w:val="false"/>
          <w:i/>
          <w:iCs/>
          <w:sz w:val="24"/>
          <w:szCs w:val="24"/>
        </w:rPr>
        <w:t xml:space="preserve">Gap:</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display-design parameters are essentially absent from the intervention evidence base</w:t>
      </w:r>
      <w:r>
        <w:rPr>
          <w:rFonts w:ascii="Times New Roman" w:cs="Times New Roman" w:eastAsia="Times New Roman" w:hAnsi="Times New Roman"/>
          <w:b w:val="false"/>
          <w:bCs w:val="false"/>
          <w:i w:val="false"/>
          <w:iCs w:val="false"/>
          <w:sz w:val="24"/>
          <w:szCs w:val="24"/>
        </w:rPr>
        <w:t xml:space="preserve"> — the most modifiable, zero-cost, population-scalable lever available is also the least tested. This is the central justification for the present research programme.</w:t>
      </w:r>
    </w:p>
    <w:p>
      <w:pPr>
        <w:pBdr>
          <w:bottom w:val="single" w:color="AAAAAA" w:sz="6" w:space="1"/>
        </w:pBdr>
        <w:spacing w:after="200" w:before="120"/>
      </w:pPr>
      <w:r>
        <w:rPr>
          <w:rFonts w:ascii="Times New Roman" w:cs="Times New Roman" w:eastAsia="Times New Roman" w:hAnsi="Times New Roman"/>
          <w:sz w:val="24"/>
          <w:szCs w:val="24"/>
        </w:rPr>
        <w:t xml:space="preserve"/>
      </w:r>
    </w:p>
    <w:p>
      <w:pPr>
        <w:pStyle w:val="Heading2"/>
        <w:keepNext/>
        <w:spacing w:after="160" w:before="280"/>
      </w:pPr>
      <w:r>
        <w:rPr>
          <w:rFonts w:ascii="Times New Roman" w:cs="Times New Roman" w:eastAsia="Times New Roman" w:hAnsi="Times New Roman"/>
          <w:b/>
          <w:bCs/>
          <w:i w:val="false"/>
          <w:iCs w:val="false"/>
          <w:sz w:val="28"/>
          <w:szCs w:val="28"/>
        </w:rPr>
        <w:t xml:space="preserve">14. Research gap register</w:t>
      </w:r>
    </w:p>
    <w:p>
      <w:pPr>
        <w:spacing w:after="140" w:line="340"/>
        <w:jc w:val="both"/>
      </w:pPr>
      <w:r>
        <w:rPr>
          <w:rFonts w:ascii="Times New Roman" w:cs="Times New Roman" w:eastAsia="Times New Roman" w:hAnsi="Times New Roman"/>
          <w:b w:val="false"/>
          <w:bCs w:val="false"/>
          <w:i w:val="false"/>
          <w:iCs w:val="false"/>
          <w:sz w:val="24"/>
          <w:szCs w:val="24"/>
        </w:rPr>
        <w:t xml:space="preserve">The following gaps are stated so that each is traceable to specific evidence reviewed above.</w:t>
      </w:r>
    </w:p>
    <w:tbl>
      <w:tblPr>
        <w:tblW w:type="dxa" w:w="9026"/>
        <w:tblBorders>
          <w:top w:val="single" w:color="8899AA" w:sz="4"/>
          <w:left w:val="single" w:color="8899AA" w:sz="4"/>
          <w:bottom w:val="single" w:color="8899AA" w:sz="4"/>
          <w:right w:val="single" w:color="8899AA" w:sz="4"/>
          <w:insideH w:val="single" w:color="BBC4CC" w:sz="2"/>
          <w:insideV w:val="single" w:color="BBC4CC" w:sz="2"/>
        </w:tblBorders>
      </w:tblPr>
      <w:tblGrid>
        <w:gridCol w:w="700"/>
        <w:gridCol w:w="4439"/>
        <w:gridCol w:w="3887"/>
      </w:tblGrid>
      <w:tr>
        <w:trPr>
          <w:tblHeader/>
        </w:trPr>
        <w:tc>
          <w:tcPr>
            <w:tcW w:type="dxa" w:w="700"/>
            <w:shd w:fill="E8EEF7" w:color="auto" w:val="clear"/>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0"/>
                <w:szCs w:val="20"/>
              </w:rPr>
              <w:t xml:space="preserve">#</w:t>
            </w:r>
          </w:p>
        </w:tc>
        <w:tc>
          <w:tcPr>
            <w:tcW w:type="dxa" w:w="4439"/>
            <w:shd w:fill="E8EEF7" w:color="auto" w:val="clear"/>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0"/>
                <w:szCs w:val="20"/>
              </w:rPr>
              <w:t xml:space="preserve">Gap</w:t>
            </w:r>
          </w:p>
        </w:tc>
        <w:tc>
          <w:tcPr>
            <w:tcW w:type="dxa" w:w="3887"/>
            <w:shd w:fill="E8EEF7" w:color="auto" w:val="clear"/>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0"/>
                <w:szCs w:val="20"/>
              </w:rPr>
              <w:t xml:space="preserve">Basis</w:t>
            </w:r>
          </w:p>
        </w:tc>
      </w:tr>
      <w:tr>
        <w:tc>
          <w:tcPr>
            <w:tcW w:type="dxa" w:w="700"/>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0"/>
                <w:szCs w:val="20"/>
              </w:rPr>
              <w:t xml:space="preserve">G1</w:t>
            </w:r>
          </w:p>
        </w:tc>
        <w:tc>
          <w:tcPr>
            <w:tcW w:type="dxa" w:w="4439"/>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The positive polarity advantage is established for </w:t>
            </w:r>
            <w:r>
              <w:rPr>
                <w:rFonts w:ascii="Times New Roman" w:cs="Times New Roman" w:eastAsia="Times New Roman" w:hAnsi="Times New Roman"/>
                <w:b/>
                <w:bCs/>
                <w:i w:val="false"/>
                <w:iCs w:val="false"/>
                <w:sz w:val="20"/>
                <w:szCs w:val="20"/>
              </w:rPr>
              <w:t xml:space="preserve">short-duration legibility/proofreading</w:t>
            </w:r>
            <w:r>
              <w:rPr>
                <w:rFonts w:ascii="Times New Roman" w:cs="Times New Roman" w:eastAsia="Times New Roman" w:hAnsi="Times New Roman"/>
                <w:b w:val="false"/>
                <w:bCs w:val="false"/>
                <w:i w:val="false"/>
                <w:iCs w:val="false"/>
                <w:sz w:val="20"/>
                <w:szCs w:val="20"/>
              </w:rPr>
              <w:t xml:space="preserve"> tasks with </w:t>
            </w:r>
            <w:r>
              <w:rPr>
                <w:rFonts w:ascii="Times New Roman" w:cs="Times New Roman" w:eastAsia="Times New Roman" w:hAnsi="Times New Roman"/>
                <w:b/>
                <w:bCs/>
                <w:i w:val="false"/>
                <w:iCs w:val="false"/>
                <w:sz w:val="20"/>
                <w:szCs w:val="20"/>
              </w:rPr>
              <w:t xml:space="preserve">achromatic</w:t>
            </w:r>
            <w:r>
              <w:rPr>
                <w:rFonts w:ascii="Times New Roman" w:cs="Times New Roman" w:eastAsia="Times New Roman" w:hAnsi="Times New Roman"/>
                <w:b w:val="false"/>
                <w:bCs w:val="false"/>
                <w:i w:val="false"/>
                <w:iCs w:val="false"/>
                <w:sz w:val="20"/>
                <w:szCs w:val="20"/>
              </w:rPr>
              <w:t xml:space="preserve"> text, but has never been tested for </w:t>
            </w:r>
            <w:r>
              <w:rPr>
                <w:rFonts w:ascii="Times New Roman" w:cs="Times New Roman" w:eastAsia="Times New Roman" w:hAnsi="Times New Roman"/>
                <w:b/>
                <w:bCs/>
                <w:i w:val="false"/>
                <w:iCs w:val="false"/>
                <w:sz w:val="20"/>
                <w:szCs w:val="20"/>
              </w:rPr>
              <w:t xml:space="preserve">prolonged reading with fatigue accumulation</w:t>
            </w:r>
            <w:r>
              <w:rPr>
                <w:rFonts w:ascii="Times New Roman" w:cs="Times New Roman" w:eastAsia="Times New Roman" w:hAnsi="Times New Roman"/>
                <w:b w:val="false"/>
                <w:bCs w:val="false"/>
                <w:i w:val="false"/>
                <w:iCs w:val="false"/>
                <w:sz w:val="20"/>
                <w:szCs w:val="20"/>
              </w:rPr>
              <w:t xml:space="preserve">.</w:t>
            </w:r>
          </w:p>
        </w:tc>
        <w:tc>
          <w:tcPr>
            <w:tcW w:type="dxa" w:w="3887"/>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[12–17] use proofreading, lexical-decision and glance-reading paradigms; none measures blink behaviour, validated symptom instruments, or hour-scale fatigue.</w:t>
            </w:r>
          </w:p>
        </w:tc>
      </w:tr>
      <w:tr>
        <w:tc>
          <w:tcPr>
            <w:tcW w:type="dxa" w:w="700"/>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0"/>
                <w:szCs w:val="20"/>
              </w:rPr>
              <w:t xml:space="preserve">G2</w:t>
            </w:r>
          </w:p>
        </w:tc>
        <w:tc>
          <w:tcPr>
            <w:tcW w:type="dxa" w:w="4439"/>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0"/>
                <w:szCs w:val="20"/>
              </w:rPr>
              <w:t xml:space="preserve">Polarity × text-colour interaction on visual fatigue has never been estimated.</w:t>
            </w:r>
          </w:p>
        </w:tc>
        <w:tc>
          <w:tcPr>
            <w:tcW w:type="dxa" w:w="3887"/>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The only study of text colour on visual fatigue held polarity constant at negative [19]; the multi-colour physiological study measured accommodation/pupil, not symptom-level fatigue, over 2-minute exposures [18].</w:t>
            </w:r>
          </w:p>
        </w:tc>
      </w:tr>
      <w:tr>
        <w:tc>
          <w:tcPr>
            <w:tcW w:type="dxa" w:w="700"/>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0"/>
                <w:szCs w:val="20"/>
              </w:rPr>
              <w:t xml:space="preserve">G3</w:t>
            </w:r>
          </w:p>
        </w:tc>
        <w:tc>
          <w:tcPr>
            <w:tcW w:type="dxa" w:w="4439"/>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0"/>
                <w:szCs w:val="20"/>
              </w:rPr>
              <w:t xml:space="preserve">Luminance contrast is not disentangled from hue and polarity.</w:t>
            </w:r>
          </w:p>
        </w:tc>
        <w:tc>
          <w:tcPr>
            <w:tcW w:type="dxa" w:w="3887"/>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Colour contrast cannot substitute for luminance contrast [12]; chromatic pigments differ intrinsically in luminance, so colour sets embed polarity-asymmetric contrast by construction (§5.3).</w:t>
            </w:r>
          </w:p>
        </w:tc>
      </w:tr>
      <w:tr>
        <w:tc>
          <w:tcPr>
            <w:tcW w:type="dxa" w:w="700"/>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0"/>
                <w:szCs w:val="20"/>
              </w:rPr>
              <w:t xml:space="preserve">G4</w:t>
            </w:r>
          </w:p>
        </w:tc>
        <w:tc>
          <w:tcPr>
            <w:tcW w:type="dxa" w:w="4439"/>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0"/>
                <w:szCs w:val="20"/>
              </w:rPr>
              <w:t xml:space="preserve">No study reports multiple contrast metrics plus measured display photometry</w:t>
            </w:r>
            <w:r>
              <w:rPr>
                <w:rFonts w:ascii="Times New Roman" w:cs="Times New Roman" w:eastAsia="Times New Roman" w:hAnsi="Times New Roman"/>
                <w:b w:val="false"/>
                <w:bCs w:val="false"/>
                <w:i w:val="false"/>
                <w:iCs w:val="false"/>
                <w:sz w:val="20"/>
                <w:szCs w:val="20"/>
              </w:rPr>
              <w:t xml:space="preserve">, and the prevailing standard is polarity-blind and criticised for overstating contrast at low luminance.</w:t>
            </w:r>
          </w:p>
        </w:tc>
        <w:tc>
          <w:tcPr>
            <w:tcW w:type="dxa" w:w="3887"/>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[36] vs [37]; empirical polarity effects [12–17].</w:t>
            </w:r>
          </w:p>
        </w:tc>
      </w:tr>
      <w:tr>
        <w:tc>
          <w:tcPr>
            <w:tcW w:type="dxa" w:w="700"/>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0"/>
                <w:szCs w:val="20"/>
              </w:rPr>
              <w:t xml:space="preserve">G5</w:t>
            </w:r>
          </w:p>
        </w:tc>
        <w:tc>
          <w:tcPr>
            <w:tcW w:type="dxa" w:w="4439"/>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The </w:t>
            </w:r>
            <w:r>
              <w:rPr>
                <w:rFonts w:ascii="Times New Roman" w:cs="Times New Roman" w:eastAsia="Times New Roman" w:hAnsi="Times New Roman"/>
                <w:b/>
                <w:bCs/>
                <w:i w:val="false"/>
                <w:iCs w:val="false"/>
                <w:sz w:val="20"/>
                <w:szCs w:val="20"/>
              </w:rPr>
              <w:t xml:space="preserve">subjective–objective dissociation</w:t>
            </w:r>
            <w:r>
              <w:rPr>
                <w:rFonts w:ascii="Times New Roman" w:cs="Times New Roman" w:eastAsia="Times New Roman" w:hAnsi="Times New Roman"/>
                <w:b w:val="false"/>
                <w:bCs w:val="false"/>
                <w:i w:val="false"/>
                <w:iCs w:val="false"/>
                <w:sz w:val="20"/>
                <w:szCs w:val="20"/>
              </w:rPr>
              <w:t xml:space="preserve"> in DES measurement remains unresolved, and few studies co-register a validated symptom instrument with objective ocular markers in the same condition and session.</w:t>
            </w:r>
          </w:p>
        </w:tc>
        <w:tc>
          <w:tcPr>
            <w:tcW w:type="dxa" w:w="3887"/>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Explicit statement that "correlations between objective and subjective measures are not always apparent" [3].</w:t>
            </w:r>
          </w:p>
        </w:tc>
      </w:tr>
      <w:tr>
        <w:tc>
          <w:tcPr>
            <w:tcW w:type="dxa" w:w="700"/>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0"/>
                <w:szCs w:val="20"/>
              </w:rPr>
              <w:t xml:space="preserve">G6</w:t>
            </w:r>
          </w:p>
        </w:tc>
        <w:tc>
          <w:tcPr>
            <w:tcW w:type="dxa" w:w="4439"/>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0"/>
                <w:szCs w:val="20"/>
              </w:rPr>
              <w:t xml:space="preserve">Incomplete-blink ratio has never been tested as an outcome of a display-parameter manipulation</w:t>
            </w:r>
            <w:r>
              <w:rPr>
                <w:rFonts w:ascii="Times New Roman" w:cs="Times New Roman" w:eastAsia="Times New Roman" w:hAnsi="Times New Roman"/>
                <w:b w:val="false"/>
                <w:bCs w:val="false"/>
                <w:i w:val="false"/>
                <w:iCs w:val="false"/>
                <w:sz w:val="20"/>
                <w:szCs w:val="20"/>
              </w:rPr>
              <w:t xml:space="preserve">, despite being the ocular marker with the strongest claim to specificity for computer-related visual fatigue.</w:t>
            </w:r>
          </w:p>
        </w:tc>
        <w:tc>
          <w:tcPr>
            <w:tcW w:type="dxa" w:w="3887"/>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[26,27,29] manipulate medium, dynamism and duration — not polarity or colour.</w:t>
            </w:r>
          </w:p>
        </w:tc>
      </w:tr>
      <w:tr>
        <w:tc>
          <w:tcPr>
            <w:tcW w:type="dxa" w:w="700"/>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0"/>
                <w:szCs w:val="20"/>
              </w:rPr>
              <w:t xml:space="preserve">G7</w:t>
            </w:r>
          </w:p>
        </w:tc>
        <w:tc>
          <w:tcPr>
            <w:tcW w:type="dxa" w:w="4439"/>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0"/>
                <w:szCs w:val="20"/>
              </w:rPr>
              <w:t xml:space="preserve">Blink-completeness measurement does not scale</w:t>
            </w:r>
            <w:r>
              <w:rPr>
                <w:rFonts w:ascii="Times New Roman" w:cs="Times New Roman" w:eastAsia="Times New Roman" w:hAnsi="Times New Roman"/>
                <w:b w:val="false"/>
                <w:bCs w:val="false"/>
                <w:i w:val="false"/>
                <w:iCs w:val="false"/>
                <w:sz w:val="20"/>
                <w:szCs w:val="20"/>
              </w:rPr>
              <w:t xml:space="preserve">, being dependent on manual frame-by-frame video annotation, which constrains sample sizes to N ≈ 11–50.</w:t>
            </w:r>
          </w:p>
        </w:tc>
        <w:tc>
          <w:tcPr>
            <w:tcW w:type="dxa" w:w="3887"/>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[26–29]; §11.1.</w:t>
            </w:r>
          </w:p>
        </w:tc>
      </w:tr>
      <w:tr>
        <w:tc>
          <w:tcPr>
            <w:tcW w:type="dxa" w:w="700"/>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0"/>
                <w:szCs w:val="20"/>
              </w:rPr>
              <w:t xml:space="preserve">G8</w:t>
            </w:r>
          </w:p>
        </w:tc>
        <w:tc>
          <w:tcPr>
            <w:tcW w:type="dxa" w:w="4439"/>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There is </w:t>
            </w:r>
            <w:r>
              <w:rPr>
                <w:rFonts w:ascii="Times New Roman" w:cs="Times New Roman" w:eastAsia="Times New Roman" w:hAnsi="Times New Roman"/>
                <w:b/>
                <w:bCs/>
                <w:i w:val="false"/>
                <w:iCs w:val="false"/>
                <w:sz w:val="20"/>
                <w:szCs w:val="20"/>
              </w:rPr>
              <w:t xml:space="preserve">no published validation of automated (webcam/EAR-based) incomplete-blink measurement against the manual annotation standard</w:t>
            </w:r>
            <w:r>
              <w:rPr>
                <w:rFonts w:ascii="Times New Roman" w:cs="Times New Roman" w:eastAsia="Times New Roman" w:hAnsi="Times New Roman"/>
                <w:b w:val="false"/>
                <w:bCs w:val="false"/>
                <w:i w:val="false"/>
                <w:iCs w:val="false"/>
                <w:sz w:val="20"/>
                <w:szCs w:val="20"/>
              </w:rPr>
              <w:t xml:space="preserve"> used in the clinical literature.</w:t>
            </w:r>
          </w:p>
        </w:tc>
        <w:tc>
          <w:tcPr>
            <w:tcW w:type="dxa" w:w="3887"/>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§11.4.</w:t>
            </w:r>
          </w:p>
        </w:tc>
      </w:tr>
      <w:tr>
        <w:tc>
          <w:tcPr>
            <w:tcW w:type="dxa" w:w="700"/>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0"/>
                <w:szCs w:val="20"/>
              </w:rPr>
              <w:t xml:space="preserve">G9</w:t>
            </w:r>
          </w:p>
        </w:tc>
        <w:tc>
          <w:tcPr>
            <w:tcW w:type="dxa" w:w="4439"/>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0"/>
                <w:szCs w:val="20"/>
              </w:rPr>
              <w:t xml:space="preserve">Ambient illumination × polarity × text-colour interactions are barely characterised</w:t>
            </w:r>
            <w:r>
              <w:rPr>
                <w:rFonts w:ascii="Times New Roman" w:cs="Times New Roman" w:eastAsia="Times New Roman" w:hAnsi="Times New Roman"/>
                <w:b w:val="false"/>
                <w:bCs w:val="false"/>
                <w:i w:val="false"/>
                <w:iCs w:val="false"/>
                <w:sz w:val="20"/>
                <w:szCs w:val="20"/>
              </w:rPr>
              <w:t xml:space="preserve">, and the two relevant findings are in partial conflict.</w:t>
            </w:r>
          </w:p>
        </w:tc>
        <w:tc>
          <w:tcPr>
            <w:tcW w:type="dxa" w:w="3887"/>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Independence of PPA from ambient lighting [12] vs polarity × illumination interaction in threshold legibility [15] vs illumination × colour interaction under negative polarity [19].</w:t>
            </w:r>
          </w:p>
        </w:tc>
      </w:tr>
      <w:tr>
        <w:tc>
          <w:tcPr>
            <w:tcW w:type="dxa" w:w="700"/>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0"/>
                <w:szCs w:val="20"/>
              </w:rPr>
              <w:t xml:space="preserve">G10</w:t>
            </w:r>
          </w:p>
        </w:tc>
        <w:tc>
          <w:tcPr>
            <w:tcW w:type="dxa" w:w="4439"/>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0"/>
                <w:szCs w:val="20"/>
              </w:rPr>
              <w:t xml:space="preserve">Visual-fatigue and sustained-attention outcomes are rarely measured in the same protocol</w:t>
            </w:r>
            <w:r>
              <w:rPr>
                <w:rFonts w:ascii="Times New Roman" w:cs="Times New Roman" w:eastAsia="Times New Roman" w:hAnsi="Times New Roman"/>
                <w:b w:val="false"/>
                <w:bCs w:val="false"/>
                <w:i w:val="false"/>
                <w:iCs w:val="false"/>
                <w:sz w:val="20"/>
                <w:szCs w:val="20"/>
              </w:rPr>
              <w:t xml:space="preserve">, despite sharing time-on-task as a driver — leaving display-induced ocular fatigue confounded with generic attentional decline.</w:t>
            </w:r>
          </w:p>
        </w:tc>
        <w:tc>
          <w:tcPr>
            <w:tcW w:type="dxa" w:w="3887"/>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§8.2; [21,22].</w:t>
            </w:r>
          </w:p>
        </w:tc>
      </w:tr>
      <w:tr>
        <w:tc>
          <w:tcPr>
            <w:tcW w:type="dxa" w:w="700"/>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0"/>
                <w:szCs w:val="20"/>
              </w:rPr>
              <w:t xml:space="preserve">G11</w:t>
            </w:r>
          </w:p>
        </w:tc>
        <w:tc>
          <w:tcPr>
            <w:tcW w:type="dxa" w:w="4439"/>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0"/>
                <w:szCs w:val="20"/>
              </w:rPr>
              <w:t xml:space="preserve">Tablet-specific, ecologically valid protocols are scarce</w:t>
            </w:r>
            <w:r>
              <w:rPr>
                <w:rFonts w:ascii="Times New Roman" w:cs="Times New Roman" w:eastAsia="Times New Roman" w:hAnsi="Times New Roman"/>
                <w:b w:val="false"/>
                <w:bCs w:val="false"/>
                <w:i w:val="false"/>
                <w:iCs w:val="false"/>
                <w:sz w:val="20"/>
                <w:szCs w:val="20"/>
              </w:rPr>
              <w:t xml:space="preserve">, and the field's own prevalence synthesis identifies non-standardised definitions and instruments as a limitation.</w:t>
            </w:r>
          </w:p>
        </w:tc>
        <w:tc>
          <w:tcPr>
            <w:tcW w:type="dxa" w:w="3887"/>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[1]; predominance of desktop/automotive/laboratory paradigms in [12–17].</w:t>
            </w:r>
          </w:p>
        </w:tc>
      </w:tr>
    </w:tbl>
    <w:p>
      <w:pPr>
        <w:spacing w:after="200"/>
      </w:pPr>
      <w:r>
        <w:rPr>
          <w:sz w:val="12"/>
          <w:szCs w:val="12"/>
        </w:rPr>
        <w:t xml:space="preserve"/>
      </w:r>
    </w:p>
    <w:p>
      <w:pPr>
        <w:pBdr>
          <w:bottom w:val="single" w:color="AAAAAA" w:sz="6" w:space="1"/>
        </w:pBdr>
        <w:spacing w:after="200" w:before="120"/>
      </w:pPr>
      <w:r>
        <w:rPr>
          <w:rFonts w:ascii="Times New Roman" w:cs="Times New Roman" w:eastAsia="Times New Roman" w:hAnsi="Times New Roman"/>
          <w:sz w:val="24"/>
          <w:szCs w:val="24"/>
        </w:rPr>
        <w:t xml:space="preserve"/>
      </w:r>
    </w:p>
    <w:p>
      <w:pPr>
        <w:pStyle w:val="Heading2"/>
        <w:keepNext/>
        <w:spacing w:after="160" w:before="280"/>
      </w:pPr>
      <w:r>
        <w:rPr>
          <w:rFonts w:ascii="Times New Roman" w:cs="Times New Roman" w:eastAsia="Times New Roman" w:hAnsi="Times New Roman"/>
          <w:b/>
          <w:bCs/>
          <w:i w:val="false"/>
          <w:iCs w:val="false"/>
          <w:sz w:val="28"/>
          <w:szCs w:val="28"/>
        </w:rPr>
        <w:t xml:space="preserve">15. Statement of the problem</w:t>
      </w:r>
    </w:p>
    <w:p>
      <w:pPr>
        <w:spacing w:after="140" w:line="340"/>
        <w:jc w:val="both"/>
      </w:pPr>
      <w:r>
        <w:rPr>
          <w:rFonts w:ascii="Times New Roman" w:cs="Times New Roman" w:eastAsia="Times New Roman" w:hAnsi="Times New Roman"/>
          <w:b w:val="false"/>
          <w:bCs w:val="false"/>
          <w:i w:val="false"/>
          <w:iCs w:val="false"/>
          <w:sz w:val="24"/>
          <w:szCs w:val="24"/>
        </w:rPr>
        <w:t xml:space="preserve">Digital eye strain affects approximately seven in ten screen users [1], the interventions most heavily promoted to mitigate it lack high-certainty supporting evidence [8,9], and the one class of determinants that is simultaneously upstream of the visual load, free to modify, and already being altered at global scale — the </w:t>
      </w:r>
      <w:r>
        <w:rPr>
          <w:rFonts w:ascii="Times New Roman" w:cs="Times New Roman" w:eastAsia="Times New Roman" w:hAnsi="Times New Roman"/>
          <w:b/>
          <w:bCs/>
          <w:i w:val="false"/>
          <w:iCs w:val="false"/>
          <w:sz w:val="24"/>
          <w:szCs w:val="24"/>
        </w:rPr>
        <w:t xml:space="preserve">configuration of the displayed stimulus itself: its polarity, its text chromaticity and its luminance contrast</w:t>
      </w:r>
      <w:r>
        <w:rPr>
          <w:rFonts w:ascii="Times New Roman" w:cs="Times New Roman" w:eastAsia="Times New Roman" w:hAnsi="Times New Roman"/>
          <w:b w:val="false"/>
          <w:bCs w:val="false"/>
          <w:i w:val="false"/>
          <w:iCs w:val="false"/>
          <w:sz w:val="24"/>
          <w:szCs w:val="24"/>
        </w:rPr>
        <w:t xml:space="preserve"> — remains inadequately evidenced. The legibility literature establishes a robust positive polarity advantage for brief, detail-limited tasks [12–17] but is silent on prolonged reading and on ocular-surface outcomes. The two studies that manipulate text colour are each incomplete: one measures ocular physiology across many colour pairs but neither symptom-level fatigue nor performance over more than two minutes [18]; the other measures visual fatigue but only under negative polarity [19]. No study estimates the polarity × text-colour interaction on visual fatigue, disentangles hue from luminance contrast, or co-registers validated subjective symptom measurement with the objective ocular marker — the incomplete-blink ratio — that has the strongest mechanistic and empirical claim to specificity for this condition [26,27,29]. Progress is further constrained by a metrological bottleneck: blink-completeness measurement currently depends on manual video annotation, restricting the literature to small samples [26–29].</w:t>
      </w:r>
    </w:p>
    <w:p>
      <w:pPr>
        <w:pStyle w:val="Heading2"/>
        <w:keepNext/>
        <w:spacing w:after="160" w:before="280"/>
      </w:pPr>
      <w:r>
        <w:rPr>
          <w:rFonts w:ascii="Times New Roman" w:cs="Times New Roman" w:eastAsia="Times New Roman" w:hAnsi="Times New Roman"/>
          <w:b/>
          <w:bCs/>
          <w:i w:val="false"/>
          <w:iCs w:val="false"/>
          <w:sz w:val="28"/>
          <w:szCs w:val="28"/>
        </w:rPr>
        <w:t xml:space="preserve">16. Aim</w:t>
      </w:r>
    </w:p>
    <w:p>
      <w:pPr>
        <w:spacing w:after="140" w:line="340"/>
        <w:jc w:val="both"/>
      </w:pPr>
      <w:r>
        <w:rPr>
          <w:rFonts w:ascii="Times New Roman" w:cs="Times New Roman" w:eastAsia="Times New Roman" w:hAnsi="Times New Roman"/>
          <w:b/>
          <w:bCs/>
          <w:i w:val="false"/>
          <w:iCs w:val="false"/>
          <w:sz w:val="24"/>
          <w:szCs w:val="24"/>
        </w:rPr>
        <w:t xml:space="preserve">To determine how display polarity and text colour — and the luminance contrast they jointly produce — affect reading performance, visual comfort, sustained attention, and subjective and objective visual fatigue during prolonged tablet reading; and, in doing so, to establish and validate a scalable, instrumented protocol for objective ocular measurement of digital eye strain outside the specialist laboratory.</w:t>
      </w:r>
    </w:p>
    <w:p>
      <w:pPr>
        <w:pStyle w:val="Heading2"/>
        <w:keepNext/>
        <w:spacing w:after="160" w:before="280"/>
      </w:pPr>
      <w:r>
        <w:rPr>
          <w:rFonts w:ascii="Times New Roman" w:cs="Times New Roman" w:eastAsia="Times New Roman" w:hAnsi="Times New Roman"/>
          <w:b/>
          <w:bCs/>
          <w:i w:val="false"/>
          <w:iCs w:val="false"/>
          <w:sz w:val="28"/>
          <w:szCs w:val="28"/>
        </w:rPr>
        <w:t xml:space="preserve">17. Objectives and hypotheses</w:t>
      </w:r>
    </w:p>
    <w:p>
      <w:pPr>
        <w:spacing w:after="140" w:line="340"/>
        <w:jc w:val="both"/>
      </w:pPr>
      <w:r>
        <w:rPr>
          <w:rFonts w:ascii="Times New Roman" w:cs="Times New Roman" w:eastAsia="Times New Roman" w:hAnsi="Times New Roman"/>
          <w:b w:val="false"/>
          <w:bCs w:val="false"/>
          <w:i w:val="false"/>
          <w:iCs w:val="false"/>
          <w:sz w:val="24"/>
          <w:szCs w:val="24"/>
        </w:rPr>
        <w:t xml:space="preserve">Each objective addresses one or more registered gaps.</w:t>
      </w:r>
    </w:p>
    <w:tbl>
      <w:tblPr>
        <w:tblW w:type="dxa" w:w="9026"/>
        <w:tblBorders>
          <w:top w:val="single" w:color="8899AA" w:sz="4"/>
          <w:left w:val="single" w:color="8899AA" w:sz="4"/>
          <w:bottom w:val="single" w:color="8899AA" w:sz="4"/>
          <w:right w:val="single" w:color="8899AA" w:sz="4"/>
          <w:insideH w:val="single" w:color="BBC4CC" w:sz="2"/>
          <w:insideV w:val="single" w:color="BBC4CC" w:sz="2"/>
        </w:tblBorders>
      </w:tblPr>
      <w:tblGrid>
        <w:gridCol w:w="700"/>
        <w:gridCol w:w="4082"/>
        <w:gridCol w:w="700"/>
        <w:gridCol w:w="3544"/>
      </w:tblGrid>
      <w:tr>
        <w:trPr>
          <w:tblHeader/>
        </w:trPr>
        <w:tc>
          <w:tcPr>
            <w:tcW w:type="dxa" w:w="700"/>
            <w:shd w:fill="E8EEF7" w:color="auto" w:val="clear"/>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0"/>
                <w:szCs w:val="20"/>
              </w:rPr>
              <w:t xml:space="preserve">Obj.</w:t>
            </w:r>
          </w:p>
        </w:tc>
        <w:tc>
          <w:tcPr>
            <w:tcW w:type="dxa" w:w="4082"/>
            <w:shd w:fill="E8EEF7" w:color="auto" w:val="clear"/>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0"/>
                <w:szCs w:val="20"/>
              </w:rPr>
              <w:t xml:space="preserve">Objective</w:t>
            </w:r>
          </w:p>
        </w:tc>
        <w:tc>
          <w:tcPr>
            <w:tcW w:type="dxa" w:w="700"/>
            <w:shd w:fill="E8EEF7" w:color="auto" w:val="clear"/>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0"/>
                <w:szCs w:val="20"/>
              </w:rPr>
              <w:t xml:space="preserve">Gaps</w:t>
            </w:r>
          </w:p>
        </w:tc>
        <w:tc>
          <w:tcPr>
            <w:tcW w:type="dxa" w:w="3544"/>
            <w:shd w:fill="E8EEF7" w:color="auto" w:val="clear"/>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0"/>
                <w:szCs w:val="20"/>
              </w:rPr>
              <w:t xml:space="preserve">Hypothesis</w:t>
            </w:r>
          </w:p>
        </w:tc>
      </w:tr>
      <w:tr>
        <w:tc>
          <w:tcPr>
            <w:tcW w:type="dxa" w:w="700"/>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0"/>
                <w:szCs w:val="20"/>
              </w:rPr>
              <w:t xml:space="preserve">O1</w:t>
            </w:r>
          </w:p>
        </w:tc>
        <w:tc>
          <w:tcPr>
            <w:tcW w:type="dxa" w:w="4082"/>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To quantify the effect of display polarity and text colour on </w:t>
            </w:r>
            <w:r>
              <w:rPr>
                <w:rFonts w:ascii="Times New Roman" w:cs="Times New Roman" w:eastAsia="Times New Roman" w:hAnsi="Times New Roman"/>
                <w:b/>
                <w:bCs/>
                <w:i w:val="false"/>
                <w:iCs w:val="false"/>
                <w:sz w:val="20"/>
                <w:szCs w:val="20"/>
              </w:rPr>
              <w:t xml:space="preserve">reading performance</w:t>
            </w:r>
            <w:r>
              <w:rPr>
                <w:rFonts w:ascii="Times New Roman" w:cs="Times New Roman" w:eastAsia="Times New Roman" w:hAnsi="Times New Roman"/>
                <w:b w:val="false"/>
                <w:bCs w:val="false"/>
                <w:i w:val="false"/>
                <w:iCs w:val="false"/>
                <w:sz w:val="20"/>
                <w:szCs w:val="20"/>
              </w:rPr>
              <w:t xml:space="preserve"> (reading rate) and </w:t>
            </w:r>
            <w:r>
              <w:rPr>
                <w:rFonts w:ascii="Times New Roman" w:cs="Times New Roman" w:eastAsia="Times New Roman" w:hAnsi="Times New Roman"/>
                <w:b/>
                <w:bCs/>
                <w:i w:val="false"/>
                <w:iCs w:val="false"/>
                <w:sz w:val="20"/>
                <w:szCs w:val="20"/>
              </w:rPr>
              <w:t xml:space="preserve">comprehension</w:t>
            </w:r>
            <w:r>
              <w:rPr>
                <w:rFonts w:ascii="Times New Roman" w:cs="Times New Roman" w:eastAsia="Times New Roman" w:hAnsi="Times New Roman"/>
                <w:b w:val="false"/>
                <w:bCs w:val="false"/>
                <w:i w:val="false"/>
                <w:iCs w:val="false"/>
                <w:sz w:val="20"/>
                <w:szCs w:val="20"/>
              </w:rPr>
              <w:t xml:space="preserve"> during prolonged tablet reading.</w:t>
            </w:r>
          </w:p>
        </w:tc>
        <w:tc>
          <w:tcPr>
            <w:tcW w:type="dxa" w:w="70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G1, G11</w:t>
            </w:r>
          </w:p>
        </w:tc>
        <w:tc>
          <w:tcPr>
            <w:tcW w:type="dxa" w:w="3544"/>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0"/>
                <w:szCs w:val="20"/>
              </w:rPr>
              <w:t xml:space="preserve">H1:</w:t>
            </w:r>
            <w:r>
              <w:rPr>
                <w:rFonts w:ascii="Times New Roman" w:cs="Times New Roman" w:eastAsia="Times New Roman" w:hAnsi="Times New Roman"/>
                <w:b w:val="false"/>
                <w:bCs w:val="false"/>
                <w:i w:val="false"/>
                <w:iCs w:val="false"/>
                <w:sz w:val="20"/>
                <w:szCs w:val="20"/>
              </w:rPr>
              <w:t xml:space="preserve"> Positive polarity and higher luminance contrast are associated with faster reading rate; comprehension is less sensitive than rate, consistent with the null colour effect on reading speed reported over short exposures [18].</w:t>
            </w:r>
          </w:p>
        </w:tc>
      </w:tr>
      <w:tr>
        <w:tc>
          <w:tcPr>
            <w:tcW w:type="dxa" w:w="700"/>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0"/>
                <w:szCs w:val="20"/>
              </w:rPr>
              <w:t xml:space="preserve">O2</w:t>
            </w:r>
          </w:p>
        </w:tc>
        <w:tc>
          <w:tcPr>
            <w:tcW w:type="dxa" w:w="4082"/>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To quantify the effect of polarity and text colour on </w:t>
            </w:r>
            <w:r>
              <w:rPr>
                <w:rFonts w:ascii="Times New Roman" w:cs="Times New Roman" w:eastAsia="Times New Roman" w:hAnsi="Times New Roman"/>
                <w:b/>
                <w:bCs/>
                <w:i w:val="false"/>
                <w:iCs w:val="false"/>
                <w:sz w:val="20"/>
                <w:szCs w:val="20"/>
              </w:rPr>
              <w:t xml:space="preserve">subjective visual fatigue</w:t>
            </w:r>
            <w:r>
              <w:rPr>
                <w:rFonts w:ascii="Times New Roman" w:cs="Times New Roman" w:eastAsia="Times New Roman" w:hAnsi="Times New Roman"/>
                <w:b w:val="false"/>
                <w:bCs w:val="false"/>
                <w:i w:val="false"/>
                <w:iCs w:val="false"/>
                <w:sz w:val="20"/>
                <w:szCs w:val="20"/>
              </w:rPr>
              <w:t xml:space="preserve"> (CVS-Q change from baseline as the primary endpoint; per-condition symptom and comfort/clarity ratings as secondary).</w:t>
            </w:r>
          </w:p>
        </w:tc>
        <w:tc>
          <w:tcPr>
            <w:tcW w:type="dxa" w:w="70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G1, G2, G5, G11</w:t>
            </w:r>
          </w:p>
        </w:tc>
        <w:tc>
          <w:tcPr>
            <w:tcW w:type="dxa" w:w="3544"/>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0"/>
                <w:szCs w:val="20"/>
              </w:rPr>
              <w:t xml:space="preserve">H2:</w:t>
            </w:r>
            <w:r>
              <w:rPr>
                <w:rFonts w:ascii="Times New Roman" w:cs="Times New Roman" w:eastAsia="Times New Roman" w:hAnsi="Times New Roman"/>
                <w:b w:val="false"/>
                <w:bCs w:val="false"/>
                <w:i w:val="false"/>
                <w:iCs w:val="false"/>
                <w:sz w:val="20"/>
                <w:szCs w:val="20"/>
              </w:rPr>
              <w:t xml:space="preserve"> Conditions of lower luminance contrast, and negative-polarity conditions, produce greater increases in subjective visual fatigue and lower perceived comfort and clarity.</w:t>
            </w:r>
          </w:p>
        </w:tc>
      </w:tr>
      <w:tr>
        <w:tc>
          <w:tcPr>
            <w:tcW w:type="dxa" w:w="700"/>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0"/>
                <w:szCs w:val="20"/>
              </w:rPr>
              <w:t xml:space="preserve">O3</w:t>
            </w:r>
          </w:p>
        </w:tc>
        <w:tc>
          <w:tcPr>
            <w:tcW w:type="dxa" w:w="4082"/>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To quantify the effect of polarity and text colour on </w:t>
            </w:r>
            <w:r>
              <w:rPr>
                <w:rFonts w:ascii="Times New Roman" w:cs="Times New Roman" w:eastAsia="Times New Roman" w:hAnsi="Times New Roman"/>
                <w:b/>
                <w:bCs/>
                <w:i w:val="false"/>
                <w:iCs w:val="false"/>
                <w:sz w:val="20"/>
                <w:szCs w:val="20"/>
              </w:rPr>
              <w:t xml:space="preserve">objective ocular markers</w:t>
            </w:r>
            <w:r>
              <w:rPr>
                <w:rFonts w:ascii="Times New Roman" w:cs="Times New Roman" w:eastAsia="Times New Roman" w:hAnsi="Times New Roman"/>
                <w:b w:val="false"/>
                <w:bCs w:val="false"/>
                <w:i w:val="false"/>
                <w:iCs w:val="false"/>
                <w:sz w:val="20"/>
                <w:szCs w:val="20"/>
              </w:rPr>
              <w:t xml:space="preserve"> — blink rate, </w:t>
            </w:r>
            <w:r>
              <w:rPr>
                <w:rFonts w:ascii="Times New Roman" w:cs="Times New Roman" w:eastAsia="Times New Roman" w:hAnsi="Times New Roman"/>
                <w:b/>
                <w:bCs/>
                <w:i w:val="false"/>
                <w:iCs w:val="false"/>
                <w:sz w:val="20"/>
                <w:szCs w:val="20"/>
              </w:rPr>
              <w:t xml:space="preserve">incomplete-blink ratio</w:t>
            </w:r>
            <w:r>
              <w:rPr>
                <w:rFonts w:ascii="Times New Roman" w:cs="Times New Roman" w:eastAsia="Times New Roman" w:hAnsi="Times New Roman"/>
                <w:b w:val="false"/>
                <w:bCs w:val="false"/>
                <w:i w:val="false"/>
                <w:iCs w:val="false"/>
                <w:sz w:val="20"/>
                <w:szCs w:val="20"/>
              </w:rPr>
              <w:t xml:space="preserve"> (primary), inter-blink interval — with drowsiness (PERCLOS, long-closure events) modelled as a covariate.</w:t>
            </w:r>
          </w:p>
        </w:tc>
        <w:tc>
          <w:tcPr>
            <w:tcW w:type="dxa" w:w="70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G2, G6, G10</w:t>
            </w:r>
          </w:p>
        </w:tc>
        <w:tc>
          <w:tcPr>
            <w:tcW w:type="dxa" w:w="3544"/>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0"/>
                <w:szCs w:val="20"/>
              </w:rPr>
              <w:t xml:space="preserve">H3:</w:t>
            </w:r>
            <w:r>
              <w:rPr>
                <w:rFonts w:ascii="Times New Roman" w:cs="Times New Roman" w:eastAsia="Times New Roman" w:hAnsi="Times New Roman"/>
                <w:b w:val="false"/>
                <w:bCs w:val="false"/>
                <w:i w:val="false"/>
                <w:iCs w:val="false"/>
                <w:sz w:val="20"/>
                <w:szCs w:val="20"/>
              </w:rPr>
              <w:t xml:space="preserve"> Incomplete-blink ratio increases, and blink rate decreases, with time on task; and both are modulated by condition, with the greatest incomplete-blink burden in low-contrast conditions. </w:t>
            </w:r>
            <w:r>
              <w:rPr>
                <w:rFonts w:ascii="Times New Roman" w:cs="Times New Roman" w:eastAsia="Times New Roman" w:hAnsi="Times New Roman"/>
                <w:b/>
                <w:bCs/>
                <w:i w:val="false"/>
                <w:iCs w:val="false"/>
                <w:sz w:val="20"/>
                <w:szCs w:val="20"/>
              </w:rPr>
              <w:t xml:space="preserve">H3a:</w:t>
            </w:r>
            <w:r>
              <w:rPr>
                <w:rFonts w:ascii="Times New Roman" w:cs="Times New Roman" w:eastAsia="Times New Roman" w:hAnsi="Times New Roman"/>
                <w:b w:val="false"/>
                <w:bCs w:val="false"/>
                <w:i w:val="false"/>
                <w:iCs w:val="false"/>
                <w:sz w:val="20"/>
                <w:szCs w:val="20"/>
              </w:rPr>
              <w:t xml:space="preserve"> Condition effects on incomplete-blink ratio persist after adjustment for PERCLOS, distinguishing visual fatigue from sleepiness.</w:t>
            </w:r>
          </w:p>
        </w:tc>
      </w:tr>
      <w:tr>
        <w:tc>
          <w:tcPr>
            <w:tcW w:type="dxa" w:w="700"/>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0"/>
                <w:szCs w:val="20"/>
              </w:rPr>
              <w:t xml:space="preserve">O4</w:t>
            </w:r>
          </w:p>
        </w:tc>
        <w:tc>
          <w:tcPr>
            <w:tcW w:type="dxa" w:w="4082"/>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To quantify the effect of polarity and text colour on </w:t>
            </w:r>
            <w:r>
              <w:rPr>
                <w:rFonts w:ascii="Times New Roman" w:cs="Times New Roman" w:eastAsia="Times New Roman" w:hAnsi="Times New Roman"/>
                <w:b/>
                <w:bCs/>
                <w:i w:val="false"/>
                <w:iCs w:val="false"/>
                <w:sz w:val="20"/>
                <w:szCs w:val="20"/>
              </w:rPr>
              <w:t xml:space="preserve">sustained attention</w:t>
            </w:r>
            <w:r>
              <w:rPr>
                <w:rFonts w:ascii="Times New Roman" w:cs="Times New Roman" w:eastAsia="Times New Roman" w:hAnsi="Times New Roman"/>
                <w:b w:val="false"/>
                <w:bCs w:val="false"/>
                <w:i w:val="false"/>
                <w:iCs w:val="false"/>
                <w:sz w:val="20"/>
                <w:szCs w:val="20"/>
              </w:rPr>
              <w:t xml:space="preserve"> (reaction-time mean and variability, lapse rate, signal-detection sensitivity and bias).</w:t>
            </w:r>
          </w:p>
        </w:tc>
        <w:tc>
          <w:tcPr>
            <w:tcW w:type="dxa" w:w="70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G10</w:t>
            </w:r>
          </w:p>
        </w:tc>
        <w:tc>
          <w:tcPr>
            <w:tcW w:type="dxa" w:w="3544"/>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0"/>
                <w:szCs w:val="20"/>
              </w:rPr>
              <w:t xml:space="preserve">H4:</w:t>
            </w:r>
            <w:r>
              <w:rPr>
                <w:rFonts w:ascii="Times New Roman" w:cs="Times New Roman" w:eastAsia="Times New Roman" w:hAnsi="Times New Roman"/>
                <w:b w:val="false"/>
                <w:bCs w:val="false"/>
                <w:i w:val="false"/>
                <w:iCs w:val="false"/>
                <w:sz w:val="20"/>
                <w:szCs w:val="20"/>
              </w:rPr>
              <w:t xml:space="preserve"> Reaction-time variability and lapse rate increase with serial position (vigilance decrement) and are elevated in lower-contrast conditions; sensitivity (d′) is reduced where stimulus discriminability is degraded.</w:t>
            </w:r>
          </w:p>
        </w:tc>
      </w:tr>
      <w:tr>
        <w:tc>
          <w:tcPr>
            <w:tcW w:type="dxa" w:w="700"/>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0"/>
                <w:szCs w:val="20"/>
              </w:rPr>
              <w:t xml:space="preserve">O5</w:t>
            </w:r>
          </w:p>
        </w:tc>
        <w:tc>
          <w:tcPr>
            <w:tcW w:type="dxa" w:w="4082"/>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To </w:t>
            </w:r>
            <w:r>
              <w:rPr>
                <w:rFonts w:ascii="Times New Roman" w:cs="Times New Roman" w:eastAsia="Times New Roman" w:hAnsi="Times New Roman"/>
                <w:b/>
                <w:bCs/>
                <w:i w:val="false"/>
                <w:iCs w:val="false"/>
                <w:sz w:val="20"/>
                <w:szCs w:val="20"/>
              </w:rPr>
              <w:t xml:space="preserve">disentangle hue from luminance contrast</w:t>
            </w:r>
            <w:r>
              <w:rPr>
                <w:rFonts w:ascii="Times New Roman" w:cs="Times New Roman" w:eastAsia="Times New Roman" w:hAnsi="Times New Roman"/>
                <w:b w:val="false"/>
                <w:bCs w:val="false"/>
                <w:i w:val="false"/>
                <w:iCs w:val="false"/>
                <w:sz w:val="20"/>
                <w:szCs w:val="20"/>
              </w:rPr>
              <w:t xml:space="preserve"> by computing multiple contrast metrics (WCAG ratio; Michelson) for every condition, measuring display photometry and ambient illuminance, and modelling contrast explicitly as a covariate and as a polarity × contrast interaction.</w:t>
            </w:r>
          </w:p>
        </w:tc>
        <w:tc>
          <w:tcPr>
            <w:tcW w:type="dxa" w:w="70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G3, G4, G9</w:t>
            </w:r>
          </w:p>
        </w:tc>
        <w:tc>
          <w:tcPr>
            <w:tcW w:type="dxa" w:w="3544"/>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0"/>
                <w:szCs w:val="20"/>
              </w:rPr>
              <w:t xml:space="preserve">H5:</w:t>
            </w:r>
            <w:r>
              <w:rPr>
                <w:rFonts w:ascii="Times New Roman" w:cs="Times New Roman" w:eastAsia="Times New Roman" w:hAnsi="Times New Roman"/>
                <w:b w:val="false"/>
                <w:bCs w:val="false"/>
                <w:i w:val="false"/>
                <w:iCs w:val="false"/>
                <w:sz w:val="20"/>
                <w:szCs w:val="20"/>
              </w:rPr>
              <w:t xml:space="preserve"> Luminance contrast accounts for the majority of between-condition variance in performance and fatigue outcomes; residual hue-specific effects, if present, are small — with red text as the a priori candidate exception [19].</w:t>
            </w:r>
          </w:p>
        </w:tc>
      </w:tr>
      <w:tr>
        <w:tc>
          <w:tcPr>
            <w:tcW w:type="dxa" w:w="700"/>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0"/>
                <w:szCs w:val="20"/>
              </w:rPr>
              <w:t xml:space="preserve">O6</w:t>
            </w:r>
          </w:p>
        </w:tc>
        <w:tc>
          <w:tcPr>
            <w:tcW w:type="dxa" w:w="4082"/>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To establish the </w:t>
            </w:r>
            <w:r>
              <w:rPr>
                <w:rFonts w:ascii="Times New Roman" w:cs="Times New Roman" w:eastAsia="Times New Roman" w:hAnsi="Times New Roman"/>
                <w:b/>
                <w:bCs/>
                <w:i w:val="false"/>
                <w:iCs w:val="false"/>
                <w:sz w:val="20"/>
                <w:szCs w:val="20"/>
              </w:rPr>
              <w:t xml:space="preserve">feasibility, data quality and criterion validity</w:t>
            </w:r>
            <w:r>
              <w:rPr>
                <w:rFonts w:ascii="Times New Roman" w:cs="Times New Roman" w:eastAsia="Times New Roman" w:hAnsi="Times New Roman"/>
                <w:b w:val="false"/>
                <w:bCs w:val="false"/>
                <w:i w:val="false"/>
                <w:iCs w:val="false"/>
                <w:sz w:val="20"/>
                <w:szCs w:val="20"/>
              </w:rPr>
              <w:t xml:space="preserve"> of tablet-based webcam ocular metrology for digital-eye-strain research, including agreement of automated incomplete-blink detection with manual video annotation, and transparent reporting of achieved sampling rate, face-presence and illumination adequacy.</w:t>
            </w:r>
          </w:p>
        </w:tc>
        <w:tc>
          <w:tcPr>
            <w:tcW w:type="dxa" w:w="70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G7, G8</w:t>
            </w:r>
          </w:p>
        </w:tc>
        <w:tc>
          <w:tcPr>
            <w:tcW w:type="dxa" w:w="3544"/>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0"/>
                <w:szCs w:val="20"/>
              </w:rPr>
              <w:t xml:space="preserve">H6:</w:t>
            </w:r>
            <w:r>
              <w:rPr>
                <w:rFonts w:ascii="Times New Roman" w:cs="Times New Roman" w:eastAsia="Times New Roman" w:hAnsi="Times New Roman"/>
                <w:b w:val="false"/>
                <w:bCs w:val="false"/>
                <w:i w:val="false"/>
                <w:iCs w:val="false"/>
                <w:sz w:val="20"/>
                <w:szCs w:val="20"/>
              </w:rPr>
              <w:t xml:space="preserve"> Automated EAR-based incomplete-blink classification achieves acceptable agreement with manual annotation, and proportion/count-based markers are robust to frame-rate variation whereas duration-based markers are not.</w:t>
            </w:r>
          </w:p>
        </w:tc>
      </w:tr>
      <w:tr>
        <w:tc>
          <w:tcPr>
            <w:tcW w:type="dxa" w:w="700"/>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0"/>
                <w:szCs w:val="20"/>
              </w:rPr>
              <w:t xml:space="preserve">O7</w:t>
            </w:r>
          </w:p>
        </w:tc>
        <w:tc>
          <w:tcPr>
            <w:tcW w:type="dxa" w:w="4082"/>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To characterise the </w:t>
            </w:r>
            <w:r>
              <w:rPr>
                <w:rFonts w:ascii="Times New Roman" w:cs="Times New Roman" w:eastAsia="Times New Roman" w:hAnsi="Times New Roman"/>
                <w:b/>
                <w:bCs/>
                <w:i w:val="false"/>
                <w:iCs w:val="false"/>
                <w:sz w:val="20"/>
                <w:szCs w:val="20"/>
              </w:rPr>
              <w:t xml:space="preserve">correspondence between subjective and objective</w:t>
            </w:r>
            <w:r>
              <w:rPr>
                <w:rFonts w:ascii="Times New Roman" w:cs="Times New Roman" w:eastAsia="Times New Roman" w:hAnsi="Times New Roman"/>
                <w:b w:val="false"/>
                <w:bCs w:val="false"/>
                <w:i w:val="false"/>
                <w:iCs w:val="false"/>
                <w:sz w:val="20"/>
                <w:szCs w:val="20"/>
              </w:rPr>
              <w:t xml:space="preserve"> fatigue indices measured concurrently within condition and session.</w:t>
            </w:r>
          </w:p>
        </w:tc>
        <w:tc>
          <w:tcPr>
            <w:tcW w:type="dxa" w:w="70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G5</w:t>
            </w:r>
          </w:p>
        </w:tc>
        <w:tc>
          <w:tcPr>
            <w:tcW w:type="dxa" w:w="3544"/>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0"/>
                <w:szCs w:val="20"/>
              </w:rPr>
              <w:t xml:space="preserve">H7:</w:t>
            </w:r>
            <w:r>
              <w:rPr>
                <w:rFonts w:ascii="Times New Roman" w:cs="Times New Roman" w:eastAsia="Times New Roman" w:hAnsi="Times New Roman"/>
                <w:b w:val="false"/>
                <w:bCs w:val="false"/>
                <w:i w:val="false"/>
                <w:iCs w:val="false"/>
                <w:sz w:val="20"/>
                <w:szCs w:val="20"/>
              </w:rPr>
              <w:t xml:space="preserve"> Subjective symptom change and objective ocular markers are only modestly correlated, with incomplete-blink ratio showing stronger association with ocular-surface symptoms than with accommodative/vergence symptoms.</w:t>
            </w:r>
          </w:p>
        </w:tc>
      </w:tr>
      <w:tr>
        <w:tc>
          <w:tcPr>
            <w:tcW w:type="dxa" w:w="700"/>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0"/>
                <w:szCs w:val="20"/>
              </w:rPr>
              <w:t xml:space="preserve">O8</w:t>
            </w:r>
          </w:p>
        </w:tc>
        <w:tc>
          <w:tcPr>
            <w:tcW w:type="dxa" w:w="4082"/>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To derive </w:t>
            </w:r>
            <w:r>
              <w:rPr>
                <w:rFonts w:ascii="Times New Roman" w:cs="Times New Roman" w:eastAsia="Times New Roman" w:hAnsi="Times New Roman"/>
                <w:b/>
                <w:bCs/>
                <w:i w:val="false"/>
                <w:iCs w:val="false"/>
                <w:sz w:val="20"/>
                <w:szCs w:val="20"/>
              </w:rPr>
              <w:t xml:space="preserve">evidence-based display-design and ergonomic recommendations</w:t>
            </w:r>
            <w:r>
              <w:rPr>
                <w:rFonts w:ascii="Times New Roman" w:cs="Times New Roman" w:eastAsia="Times New Roman" w:hAnsi="Times New Roman"/>
                <w:b w:val="false"/>
                <w:bCs w:val="false"/>
                <w:i w:val="false"/>
                <w:iCs w:val="false"/>
                <w:sz w:val="20"/>
                <w:szCs w:val="20"/>
              </w:rPr>
              <w:t xml:space="preserve">, and to evaluate them against the prevailing accessibility contrast standard.</w:t>
            </w:r>
          </w:p>
        </w:tc>
        <w:tc>
          <w:tcPr>
            <w:tcW w:type="dxa" w:w="70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G4, G11</w:t>
            </w:r>
          </w:p>
        </w:tc>
        <w:tc>
          <w:tcPr>
            <w:tcW w:type="dxa" w:w="3544"/>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0"/>
                <w:szCs w:val="20"/>
              </w:rPr>
              <w:t xml:space="preserve">H8:</w:t>
            </w:r>
            <w:r>
              <w:rPr>
                <w:rFonts w:ascii="Times New Roman" w:cs="Times New Roman" w:eastAsia="Times New Roman" w:hAnsi="Times New Roman"/>
                <w:b w:val="false"/>
                <w:bCs w:val="false"/>
                <w:i w:val="false"/>
                <w:iCs w:val="false"/>
                <w:sz w:val="20"/>
                <w:szCs w:val="20"/>
              </w:rPr>
              <w:t xml:space="preserve"> A polarity-blind contrast criterion misclassifies the readability/comfort of a subset of negative-polarity conditions relative to empirically measured outcomes.</w:t>
            </w:r>
          </w:p>
        </w:tc>
      </w:tr>
    </w:tbl>
    <w:p>
      <w:pPr>
        <w:spacing w:after="200"/>
      </w:pPr>
      <w:r>
        <w:rPr>
          <w:sz w:val="12"/>
          <w:szCs w:val="12"/>
        </w:rPr>
        <w:t xml:space="preserve"/>
      </w:r>
    </w:p>
    <w:p>
      <w:pPr>
        <w:pStyle w:val="Heading2"/>
        <w:keepNext/>
        <w:spacing w:after="160" w:before="280"/>
      </w:pPr>
      <w:r>
        <w:rPr>
          <w:rFonts w:ascii="Times New Roman" w:cs="Times New Roman" w:eastAsia="Times New Roman" w:hAnsi="Times New Roman"/>
          <w:b/>
          <w:bCs/>
          <w:i w:val="false"/>
          <w:iCs w:val="false"/>
          <w:sz w:val="28"/>
          <w:szCs w:val="28"/>
        </w:rPr>
        <w:t xml:space="preserve">18. Conceptual framework</w:t>
      </w:r>
    </w:p>
    <w:p>
      <w:pPr>
        <w:spacing w:after="140" w:line="340"/>
        <w:jc w:val="both"/>
      </w:pPr>
      <w:r>
        <w:rPr>
          <w:rFonts w:ascii="Times New Roman" w:cs="Times New Roman" w:eastAsia="Times New Roman" w:hAnsi="Times New Roman"/>
          <w:b w:val="false"/>
          <w:bCs w:val="false"/>
          <w:i w:val="false"/>
          <w:iCs w:val="false"/>
          <w:sz w:val="24"/>
          <w:szCs w:val="24"/>
        </w:rPr>
        <w:t xml:space="preserve">The framework is causal and two-pathway, integrating §3.1 with §§4–10:</w:t>
      </w:r>
    </w:p>
    <w:p>
      <w:pPr>
        <w:spacing w:after="140" w:line="340"/>
        <w:jc w:val="both"/>
      </w:pPr>
      <w:r>
        <w:rPr>
          <w:rFonts w:ascii="Times New Roman" w:cs="Times New Roman" w:eastAsia="Times New Roman" w:hAnsi="Times New Roman"/>
          <w:b/>
          <w:bCs/>
          <w:i w:val="false"/>
          <w:iCs w:val="false"/>
          <w:sz w:val="24"/>
          <w:szCs w:val="24"/>
        </w:rPr>
        <w:t xml:space="preserve">Display configuration</w:t>
      </w:r>
      <w:r>
        <w:rPr>
          <w:rFonts w:ascii="Times New Roman" w:cs="Times New Roman" w:eastAsia="Times New Roman" w:hAnsi="Times New Roman"/>
          <w:b w:val="false"/>
          <w:bCs w:val="false"/>
          <w:i w:val="false"/>
          <w:iCs w:val="false"/>
          <w:sz w:val="24"/>
          <w:szCs w:val="24"/>
        </w:rPr>
        <w:t xml:space="preserve"> (polarity; text chromaticity; ⇒ </w:t>
      </w:r>
      <w:r>
        <w:rPr>
          <w:rFonts w:ascii="Times New Roman" w:cs="Times New Roman" w:eastAsia="Times New Roman" w:hAnsi="Times New Roman"/>
          <w:b/>
          <w:bCs/>
          <w:i w:val="false"/>
          <w:iCs w:val="false"/>
          <w:sz w:val="24"/>
          <w:szCs w:val="24"/>
        </w:rPr>
        <w:t xml:space="preserve">luminance contrast</w:t>
      </w:r>
      <w:r>
        <w:rPr>
          <w:rFonts w:ascii="Times New Roman" w:cs="Times New Roman" w:eastAsia="Times New Roman" w:hAnsi="Times New Roman"/>
          <w:b w:val="false"/>
          <w:bCs w:val="false"/>
          <w:i w:val="false"/>
          <w:iCs w:val="false"/>
          <w:sz w:val="24"/>
          <w:szCs w:val="24"/>
        </w:rPr>
        <w:t xml:space="preserve">; display luminance) — moderated by </w:t>
      </w:r>
      <w:r>
        <w:rPr>
          <w:rFonts w:ascii="Times New Roman" w:cs="Times New Roman" w:eastAsia="Times New Roman" w:hAnsi="Times New Roman"/>
          <w:b/>
          <w:bCs/>
          <w:i w:val="false"/>
          <w:iCs w:val="false"/>
          <w:sz w:val="24"/>
          <w:szCs w:val="24"/>
        </w:rPr>
        <w:t xml:space="preserve">ambient illuminance</w:t>
      </w:r>
      <w:r>
        <w:rPr>
          <w:rFonts w:ascii="Times New Roman" w:cs="Times New Roman" w:eastAsia="Times New Roman" w:hAnsi="Times New Roman"/>
          <w:b w:val="false"/>
          <w:bCs w:val="false"/>
          <w:i w:val="false"/>
          <w:iCs w:val="false"/>
          <w:sz w:val="24"/>
          <w:szCs w:val="24"/>
        </w:rPr>
        <w:t xml:space="preserve"> — acts through two proximal mechanisms:</w:t>
      </w:r>
    </w:p>
    <w:p>
      <w:pPr>
        <w:pStyle w:val="ListParagraph"/>
        <w:numPr>
          <w:ilvl w:val="0"/>
          <w:numId w:val="2"/>
        </w:numPr>
        <w:spacing w:after="90" w:line="320"/>
        <w:jc w:val="both"/>
      </w:pPr>
      <w:r>
        <w:rPr>
          <w:rFonts w:ascii="Times New Roman" w:cs="Times New Roman" w:eastAsia="Times New Roman" w:hAnsi="Times New Roman"/>
          <w:b/>
          <w:bCs/>
          <w:i w:val="false"/>
          <w:iCs w:val="false"/>
          <w:sz w:val="24"/>
          <w:szCs w:val="24"/>
        </w:rPr>
        <w:t xml:space="preserve">Optical/refractive pathway:</w:t>
      </w:r>
      <w:r>
        <w:rPr>
          <w:rFonts w:ascii="Times New Roman" w:cs="Times New Roman" w:eastAsia="Times New Roman" w:hAnsi="Times New Roman"/>
          <w:b w:val="false"/>
          <w:bCs w:val="false"/>
          <w:i w:val="false"/>
          <w:iCs w:val="false"/>
          <w:sz w:val="24"/>
          <w:szCs w:val="24"/>
        </w:rPr>
        <w:t xml:space="preserve"> display luminance → </w:t>
      </w:r>
      <w:r>
        <w:rPr>
          <w:rFonts w:ascii="Times New Roman" w:cs="Times New Roman" w:eastAsia="Times New Roman" w:hAnsi="Times New Roman"/>
          <w:b/>
          <w:bCs/>
          <w:i w:val="false"/>
          <w:iCs w:val="false"/>
          <w:sz w:val="24"/>
          <w:szCs w:val="24"/>
        </w:rPr>
        <w:t xml:space="preserve">pupil diameter</w:t>
      </w:r>
      <w:r>
        <w:rPr>
          <w:rFonts w:ascii="Times New Roman" w:cs="Times New Roman" w:eastAsia="Times New Roman" w:hAnsi="Times New Roman"/>
          <w:b w:val="false"/>
          <w:bCs w:val="false"/>
          <w:i w:val="false"/>
          <w:iCs w:val="false"/>
          <w:sz w:val="24"/>
          <w:szCs w:val="24"/>
        </w:rPr>
        <w:t xml:space="preserve"> → optical aberration and depth of focus → </w:t>
      </w:r>
      <w:r>
        <w:rPr>
          <w:rFonts w:ascii="Times New Roman" w:cs="Times New Roman" w:eastAsia="Times New Roman" w:hAnsi="Times New Roman"/>
          <w:b/>
          <w:bCs/>
          <w:i w:val="false"/>
          <w:iCs w:val="false"/>
          <w:sz w:val="24"/>
          <w:szCs w:val="24"/>
        </w:rPr>
        <w:t xml:space="preserve">retinal image quality</w:t>
      </w:r>
      <w:r>
        <w:rPr>
          <w:rFonts w:ascii="Times New Roman" w:cs="Times New Roman" w:eastAsia="Times New Roman" w:hAnsi="Times New Roman"/>
          <w:b w:val="false"/>
          <w:bCs w:val="false"/>
          <w:i w:val="false"/>
          <w:iCs w:val="false"/>
          <w:sz w:val="24"/>
          <w:szCs w:val="24"/>
        </w:rPr>
        <w:t xml:space="preserve"> → legibility and accommodative demand → accommodative variability, near-work-induced transient myopia → </w:t>
      </w:r>
      <w:r>
        <w:rPr>
          <w:rFonts w:ascii="Times New Roman" w:cs="Times New Roman" w:eastAsia="Times New Roman" w:hAnsi="Times New Roman"/>
          <w:b w:val="false"/>
          <w:bCs w:val="false"/>
          <w:i/>
          <w:iCs/>
          <w:sz w:val="24"/>
          <w:szCs w:val="24"/>
        </w:rPr>
        <w:t xml:space="preserve">accommodative/vergence symptom cluster</w:t>
      </w:r>
      <w:r>
        <w:rPr>
          <w:rFonts w:ascii="Times New Roman" w:cs="Times New Roman" w:eastAsia="Times New Roman" w:hAnsi="Times New Roman"/>
          <w:b w:val="false"/>
          <w:bCs w:val="false"/>
          <w:i w:val="false"/>
          <w:iCs w:val="false"/>
          <w:sz w:val="24"/>
          <w:szCs w:val="24"/>
        </w:rPr>
        <w:t xml:space="preserve"> [13–15,18,30].</w:t>
      </w:r>
    </w:p>
    <w:p>
      <w:pPr>
        <w:pStyle w:val="ListParagraph"/>
        <w:numPr>
          <w:ilvl w:val="0"/>
          <w:numId w:val="2"/>
        </w:numPr>
        <w:spacing w:after="90" w:line="320"/>
        <w:jc w:val="both"/>
      </w:pPr>
      <w:r>
        <w:rPr>
          <w:rFonts w:ascii="Times New Roman" w:cs="Times New Roman" w:eastAsia="Times New Roman" w:hAnsi="Times New Roman"/>
          <w:b/>
          <w:bCs/>
          <w:i w:val="false"/>
          <w:iCs w:val="false"/>
          <w:sz w:val="24"/>
          <w:szCs w:val="24"/>
        </w:rPr>
        <w:t xml:space="preserve">Ocular-surface pathway:</w:t>
      </w:r>
      <w:r>
        <w:rPr>
          <w:rFonts w:ascii="Times New Roman" w:cs="Times New Roman" w:eastAsia="Times New Roman" w:hAnsi="Times New Roman"/>
          <w:b w:val="false"/>
          <w:bCs w:val="false"/>
          <w:i w:val="false"/>
          <w:iCs w:val="false"/>
          <w:sz w:val="24"/>
          <w:szCs w:val="24"/>
        </w:rPr>
        <w:t xml:space="preserve"> visual and cognitive demand → </w:t>
      </w:r>
      <w:r>
        <w:rPr>
          <w:rFonts w:ascii="Times New Roman" w:cs="Times New Roman" w:eastAsia="Times New Roman" w:hAnsi="Times New Roman"/>
          <w:b/>
          <w:bCs/>
          <w:i w:val="false"/>
          <w:iCs w:val="false"/>
          <w:sz w:val="24"/>
          <w:szCs w:val="24"/>
        </w:rPr>
        <w:t xml:space="preserve">reduced blink rate and increased incomplete blinking</w:t>
      </w:r>
      <w:r>
        <w:rPr>
          <w:rFonts w:ascii="Times New Roman" w:cs="Times New Roman" w:eastAsia="Times New Roman" w:hAnsi="Times New Roman"/>
          <w:b w:val="false"/>
          <w:bCs w:val="false"/>
          <w:i w:val="false"/>
          <w:iCs w:val="false"/>
          <w:sz w:val="24"/>
          <w:szCs w:val="24"/>
        </w:rPr>
        <w:t xml:space="preserve"> → exposed evaporative area and impaired lipid distribution → </w:t>
      </w:r>
      <w:r>
        <w:rPr>
          <w:rFonts w:ascii="Times New Roman" w:cs="Times New Roman" w:eastAsia="Times New Roman" w:hAnsi="Times New Roman"/>
          <w:b/>
          <w:bCs/>
          <w:i w:val="false"/>
          <w:iCs w:val="false"/>
          <w:sz w:val="24"/>
          <w:szCs w:val="24"/>
        </w:rPr>
        <w:t xml:space="preserve">tear-film instability</w:t>
      </w:r>
      <w:r>
        <w:rPr>
          <w:rFonts w:ascii="Times New Roman" w:cs="Times New Roman" w:eastAsia="Times New Roman" w:hAnsi="Times New Roman"/>
          <w:b w:val="false"/>
          <w:bCs w:val="false"/>
          <w:i w:val="false"/>
          <w:iCs w:val="false"/>
          <w:sz w:val="24"/>
          <w:szCs w:val="24"/>
        </w:rPr>
        <w:t xml:space="preserve"> → osmolarity and inflammation → </w:t>
      </w:r>
      <w:r>
        <w:rPr>
          <w:rFonts w:ascii="Times New Roman" w:cs="Times New Roman" w:eastAsia="Times New Roman" w:hAnsi="Times New Roman"/>
          <w:b w:val="false"/>
          <w:bCs w:val="false"/>
          <w:i/>
          <w:iCs/>
          <w:sz w:val="24"/>
          <w:szCs w:val="24"/>
        </w:rPr>
        <w:t xml:space="preserve">ocular-surface symptom cluster</w:t>
      </w:r>
      <w:r>
        <w:rPr>
          <w:rFonts w:ascii="Times New Roman" w:cs="Times New Roman" w:eastAsia="Times New Roman" w:hAnsi="Times New Roman"/>
          <w:b w:val="false"/>
          <w:bCs w:val="false"/>
          <w:i w:val="false"/>
          <w:iCs w:val="false"/>
          <w:sz w:val="24"/>
          <w:szCs w:val="24"/>
        </w:rPr>
        <w:t xml:space="preserve"> [10,11,26,27,29].</w:t>
      </w:r>
    </w:p>
    <w:p>
      <w:pPr>
        <w:spacing w:after="140" w:line="340"/>
        <w:jc w:val="both"/>
      </w:pPr>
      <w:r>
        <w:rPr>
          <w:rFonts w:ascii="Times New Roman" w:cs="Times New Roman" w:eastAsia="Times New Roman" w:hAnsi="Times New Roman"/>
          <w:b w:val="false"/>
          <w:bCs w:val="false"/>
          <w:i w:val="false"/>
          <w:iCs w:val="false"/>
          <w:sz w:val="24"/>
          <w:szCs w:val="24"/>
        </w:rPr>
        <w:t xml:space="preserve">Both pathways feed </w:t>
      </w:r>
      <w:r>
        <w:rPr>
          <w:rFonts w:ascii="Times New Roman" w:cs="Times New Roman" w:eastAsia="Times New Roman" w:hAnsi="Times New Roman"/>
          <w:b/>
          <w:bCs/>
          <w:i w:val="false"/>
          <w:iCs w:val="false"/>
          <w:sz w:val="24"/>
          <w:szCs w:val="24"/>
        </w:rPr>
        <w:t xml:space="preserve">manifest outcomes</w:t>
      </w:r>
      <w:r>
        <w:rPr>
          <w:rFonts w:ascii="Times New Roman" w:cs="Times New Roman" w:eastAsia="Times New Roman" w:hAnsi="Times New Roman"/>
          <w:b w:val="false"/>
          <w:bCs w:val="false"/>
          <w:i w:val="false"/>
          <w:iCs w:val="false"/>
          <w:sz w:val="24"/>
          <w:szCs w:val="24"/>
        </w:rPr>
        <w:t xml:space="preserve">: reading performance and comprehension; perceived comfort and clarity; subjective visual fatigue (CVS-Q, symptom ratings); and sustained attention. </w:t>
      </w:r>
      <w:r>
        <w:rPr>
          <w:rFonts w:ascii="Times New Roman" w:cs="Times New Roman" w:eastAsia="Times New Roman" w:hAnsi="Times New Roman"/>
          <w:b/>
          <w:bCs/>
          <w:i w:val="false"/>
          <w:iCs w:val="false"/>
          <w:sz w:val="24"/>
          <w:szCs w:val="24"/>
        </w:rPr>
        <w:t xml:space="preserve">Time on task</w:t>
      </w:r>
      <w:r>
        <w:rPr>
          <w:rFonts w:ascii="Times New Roman" w:cs="Times New Roman" w:eastAsia="Times New Roman" w:hAnsi="Times New Roman"/>
          <w:b w:val="false"/>
          <w:bCs w:val="false"/>
          <w:i w:val="false"/>
          <w:iCs w:val="false"/>
          <w:sz w:val="24"/>
          <w:szCs w:val="24"/>
        </w:rPr>
        <w:t xml:space="preserve"> exerts an independent effect on attention (vigilance decrement, resource depletion) [21,22] and on fatigue accumulation, and is therefore both counterbalanced and modelled. </w:t>
      </w:r>
      <w:r>
        <w:rPr>
          <w:rFonts w:ascii="Times New Roman" w:cs="Times New Roman" w:eastAsia="Times New Roman" w:hAnsi="Times New Roman"/>
          <w:b/>
          <w:bCs/>
          <w:i w:val="false"/>
          <w:iCs w:val="false"/>
          <w:sz w:val="24"/>
          <w:szCs w:val="24"/>
        </w:rPr>
        <w:t xml:space="preserve">Sleepiness</w:t>
      </w:r>
      <w:r>
        <w:rPr>
          <w:rFonts w:ascii="Times New Roman" w:cs="Times New Roman" w:eastAsia="Times New Roman" w:hAnsi="Times New Roman"/>
          <w:b w:val="false"/>
          <w:bCs w:val="false"/>
          <w:i w:val="false"/>
          <w:iCs w:val="false"/>
          <w:sz w:val="24"/>
          <w:szCs w:val="24"/>
        </w:rPr>
        <w:t xml:space="preserve"> (PERCLOS) and </w:t>
      </w:r>
      <w:r>
        <w:rPr>
          <w:rFonts w:ascii="Times New Roman" w:cs="Times New Roman" w:eastAsia="Times New Roman" w:hAnsi="Times New Roman"/>
          <w:b/>
          <w:bCs/>
          <w:i w:val="false"/>
          <w:iCs w:val="false"/>
          <w:sz w:val="24"/>
          <w:szCs w:val="24"/>
        </w:rPr>
        <w:t xml:space="preserve">disengagement/boredom</w:t>
      </w:r>
      <w:r>
        <w:rPr>
          <w:rFonts w:ascii="Times New Roman" w:cs="Times New Roman" w:eastAsia="Times New Roman" w:hAnsi="Times New Roman"/>
          <w:b w:val="false"/>
          <w:bCs w:val="false"/>
          <w:i w:val="false"/>
          <w:iCs w:val="false"/>
          <w:sz w:val="24"/>
          <w:szCs w:val="24"/>
        </w:rPr>
        <w:t xml:space="preserve"> are treated as measured confounders rather than assumed absent. </w:t>
      </w:r>
      <w:r>
        <w:rPr>
          <w:rFonts w:ascii="Times New Roman" w:cs="Times New Roman" w:eastAsia="Times New Roman" w:hAnsi="Times New Roman"/>
          <w:b/>
          <w:bCs/>
          <w:i w:val="false"/>
          <w:iCs w:val="false"/>
          <w:sz w:val="24"/>
          <w:szCs w:val="24"/>
        </w:rPr>
        <w:t xml:space="preserve">Person-level covariates</w:t>
      </w:r>
      <w:r>
        <w:rPr>
          <w:rFonts w:ascii="Times New Roman" w:cs="Times New Roman" w:eastAsia="Times New Roman" w:hAnsi="Times New Roman"/>
          <w:b w:val="false"/>
          <w:bCs w:val="false"/>
          <w:i w:val="false"/>
          <w:iCs w:val="false"/>
          <w:sz w:val="24"/>
          <w:szCs w:val="24"/>
        </w:rPr>
        <w:t xml:space="preserve"> (refractive correction, colour vision, habitual screen exposure, sleep and caffeine) modulate susceptibility.</w:t>
      </w:r>
    </w:p>
    <w:p>
      <w:pPr>
        <w:pStyle w:val="Heading2"/>
        <w:keepNext/>
        <w:spacing w:after="160" w:before="280"/>
      </w:pPr>
      <w:r>
        <w:rPr>
          <w:rFonts w:ascii="Times New Roman" w:cs="Times New Roman" w:eastAsia="Times New Roman" w:hAnsi="Times New Roman"/>
          <w:b/>
          <w:bCs/>
          <w:i w:val="false"/>
          <w:iCs w:val="false"/>
          <w:sz w:val="28"/>
          <w:szCs w:val="28"/>
        </w:rPr>
        <w:t xml:space="preserve">19. Proposed methodological outline</w:t>
      </w:r>
    </w:p>
    <w:p>
      <w:pPr>
        <w:spacing w:after="140" w:line="340"/>
        <w:jc w:val="both"/>
      </w:pPr>
      <w:r>
        <w:rPr>
          <w:rFonts w:ascii="Times New Roman" w:cs="Times New Roman" w:eastAsia="Times New Roman" w:hAnsi="Times New Roman"/>
          <w:b w:val="false"/>
          <w:bCs w:val="false"/>
          <w:i w:val="false"/>
          <w:iCs w:val="false"/>
          <w:sz w:val="24"/>
          <w:szCs w:val="24"/>
        </w:rPr>
        <w:t xml:space="preserve">Presented in brief, as the synopsis's methods chapter will develop it fully.</w:t>
      </w:r>
    </w:p>
    <w:p>
      <w:pPr>
        <w:pStyle w:val="ListParagraph"/>
        <w:numPr>
          <w:ilvl w:val="0"/>
          <w:numId w:val="2"/>
        </w:numPr>
        <w:spacing w:after="90" w:line="320"/>
        <w:jc w:val="both"/>
      </w:pPr>
      <w:r>
        <w:rPr>
          <w:rFonts w:ascii="Times New Roman" w:cs="Times New Roman" w:eastAsia="Times New Roman" w:hAnsi="Times New Roman"/>
          <w:b/>
          <w:bCs/>
          <w:i w:val="false"/>
          <w:iCs w:val="false"/>
          <w:sz w:val="24"/>
          <w:szCs w:val="24"/>
        </w:rPr>
        <w:t xml:space="preserve">Design.</w:t>
      </w:r>
      <w:r>
        <w:rPr>
          <w:rFonts w:ascii="Times New Roman" w:cs="Times New Roman" w:eastAsia="Times New Roman" w:hAnsi="Times New Roman"/>
          <w:b w:val="false"/>
          <w:bCs w:val="false"/>
          <w:i w:val="false"/>
          <w:iCs w:val="false"/>
          <w:sz w:val="24"/>
          <w:szCs w:val="24"/>
        </w:rPr>
        <w:t xml:space="preserve"> Within-subjects, repeated measures; </w:t>
      </w:r>
      <w:r>
        <w:rPr>
          <w:rFonts w:ascii="Times New Roman" w:cs="Times New Roman" w:eastAsia="Times New Roman" w:hAnsi="Times New Roman"/>
          <w:b/>
          <w:bCs/>
          <w:i w:val="false"/>
          <w:iCs w:val="false"/>
          <w:sz w:val="24"/>
          <w:szCs w:val="24"/>
        </w:rPr>
        <w:t xml:space="preserve">eight conditions = 2 polarity × 4 text colour</w:t>
      </w:r>
      <w:r>
        <w:rPr>
          <w:rFonts w:ascii="Times New Roman" w:cs="Times New Roman" w:eastAsia="Times New Roman" w:hAnsi="Times New Roman"/>
          <w:b w:val="false"/>
          <w:bCs w:val="false"/>
          <w:i w:val="false"/>
          <w:iCs w:val="false"/>
          <w:sz w:val="24"/>
          <w:szCs w:val="24"/>
        </w:rPr>
        <w:t xml:space="preserve">; balanced Williams Latin-square counterbalancing on a sequential enrolment index; passage assignment counterbalanced independently of condition (second orthogonal square); target N a multiple of eight, determined by a formal a priori power analysis for the smallest effect of interest in a mixed-effects framework.</w:t>
      </w:r>
    </w:p>
    <w:p>
      <w:pPr>
        <w:pStyle w:val="ListParagraph"/>
        <w:numPr>
          <w:ilvl w:val="0"/>
          <w:numId w:val="2"/>
        </w:numPr>
        <w:spacing w:after="90" w:line="320"/>
        <w:jc w:val="both"/>
      </w:pPr>
      <w:r>
        <w:rPr>
          <w:rFonts w:ascii="Times New Roman" w:cs="Times New Roman" w:eastAsia="Times New Roman" w:hAnsi="Times New Roman"/>
          <w:b/>
          <w:bCs/>
          <w:i w:val="false"/>
          <w:iCs w:val="false"/>
          <w:sz w:val="24"/>
          <w:szCs w:val="24"/>
        </w:rPr>
        <w:t xml:space="preserve">Setting and apparatus.</w:t>
      </w:r>
      <w:r>
        <w:rPr>
          <w:rFonts w:ascii="Times New Roman" w:cs="Times New Roman" w:eastAsia="Times New Roman" w:hAnsi="Times New Roman"/>
          <w:b w:val="false"/>
          <w:bCs w:val="false"/>
          <w:i w:val="false"/>
          <w:iCs w:val="false"/>
          <w:sz w:val="24"/>
          <w:szCs w:val="24"/>
        </w:rPr>
        <w:t xml:space="preserve"> Fixed tablet device at a standardised viewing distance; brightness fixed with auto-brightness and blue-light filter disabled; ambient illuminance measured (lux) and display white-point luminance measured (cd/m²) and recorded per session; contrast computed per condition by WCAG ratio and Michelson.</w:t>
      </w:r>
    </w:p>
    <w:p>
      <w:pPr>
        <w:pStyle w:val="ListParagraph"/>
        <w:numPr>
          <w:ilvl w:val="0"/>
          <w:numId w:val="2"/>
        </w:numPr>
        <w:spacing w:after="90" w:line="320"/>
        <w:jc w:val="both"/>
      </w:pPr>
      <w:r>
        <w:rPr>
          <w:rFonts w:ascii="Times New Roman" w:cs="Times New Roman" w:eastAsia="Times New Roman" w:hAnsi="Times New Roman"/>
          <w:b/>
          <w:bCs/>
          <w:i w:val="false"/>
          <w:iCs w:val="false"/>
          <w:sz w:val="24"/>
          <w:szCs w:val="24"/>
        </w:rPr>
        <w:t xml:space="preserve">Procedure per condition.</w:t>
      </w:r>
      <w:r>
        <w:rPr>
          <w:rFonts w:ascii="Times New Roman" w:cs="Times New Roman" w:eastAsia="Times New Roman" w:hAnsi="Times New Roman"/>
          <w:b w:val="false"/>
          <w:bCs w:val="false"/>
          <w:i w:val="false"/>
          <w:iCs w:val="false"/>
          <w:sz w:val="24"/>
          <w:szCs w:val="24"/>
        </w:rPr>
        <w:t xml:space="preserve"> Adaptation on a neutral field (longer on polarity switch) → self-paced reading with a per-page minimum dwell → comprehension items → comfort and clarity ratings → symptom rating → visual-search task → sustained-attention (go/no-go) task. Rest breaks at fixed intervals; no performance feedback (to avoid differential effort across conditions).</w:t>
      </w:r>
    </w:p>
    <w:p>
      <w:pPr>
        <w:pStyle w:val="ListParagraph"/>
        <w:numPr>
          <w:ilvl w:val="0"/>
          <w:numId w:val="2"/>
        </w:numPr>
        <w:spacing w:after="90" w:line="320"/>
        <w:jc w:val="both"/>
      </w:pPr>
      <w:r>
        <w:rPr>
          <w:rFonts w:ascii="Times New Roman" w:cs="Times New Roman" w:eastAsia="Times New Roman" w:hAnsi="Times New Roman"/>
          <w:b/>
          <w:bCs/>
          <w:i w:val="false"/>
          <w:iCs w:val="false"/>
          <w:sz w:val="24"/>
          <w:szCs w:val="24"/>
        </w:rPr>
        <w:t xml:space="preserve">Measures.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Primary:</w:t>
      </w:r>
      <w:r>
        <w:rPr>
          <w:rFonts w:ascii="Times New Roman" w:cs="Times New Roman" w:eastAsia="Times New Roman" w:hAnsi="Times New Roman"/>
          <w:b w:val="false"/>
          <w:bCs w:val="false"/>
          <w:i w:val="false"/>
          <w:iCs w:val="false"/>
          <w:sz w:val="24"/>
          <w:szCs w:val="24"/>
        </w:rPr>
        <w:t xml:space="preserve"> CVS-Q change from baseline; incomplete-blink ratio. </w:t>
      </w:r>
      <w:r>
        <w:rPr>
          <w:rFonts w:ascii="Times New Roman" w:cs="Times New Roman" w:eastAsia="Times New Roman" w:hAnsi="Times New Roman"/>
          <w:b w:val="false"/>
          <w:bCs w:val="false"/>
          <w:i/>
          <w:iCs/>
          <w:sz w:val="24"/>
          <w:szCs w:val="24"/>
        </w:rPr>
        <w:t xml:space="preserve">Secondary:</w:t>
      </w:r>
      <w:r>
        <w:rPr>
          <w:rFonts w:ascii="Times New Roman" w:cs="Times New Roman" w:eastAsia="Times New Roman" w:hAnsi="Times New Roman"/>
          <w:b w:val="false"/>
          <w:bCs w:val="false"/>
          <w:i w:val="false"/>
          <w:iCs w:val="false"/>
          <w:sz w:val="24"/>
          <w:szCs w:val="24"/>
        </w:rPr>
        <w:t xml:space="preserve"> reading rate; comprehension accuracy; comfort/clarity; blink rate and inter-blink interval; reaction-time mean, variability, lapse rate, d′ and criterion; visual-search accuracy and efficiency. </w:t>
      </w:r>
      <w:r>
        <w:rPr>
          <w:rFonts w:ascii="Times New Roman" w:cs="Times New Roman" w:eastAsia="Times New Roman" w:hAnsi="Times New Roman"/>
          <w:b w:val="false"/>
          <w:bCs w:val="false"/>
          <w:i/>
          <w:iCs/>
          <w:sz w:val="24"/>
          <w:szCs w:val="24"/>
        </w:rPr>
        <w:t xml:space="preserve">Covariates/confounders:</w:t>
      </w:r>
      <w:r>
        <w:rPr>
          <w:rFonts w:ascii="Times New Roman" w:cs="Times New Roman" w:eastAsia="Times New Roman" w:hAnsi="Times New Roman"/>
          <w:b w:val="false"/>
          <w:bCs w:val="false"/>
          <w:i w:val="false"/>
          <w:iCs w:val="false"/>
          <w:sz w:val="24"/>
          <w:szCs w:val="24"/>
        </w:rPr>
        <w:t xml:space="preserve"> serial position; PERCLOS and long-closure events; ambient illuminance; display luminance; head-pose stability; face-presence ratio and achieved sampling rate; person-level covariates per §12.5.</w:t>
      </w:r>
    </w:p>
    <w:p>
      <w:pPr>
        <w:pStyle w:val="ListParagraph"/>
        <w:numPr>
          <w:ilvl w:val="0"/>
          <w:numId w:val="2"/>
        </w:numPr>
        <w:spacing w:after="90" w:line="320"/>
        <w:jc w:val="both"/>
      </w:pPr>
      <w:r>
        <w:rPr>
          <w:rFonts w:ascii="Times New Roman" w:cs="Times New Roman" w:eastAsia="Times New Roman" w:hAnsi="Times New Roman"/>
          <w:b/>
          <w:bCs/>
          <w:i w:val="false"/>
          <w:iCs w:val="false"/>
          <w:sz w:val="24"/>
          <w:szCs w:val="24"/>
        </w:rPr>
        <w:t xml:space="preserve">Screening.</w:t>
      </w:r>
      <w:r>
        <w:rPr>
          <w:rFonts w:ascii="Times New Roman" w:cs="Times New Roman" w:eastAsia="Times New Roman" w:hAnsi="Times New Roman"/>
          <w:b w:val="false"/>
          <w:bCs w:val="false"/>
          <w:i w:val="false"/>
          <w:iCs w:val="false"/>
          <w:sz w:val="24"/>
          <w:szCs w:val="24"/>
        </w:rPr>
        <w:t xml:space="preserve"> Ishihara colour-vision screening on the study display [33]; refractive-correction status; eligibility criteria specified a priori.</w:t>
      </w:r>
    </w:p>
    <w:p>
      <w:pPr>
        <w:pStyle w:val="ListParagraph"/>
        <w:numPr>
          <w:ilvl w:val="0"/>
          <w:numId w:val="2"/>
        </w:numPr>
        <w:spacing w:after="90" w:line="320"/>
        <w:jc w:val="both"/>
      </w:pPr>
      <w:r>
        <w:rPr>
          <w:rFonts w:ascii="Times New Roman" w:cs="Times New Roman" w:eastAsia="Times New Roman" w:hAnsi="Times New Roman"/>
          <w:b/>
          <w:bCs/>
          <w:i w:val="false"/>
          <w:iCs w:val="false"/>
          <w:sz w:val="24"/>
          <w:szCs w:val="24"/>
        </w:rPr>
        <w:t xml:space="preserve">Instrumentation.</w:t>
      </w:r>
      <w:r>
        <w:rPr>
          <w:rFonts w:ascii="Times New Roman" w:cs="Times New Roman" w:eastAsia="Times New Roman" w:hAnsi="Times New Roman"/>
          <w:b w:val="false"/>
          <w:bCs w:val="false"/>
          <w:i w:val="false"/>
          <w:iCs w:val="false"/>
          <w:sz w:val="24"/>
          <w:szCs w:val="24"/>
        </w:rPr>
        <w:t xml:space="preserve"> A purpose-built, offline-capable tablet application performing stimulus presentation, task administration, on-device webcam ocular measurement (facial-landmark EAR: blink rate, incomplete-blink ratio, inter-blink interval, PERCLOS), quality-control logging, and provenance-stamped data export. A concurrent manual-annotation sub-study establishes criterion validity for automated blink classification (O6).</w:t>
      </w:r>
    </w:p>
    <w:p>
      <w:pPr>
        <w:pStyle w:val="ListParagraph"/>
        <w:numPr>
          <w:ilvl w:val="0"/>
          <w:numId w:val="2"/>
        </w:numPr>
        <w:spacing w:after="90" w:line="320"/>
        <w:jc w:val="both"/>
      </w:pPr>
      <w:r>
        <w:rPr>
          <w:rFonts w:ascii="Times New Roman" w:cs="Times New Roman" w:eastAsia="Times New Roman" w:hAnsi="Times New Roman"/>
          <w:b/>
          <w:bCs/>
          <w:i w:val="false"/>
          <w:iCs w:val="false"/>
          <w:sz w:val="24"/>
          <w:szCs w:val="24"/>
        </w:rPr>
        <w:t xml:space="preserve">Analysis.</w:t>
      </w:r>
      <w:r>
        <w:rPr>
          <w:rFonts w:ascii="Times New Roman" w:cs="Times New Roman" w:eastAsia="Times New Roman" w:hAnsi="Times New Roman"/>
          <w:b w:val="false"/>
          <w:bCs w:val="false"/>
          <w:i w:val="false"/>
          <w:iCs w:val="false"/>
          <w:sz w:val="24"/>
          <w:szCs w:val="24"/>
        </w:rPr>
        <w:t xml:space="preserve"> Linear mixed-effects models with random intercept per participant; contrast as covariate and polarity × contrast interaction (O5); ordinal models for rating outcomes; hierarchical treatment of signal-detection indices; pre-specified sensitivity analysis excluding conditions flagged for disengagement; multiplicity control across the outcome families.</w:t>
      </w:r>
    </w:p>
    <w:p>
      <w:pPr>
        <w:pStyle w:val="ListParagraph"/>
        <w:numPr>
          <w:ilvl w:val="0"/>
          <w:numId w:val="2"/>
        </w:numPr>
        <w:spacing w:after="90" w:line="320"/>
        <w:jc w:val="both"/>
      </w:pPr>
      <w:r>
        <w:rPr>
          <w:rFonts w:ascii="Times New Roman" w:cs="Times New Roman" w:eastAsia="Times New Roman" w:hAnsi="Times New Roman"/>
          <w:b/>
          <w:bCs/>
          <w:i w:val="false"/>
          <w:iCs w:val="false"/>
          <w:sz w:val="24"/>
          <w:szCs w:val="24"/>
        </w:rPr>
        <w:t xml:space="preserve">Ethics.</w:t>
      </w:r>
      <w:r>
        <w:rPr>
          <w:rFonts w:ascii="Times New Roman" w:cs="Times New Roman" w:eastAsia="Times New Roman" w:hAnsi="Times New Roman"/>
          <w:b w:val="false"/>
          <w:bCs w:val="false"/>
          <w:i w:val="false"/>
          <w:iCs w:val="false"/>
          <w:sz w:val="24"/>
          <w:szCs w:val="24"/>
        </w:rPr>
        <w:t xml:space="preserve"> Institutional ethics approval; written informed consent; camera-based measurement optional and separately consented, with on-device processing and no video retention; right to withdraw; data protection and de-identification.</w:t>
      </w:r>
    </w:p>
    <w:p>
      <w:pPr>
        <w:pStyle w:val="Heading2"/>
        <w:keepNext/>
        <w:spacing w:after="160" w:before="280"/>
      </w:pPr>
      <w:r>
        <w:rPr>
          <w:rFonts w:ascii="Times New Roman" w:cs="Times New Roman" w:eastAsia="Times New Roman" w:hAnsi="Times New Roman"/>
          <w:b/>
          <w:bCs/>
          <w:i w:val="false"/>
          <w:iCs w:val="false"/>
          <w:sz w:val="28"/>
          <w:szCs w:val="28"/>
        </w:rPr>
        <w:t xml:space="preserve">20. Expected outcomes</w:t>
      </w:r>
    </w:p>
    <w:p>
      <w:pPr>
        <w:spacing w:after="120" w:line="320"/>
        <w:ind w:left="600" w:hanging="600"/>
        <w:jc w:val="both"/>
      </w:pPr>
      <w:r>
        <w:rPr>
          <w:rFonts w:ascii="Times New Roman" w:cs="Times New Roman" w:eastAsia="Times New Roman" w:hAnsi="Times New Roman"/>
          <w:sz w:val="24"/>
          <w:szCs w:val="24"/>
        </w:rPr>
        <w:t xml:space="preserve">1.</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Quantified effect estimates, with confidence intervals, for display polarity and text colour on reading performance, comprehension, perceived comfort, subjective visual fatigue, objective ocular markers and sustained attention during prolonged tablet reading.</w:t>
      </w:r>
    </w:p>
    <w:p>
      <w:pPr>
        <w:spacing w:after="120" w:line="320"/>
        <w:ind w:left="600" w:hanging="600"/>
        <w:jc w:val="both"/>
      </w:pPr>
      <w:r>
        <w:rPr>
          <w:rFonts w:ascii="Times New Roman" w:cs="Times New Roman" w:eastAsia="Times New Roman" w:hAnsi="Times New Roman"/>
          <w:sz w:val="24"/>
          <w:szCs w:val="24"/>
        </w:rPr>
        <w:t xml:space="preserve">2.</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The </w:t>
      </w:r>
      <w:r>
        <w:rPr>
          <w:rFonts w:ascii="Times New Roman" w:cs="Times New Roman" w:eastAsia="Times New Roman" w:hAnsi="Times New Roman"/>
          <w:b/>
          <w:bCs/>
          <w:i w:val="false"/>
          <w:iCs w:val="false"/>
          <w:sz w:val="24"/>
          <w:szCs w:val="24"/>
        </w:rPr>
        <w:t xml:space="preserve">first estimate of the polarity × text-colour interaction</w:t>
      </w:r>
      <w:r>
        <w:rPr>
          <w:rFonts w:ascii="Times New Roman" w:cs="Times New Roman" w:eastAsia="Times New Roman" w:hAnsi="Times New Roman"/>
          <w:b w:val="false"/>
          <w:bCs w:val="false"/>
          <w:i w:val="false"/>
          <w:iCs w:val="false"/>
          <w:sz w:val="24"/>
          <w:szCs w:val="24"/>
        </w:rPr>
        <w:t xml:space="preserve"> on visual fatigue outcomes (G2), and the first test of whether the positive polarity advantage established for brief legibility tasks extends to hour-scale reading and to ocular-surface outcomes (G1).</w:t>
      </w:r>
    </w:p>
    <w:p>
      <w:pPr>
        <w:spacing w:after="120" w:line="320"/>
        <w:ind w:left="600" w:hanging="600"/>
        <w:jc w:val="both"/>
      </w:pP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A quantitative apportionment of between-condition variance to </w:t>
      </w:r>
      <w:r>
        <w:rPr>
          <w:rFonts w:ascii="Times New Roman" w:cs="Times New Roman" w:eastAsia="Times New Roman" w:hAnsi="Times New Roman"/>
          <w:b/>
          <w:bCs/>
          <w:i w:val="false"/>
          <w:iCs w:val="false"/>
          <w:sz w:val="24"/>
          <w:szCs w:val="24"/>
        </w:rPr>
        <w:t xml:space="preserve">luminance contrast</w:t>
      </w:r>
      <w:r>
        <w:rPr>
          <w:rFonts w:ascii="Times New Roman" w:cs="Times New Roman" w:eastAsia="Times New Roman" w:hAnsi="Times New Roman"/>
          <w:b w:val="false"/>
          <w:bCs w:val="false"/>
          <w:i w:val="false"/>
          <w:iCs w:val="false"/>
          <w:sz w:val="24"/>
          <w:szCs w:val="24"/>
        </w:rPr>
        <w:t xml:space="preserve"> versus residual </w:t>
      </w:r>
      <w:r>
        <w:rPr>
          <w:rFonts w:ascii="Times New Roman" w:cs="Times New Roman" w:eastAsia="Times New Roman" w:hAnsi="Times New Roman"/>
          <w:b/>
          <w:bCs/>
          <w:i w:val="false"/>
          <w:iCs w:val="false"/>
          <w:sz w:val="24"/>
          <w:szCs w:val="24"/>
        </w:rPr>
        <w:t xml:space="preserve">hue-specific</w:t>
      </w:r>
      <w:r>
        <w:rPr>
          <w:rFonts w:ascii="Times New Roman" w:cs="Times New Roman" w:eastAsia="Times New Roman" w:hAnsi="Times New Roman"/>
          <w:b w:val="false"/>
          <w:bCs w:val="false"/>
          <w:i w:val="false"/>
          <w:iCs w:val="false"/>
          <w:sz w:val="24"/>
          <w:szCs w:val="24"/>
        </w:rPr>
        <w:t xml:space="preserve"> effects (G3), with implications for whether display guidance should be framed in terms of colour or of contrast.</w:t>
      </w:r>
    </w:p>
    <w:p>
      <w:pPr>
        <w:spacing w:after="120" w:line="320"/>
        <w:ind w:left="600" w:hanging="600"/>
        <w:jc w:val="both"/>
      </w:pPr>
      <w:r>
        <w:rPr>
          <w:rFonts w:ascii="Times New Roman" w:cs="Times New Roman" w:eastAsia="Times New Roman" w:hAnsi="Times New Roman"/>
          <w:sz w:val="24"/>
          <w:szCs w:val="24"/>
        </w:rPr>
        <w:t xml:space="preserve">4.</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Evidence on whether the prevailing </w:t>
      </w:r>
      <w:r>
        <w:rPr>
          <w:rFonts w:ascii="Times New Roman" w:cs="Times New Roman" w:eastAsia="Times New Roman" w:hAnsi="Times New Roman"/>
          <w:b/>
          <w:bCs/>
          <w:i w:val="false"/>
          <w:iCs w:val="false"/>
          <w:sz w:val="24"/>
          <w:szCs w:val="24"/>
        </w:rPr>
        <w:t xml:space="preserve">polarity-blind</w:t>
      </w:r>
      <w:r>
        <w:rPr>
          <w:rFonts w:ascii="Times New Roman" w:cs="Times New Roman" w:eastAsia="Times New Roman" w:hAnsi="Times New Roman"/>
          <w:b w:val="false"/>
          <w:bCs w:val="false"/>
          <w:i w:val="false"/>
          <w:iCs w:val="false"/>
          <w:sz w:val="24"/>
          <w:szCs w:val="24"/>
        </w:rPr>
        <w:t xml:space="preserve"> contrast criterion adequately predicts measured readability and comfort, and if not, in which direction and for which conditions it errs (G4, O8).</w:t>
      </w:r>
    </w:p>
    <w:p>
      <w:pPr>
        <w:spacing w:after="120" w:line="320"/>
        <w:ind w:left="600" w:hanging="600"/>
        <w:jc w:val="both"/>
      </w:pPr>
      <w:r>
        <w:rPr>
          <w:rFonts w:ascii="Times New Roman" w:cs="Times New Roman" w:eastAsia="Times New Roman" w:hAnsi="Times New Roman"/>
          <w:sz w:val="24"/>
          <w:szCs w:val="24"/>
        </w:rPr>
        <w:t xml:space="preserve">5.</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An empirical characterisation of the </w:t>
      </w:r>
      <w:r>
        <w:rPr>
          <w:rFonts w:ascii="Times New Roman" w:cs="Times New Roman" w:eastAsia="Times New Roman" w:hAnsi="Times New Roman"/>
          <w:b/>
          <w:bCs/>
          <w:i w:val="false"/>
          <w:iCs w:val="false"/>
          <w:sz w:val="24"/>
          <w:szCs w:val="24"/>
        </w:rPr>
        <w:t xml:space="preserve">subjective–objective correspondence</w:t>
      </w:r>
      <w:r>
        <w:rPr>
          <w:rFonts w:ascii="Times New Roman" w:cs="Times New Roman" w:eastAsia="Times New Roman" w:hAnsi="Times New Roman"/>
          <w:b w:val="false"/>
          <w:bCs w:val="false"/>
          <w:i w:val="false"/>
          <w:iCs w:val="false"/>
          <w:sz w:val="24"/>
          <w:szCs w:val="24"/>
        </w:rPr>
        <w:t xml:space="preserve"> in DES, measured concurrently within condition (G5).</w:t>
      </w:r>
    </w:p>
    <w:p>
      <w:pPr>
        <w:spacing w:after="120" w:line="320"/>
        <w:ind w:left="600" w:hanging="600"/>
        <w:jc w:val="both"/>
      </w:pPr>
      <w:r>
        <w:rPr>
          <w:rFonts w:ascii="Times New Roman" w:cs="Times New Roman" w:eastAsia="Times New Roman" w:hAnsi="Times New Roman"/>
          <w:sz w:val="24"/>
          <w:szCs w:val="24"/>
        </w:rPr>
        <w:t xml:space="preserve">6.</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A </w:t>
      </w:r>
      <w:r>
        <w:rPr>
          <w:rFonts w:ascii="Times New Roman" w:cs="Times New Roman" w:eastAsia="Times New Roman" w:hAnsi="Times New Roman"/>
          <w:b/>
          <w:bCs/>
          <w:i w:val="false"/>
          <w:iCs w:val="false"/>
          <w:sz w:val="24"/>
          <w:szCs w:val="24"/>
        </w:rPr>
        <w:t xml:space="preserve">validated, scalable, open protocol and instrument</w:t>
      </w:r>
      <w:r>
        <w:rPr>
          <w:rFonts w:ascii="Times New Roman" w:cs="Times New Roman" w:eastAsia="Times New Roman" w:hAnsi="Times New Roman"/>
          <w:b w:val="false"/>
          <w:bCs w:val="false"/>
          <w:i w:val="false"/>
          <w:iCs w:val="false"/>
          <w:sz w:val="24"/>
          <w:szCs w:val="24"/>
        </w:rPr>
        <w:t xml:space="preserve"> for objective ocular measurement of digital eye strain outside the specialist laboratory, with reported agreement against manual annotation and transparent data-quality metrics (G7, G8) — a methodological contribution intended to be reusable by other groups.</w:t>
      </w:r>
    </w:p>
    <w:p>
      <w:pPr>
        <w:spacing w:after="120" w:line="320"/>
        <w:ind w:left="600" w:hanging="600"/>
        <w:jc w:val="both"/>
      </w:pPr>
      <w:r>
        <w:rPr>
          <w:rFonts w:ascii="Times New Roman" w:cs="Times New Roman" w:eastAsia="Times New Roman" w:hAnsi="Times New Roman"/>
          <w:sz w:val="24"/>
          <w:szCs w:val="24"/>
        </w:rPr>
        <w:t xml:space="preserve">7.</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Evidence-based, directly implementable design recommendations</w:t>
      </w:r>
      <w:r>
        <w:rPr>
          <w:rFonts w:ascii="Times New Roman" w:cs="Times New Roman" w:eastAsia="Times New Roman" w:hAnsi="Times New Roman"/>
          <w:b w:val="false"/>
          <w:bCs w:val="false"/>
          <w:i w:val="false"/>
          <w:iCs w:val="false"/>
          <w:sz w:val="24"/>
          <w:szCs w:val="24"/>
        </w:rPr>
        <w:t xml:space="preserve"> for text presentation on tablets, including for low-illumination use.</w:t>
      </w:r>
    </w:p>
    <w:p>
      <w:pPr>
        <w:pStyle w:val="Heading2"/>
        <w:keepNext/>
        <w:spacing w:after="160" w:before="280"/>
      </w:pPr>
      <w:r>
        <w:rPr>
          <w:rFonts w:ascii="Times New Roman" w:cs="Times New Roman" w:eastAsia="Times New Roman" w:hAnsi="Times New Roman"/>
          <w:b/>
          <w:bCs/>
          <w:i w:val="false"/>
          <w:iCs w:val="false"/>
          <w:sz w:val="28"/>
          <w:szCs w:val="28"/>
        </w:rPr>
        <w:t xml:space="preserve">21. Applications and significance</w:t>
      </w:r>
    </w:p>
    <w:p>
      <w:pPr>
        <w:pStyle w:val="ListParagraph"/>
        <w:numPr>
          <w:ilvl w:val="0"/>
          <w:numId w:val="2"/>
        </w:numPr>
        <w:spacing w:after="90" w:line="320"/>
        <w:jc w:val="both"/>
      </w:pPr>
      <w:r>
        <w:rPr>
          <w:rFonts w:ascii="Times New Roman" w:cs="Times New Roman" w:eastAsia="Times New Roman" w:hAnsi="Times New Roman"/>
          <w:b/>
          <w:bCs/>
          <w:i w:val="false"/>
          <w:iCs w:val="false"/>
          <w:sz w:val="24"/>
          <w:szCs w:val="24"/>
        </w:rPr>
        <w:t xml:space="preserve">Interface and product design.</w:t>
      </w:r>
      <w:r>
        <w:rPr>
          <w:rFonts w:ascii="Times New Roman" w:cs="Times New Roman" w:eastAsia="Times New Roman" w:hAnsi="Times New Roman"/>
          <w:b w:val="false"/>
          <w:bCs w:val="false"/>
          <w:i w:val="false"/>
          <w:iCs w:val="false"/>
          <w:sz w:val="24"/>
          <w:szCs w:val="24"/>
        </w:rPr>
        <w:t xml:space="preserve"> Actionable, empirically grounded specification of text presentation and "dark mode" implementation for reading-centric applications, e-readers, e-learning platforms and operating-system themes.</w:t>
      </w:r>
    </w:p>
    <w:p>
      <w:pPr>
        <w:pStyle w:val="ListParagraph"/>
        <w:numPr>
          <w:ilvl w:val="0"/>
          <w:numId w:val="2"/>
        </w:numPr>
        <w:spacing w:after="90" w:line="320"/>
        <w:jc w:val="both"/>
      </w:pPr>
      <w:r>
        <w:rPr>
          <w:rFonts w:ascii="Times New Roman" w:cs="Times New Roman" w:eastAsia="Times New Roman" w:hAnsi="Times New Roman"/>
          <w:b/>
          <w:bCs/>
          <w:i w:val="false"/>
          <w:iCs w:val="false"/>
          <w:sz w:val="24"/>
          <w:szCs w:val="24"/>
        </w:rPr>
        <w:t xml:space="preserve">Accessibility standards.</w:t>
      </w:r>
      <w:r>
        <w:rPr>
          <w:rFonts w:ascii="Times New Roman" w:cs="Times New Roman" w:eastAsia="Times New Roman" w:hAnsi="Times New Roman"/>
          <w:b w:val="false"/>
          <w:bCs w:val="false"/>
          <w:i w:val="false"/>
          <w:iCs w:val="false"/>
          <w:sz w:val="24"/>
          <w:szCs w:val="24"/>
        </w:rPr>
        <w:t xml:space="preserve"> Empirical input to the ongoing revision of contrast criteria, specifically on whether and how polarity must enter a contrast standard [36,37].</w:t>
      </w:r>
    </w:p>
    <w:p>
      <w:pPr>
        <w:pStyle w:val="ListParagraph"/>
        <w:numPr>
          <w:ilvl w:val="0"/>
          <w:numId w:val="2"/>
        </w:numPr>
        <w:spacing w:after="90" w:line="320"/>
        <w:jc w:val="both"/>
      </w:pPr>
      <w:r>
        <w:rPr>
          <w:rFonts w:ascii="Times New Roman" w:cs="Times New Roman" w:eastAsia="Times New Roman" w:hAnsi="Times New Roman"/>
          <w:b/>
          <w:bCs/>
          <w:i w:val="false"/>
          <w:iCs w:val="false"/>
          <w:sz w:val="24"/>
          <w:szCs w:val="24"/>
        </w:rPr>
        <w:t xml:space="preserve">Occupational and public health.</w:t>
      </w:r>
      <w:r>
        <w:rPr>
          <w:rFonts w:ascii="Times New Roman" w:cs="Times New Roman" w:eastAsia="Times New Roman" w:hAnsi="Times New Roman"/>
          <w:b w:val="false"/>
          <w:bCs w:val="false"/>
          <w:i w:val="false"/>
          <w:iCs w:val="false"/>
          <w:sz w:val="24"/>
          <w:szCs w:val="24"/>
        </w:rPr>
        <w:t xml:space="preserve"> Display-configuration guidance as a zero-cost, population-scalable preventive measure for a condition affecting approximately 70% of screen users [1], complementing the exposure-management measures for which evidence is emerging [30] and substituting for the filter/supplement approaches for which it is lacking [8,9].</w:t>
      </w:r>
    </w:p>
    <w:p>
      <w:pPr>
        <w:pStyle w:val="ListParagraph"/>
        <w:numPr>
          <w:ilvl w:val="0"/>
          <w:numId w:val="2"/>
        </w:numPr>
        <w:spacing w:after="90" w:line="320"/>
        <w:jc w:val="both"/>
      </w:pPr>
      <w:r>
        <w:rPr>
          <w:rFonts w:ascii="Times New Roman" w:cs="Times New Roman" w:eastAsia="Times New Roman" w:hAnsi="Times New Roman"/>
          <w:b/>
          <w:bCs/>
          <w:i w:val="false"/>
          <w:iCs w:val="false"/>
          <w:sz w:val="24"/>
          <w:szCs w:val="24"/>
        </w:rPr>
        <w:t xml:space="preserve">Education.</w:t>
      </w:r>
      <w:r>
        <w:rPr>
          <w:rFonts w:ascii="Times New Roman" w:cs="Times New Roman" w:eastAsia="Times New Roman" w:hAnsi="Times New Roman"/>
          <w:b w:val="false"/>
          <w:bCs w:val="false"/>
          <w:i w:val="false"/>
          <w:iCs w:val="false"/>
          <w:sz w:val="24"/>
          <w:szCs w:val="24"/>
        </w:rPr>
        <w:t xml:space="preserve"> Evidence for the configuration of tablet-based learning materials, where reading duration is long and users are young.</w:t>
      </w:r>
    </w:p>
    <w:p>
      <w:pPr>
        <w:pStyle w:val="ListParagraph"/>
        <w:numPr>
          <w:ilvl w:val="0"/>
          <w:numId w:val="2"/>
        </w:numPr>
        <w:spacing w:after="90" w:line="320"/>
        <w:jc w:val="both"/>
      </w:pPr>
      <w:r>
        <w:rPr>
          <w:rFonts w:ascii="Times New Roman" w:cs="Times New Roman" w:eastAsia="Times New Roman" w:hAnsi="Times New Roman"/>
          <w:b/>
          <w:bCs/>
          <w:i w:val="false"/>
          <w:iCs w:val="false"/>
          <w:sz w:val="24"/>
          <w:szCs w:val="24"/>
        </w:rPr>
        <w:t xml:space="preserve">Research methodology.</w:t>
      </w:r>
      <w:r>
        <w:rPr>
          <w:rFonts w:ascii="Times New Roman" w:cs="Times New Roman" w:eastAsia="Times New Roman" w:hAnsi="Times New Roman"/>
          <w:b w:val="false"/>
          <w:bCs w:val="false"/>
          <w:i w:val="false"/>
          <w:iCs w:val="false"/>
          <w:sz w:val="24"/>
          <w:szCs w:val="24"/>
        </w:rPr>
        <w:t xml:space="preserve"> A scalable objective-measurement instrument that relieves the manual-annotation bottleneck currently limiting this literature to small samples [26–29], enabling larger and more diverse studies.</w:t>
      </w:r>
    </w:p>
    <w:p>
      <w:pPr>
        <w:pStyle w:val="ListParagraph"/>
        <w:numPr>
          <w:ilvl w:val="0"/>
          <w:numId w:val="2"/>
        </w:numPr>
        <w:spacing w:after="90" w:line="320"/>
        <w:jc w:val="both"/>
      </w:pPr>
      <w:r>
        <w:rPr>
          <w:rFonts w:ascii="Times New Roman" w:cs="Times New Roman" w:eastAsia="Times New Roman" w:hAnsi="Times New Roman"/>
          <w:b/>
          <w:bCs/>
          <w:i w:val="false"/>
          <w:iCs w:val="false"/>
          <w:sz w:val="24"/>
          <w:szCs w:val="24"/>
        </w:rPr>
        <w:t xml:space="preserve">Clinical practice.</w:t>
      </w:r>
      <w:r>
        <w:rPr>
          <w:rFonts w:ascii="Times New Roman" w:cs="Times New Roman" w:eastAsia="Times New Roman" w:hAnsi="Times New Roman"/>
          <w:b w:val="false"/>
          <w:bCs w:val="false"/>
          <w:i w:val="false"/>
          <w:iCs w:val="false"/>
          <w:sz w:val="24"/>
          <w:szCs w:val="24"/>
        </w:rPr>
        <w:t xml:space="preserve"> Guidance that eye-care practitioners can give patients regarding device configuration, an area in which practitioners are explicitly said to require quality research evidence [3].</w:t>
      </w:r>
    </w:p>
    <w:p>
      <w:pPr>
        <w:pStyle w:val="Heading2"/>
        <w:keepNext/>
        <w:spacing w:after="160" w:before="280"/>
      </w:pPr>
      <w:r>
        <w:rPr>
          <w:rFonts w:ascii="Times New Roman" w:cs="Times New Roman" w:eastAsia="Times New Roman" w:hAnsi="Times New Roman"/>
          <w:b/>
          <w:bCs/>
          <w:i w:val="false"/>
          <w:iCs w:val="false"/>
          <w:sz w:val="28"/>
          <w:szCs w:val="28"/>
        </w:rPr>
        <w:t xml:space="preserve">22. Limitations and threats to validity (declared a priori)</w:t>
      </w:r>
    </w:p>
    <w:p>
      <w:pPr>
        <w:spacing w:after="120" w:line="320"/>
        <w:ind w:left="600" w:hanging="600"/>
        <w:jc w:val="both"/>
      </w:pPr>
      <w:r>
        <w:rPr>
          <w:rFonts w:ascii="Times New Roman" w:cs="Times New Roman" w:eastAsia="Times New Roman" w:hAnsi="Times New Roman"/>
          <w:sz w:val="24"/>
          <w:szCs w:val="24"/>
        </w:rPr>
        <w:t xml:space="preserve">1.</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Polarity × contrast entanglement.</w:t>
      </w:r>
      <w:r>
        <w:rPr>
          <w:rFonts w:ascii="Times New Roman" w:cs="Times New Roman" w:eastAsia="Times New Roman" w:hAnsi="Times New Roman"/>
          <w:b w:val="false"/>
          <w:bCs w:val="false"/>
          <w:i w:val="false"/>
          <w:iCs w:val="false"/>
          <w:sz w:val="24"/>
          <w:szCs w:val="24"/>
        </w:rPr>
        <w:t xml:space="preserve"> Because the condition colours are fixed and chromatic pigments differ intrinsically in luminance, luminance contrast is not balanced across polarity. This is mitigated by measuring and modelling contrast (O5) and by framing the analysis as polarity × contrast, but it constrains causal separation and is disclosed as such (G3).</w:t>
      </w:r>
    </w:p>
    <w:p>
      <w:pPr>
        <w:spacing w:after="120" w:line="320"/>
        <w:ind w:left="600" w:hanging="600"/>
        <w:jc w:val="both"/>
      </w:pPr>
      <w:r>
        <w:rPr>
          <w:rFonts w:ascii="Times New Roman" w:cs="Times New Roman" w:eastAsia="Times New Roman" w:hAnsi="Times New Roman"/>
          <w:sz w:val="24"/>
          <w:szCs w:val="24"/>
        </w:rPr>
        <w:t xml:space="preserve">2.</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Screening-grade objective measurement.</w:t>
      </w:r>
      <w:r>
        <w:rPr>
          <w:rFonts w:ascii="Times New Roman" w:cs="Times New Roman" w:eastAsia="Times New Roman" w:hAnsi="Times New Roman"/>
          <w:b w:val="false"/>
          <w:bCs w:val="false"/>
          <w:i w:val="false"/>
          <w:iCs w:val="false"/>
          <w:sz w:val="24"/>
          <w:szCs w:val="24"/>
        </w:rPr>
        <w:t xml:space="preserve"> Webcam metrology is lower in accuracy and sampling rate than infrared eye tracking and does not measure accommodation. Gaze measures are limited to coarse zones; duration-based blink metrics are gated on achieved frame rate (§11.3).</w:t>
      </w:r>
    </w:p>
    <w:p>
      <w:pPr>
        <w:spacing w:after="120" w:line="320"/>
        <w:ind w:left="600" w:hanging="600"/>
        <w:jc w:val="both"/>
      </w:pP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Non-blindable manipulation.</w:t>
      </w:r>
      <w:r>
        <w:rPr>
          <w:rFonts w:ascii="Times New Roman" w:cs="Times New Roman" w:eastAsia="Times New Roman" w:hAnsi="Times New Roman"/>
          <w:b w:val="false"/>
          <w:bCs w:val="false"/>
          <w:i w:val="false"/>
          <w:iCs w:val="false"/>
          <w:sz w:val="24"/>
          <w:szCs w:val="24"/>
        </w:rPr>
        <w:t xml:space="preserve"> Display polarity is visible to participants, so expectation and demand effects on subjective ratings cannot be excluded. Objective markers, absence of performance feedback, and counterbalancing mitigate but do not eliminate this.</w:t>
      </w:r>
    </w:p>
    <w:p>
      <w:pPr>
        <w:spacing w:after="120" w:line="320"/>
        <w:ind w:left="600" w:hanging="600"/>
        <w:jc w:val="both"/>
      </w:pPr>
      <w:r>
        <w:rPr>
          <w:rFonts w:ascii="Times New Roman" w:cs="Times New Roman" w:eastAsia="Times New Roman" w:hAnsi="Times New Roman"/>
          <w:sz w:val="24"/>
          <w:szCs w:val="24"/>
        </w:rPr>
        <w:t xml:space="preserve">4.</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Session length.</w:t>
      </w:r>
      <w:r>
        <w:rPr>
          <w:rFonts w:ascii="Times New Roman" w:cs="Times New Roman" w:eastAsia="Times New Roman" w:hAnsi="Times New Roman"/>
          <w:b w:val="false"/>
          <w:bCs w:val="false"/>
          <w:i w:val="false"/>
          <w:iCs w:val="false"/>
          <w:sz w:val="24"/>
          <w:szCs w:val="24"/>
        </w:rPr>
        <w:t xml:space="preserve"> An hour-scale session accumulates both visual fatigue and generic fatigue/boredom; these are counterbalanced, measured and modelled (§8.2), not eliminated.</w:t>
      </w:r>
    </w:p>
    <w:p>
      <w:pPr>
        <w:spacing w:after="120" w:line="320"/>
        <w:ind w:left="600" w:hanging="600"/>
        <w:jc w:val="both"/>
      </w:pPr>
      <w:r>
        <w:rPr>
          <w:rFonts w:ascii="Times New Roman" w:cs="Times New Roman" w:eastAsia="Times New Roman" w:hAnsi="Times New Roman"/>
          <w:sz w:val="24"/>
          <w:szCs w:val="24"/>
        </w:rPr>
        <w:t xml:space="preserve">5.</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Sleepiness confounding.</w:t>
      </w:r>
      <w:r>
        <w:rPr>
          <w:rFonts w:ascii="Times New Roman" w:cs="Times New Roman" w:eastAsia="Times New Roman" w:hAnsi="Times New Roman"/>
          <w:b w:val="false"/>
          <w:bCs w:val="false"/>
          <w:i w:val="false"/>
          <w:iCs w:val="false"/>
          <w:sz w:val="24"/>
          <w:szCs w:val="24"/>
        </w:rPr>
        <w:t xml:space="preserve"> PERCLOS is used as a covariate, but it is itself insensitive to moderate drowsiness and to inattention/distraction [31].</w:t>
      </w:r>
    </w:p>
    <w:p>
      <w:pPr>
        <w:spacing w:after="120" w:line="320"/>
        <w:ind w:left="600" w:hanging="600"/>
        <w:jc w:val="both"/>
      </w:pPr>
      <w:r>
        <w:rPr>
          <w:rFonts w:ascii="Times New Roman" w:cs="Times New Roman" w:eastAsia="Times New Roman" w:hAnsi="Times New Roman"/>
          <w:sz w:val="24"/>
          <w:szCs w:val="24"/>
        </w:rPr>
        <w:t xml:space="preserve">6.</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Generalisability.</w:t>
      </w:r>
      <w:r>
        <w:rPr>
          <w:rFonts w:ascii="Times New Roman" w:cs="Times New Roman" w:eastAsia="Times New Roman" w:hAnsi="Times New Roman"/>
          <w:b w:val="false"/>
          <w:bCs w:val="false"/>
          <w:i w:val="false"/>
          <w:iCs w:val="false"/>
          <w:sz w:val="24"/>
          <w:szCs w:val="24"/>
        </w:rPr>
        <w:t xml:space="preserve"> Findings will be specific to the device, display technology, luminance range and population studied; display colour rendering is device-dependent and uncalibrated consumer displays vary.</w:t>
      </w:r>
    </w:p>
    <w:p>
      <w:pPr>
        <w:spacing w:after="120" w:line="320"/>
        <w:ind w:left="600" w:hanging="600"/>
        <w:jc w:val="both"/>
      </w:pPr>
      <w:r>
        <w:rPr>
          <w:rFonts w:ascii="Times New Roman" w:cs="Times New Roman" w:eastAsia="Times New Roman" w:hAnsi="Times New Roman"/>
          <w:sz w:val="24"/>
          <w:szCs w:val="24"/>
        </w:rPr>
        <w:t xml:space="preserve">7.</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Screening, not diagnosis.</w:t>
      </w:r>
      <w:r>
        <w:rPr>
          <w:rFonts w:ascii="Times New Roman" w:cs="Times New Roman" w:eastAsia="Times New Roman" w:hAnsi="Times New Roman"/>
          <w:b w:val="false"/>
          <w:bCs w:val="false"/>
          <w:i w:val="false"/>
          <w:iCs w:val="false"/>
          <w:sz w:val="24"/>
          <w:szCs w:val="24"/>
        </w:rPr>
        <w:t xml:space="preserve"> Ishihara screening on a display is a group-screening instrument, not a clinical diagnosis [33].</w:t>
      </w:r>
    </w:p>
    <w:p>
      <w:pPr>
        <w:spacing w:after="120" w:line="320"/>
        <w:ind w:left="600" w:hanging="600"/>
        <w:jc w:val="both"/>
      </w:pPr>
      <w:r>
        <w:rPr>
          <w:rFonts w:ascii="Times New Roman" w:cs="Times New Roman" w:eastAsia="Times New Roman" w:hAnsi="Times New Roman"/>
          <w:sz w:val="24"/>
          <w:szCs w:val="24"/>
        </w:rPr>
        <w:t xml:space="preserve">8.</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Review-level limitation.</w:t>
      </w:r>
      <w:r>
        <w:rPr>
          <w:rFonts w:ascii="Times New Roman" w:cs="Times New Roman" w:eastAsia="Times New Roman" w:hAnsi="Times New Roman"/>
          <w:b w:val="false"/>
          <w:bCs w:val="false"/>
          <w:i w:val="false"/>
          <w:iCs w:val="false"/>
          <w:sz w:val="24"/>
          <w:szCs w:val="24"/>
        </w:rPr>
        <w:t xml:space="preserve"> This literature review is a critical narrative review with a documented search strategy, not a PRISMA-registered systematic review with dual independent screening; pooled estimates are quoted from published meta-analyses rather than computed here (§2.4).</w:t>
      </w:r>
    </w:p>
    <w:p>
      <w:pPr>
        <w:pBdr>
          <w:bottom w:val="single" w:color="AAAAAA" w:sz="6" w:space="1"/>
        </w:pBdr>
        <w:spacing w:after="200" w:before="120"/>
      </w:pPr>
      <w:r>
        <w:rPr>
          <w:rFonts w:ascii="Times New Roman" w:cs="Times New Roman" w:eastAsia="Times New Roman" w:hAnsi="Times New Roman"/>
          <w:sz w:val="24"/>
          <w:szCs w:val="24"/>
        </w:rPr>
        <w:t xml:space="preserve"/>
      </w:r>
    </w:p>
    <w:p>
      <w:pPr>
        <w:pStyle w:val="Heading2"/>
        <w:keepNext/>
        <w:spacing w:after="160" w:before="280"/>
      </w:pPr>
      <w:r>
        <w:rPr>
          <w:rFonts w:ascii="Times New Roman" w:cs="Times New Roman" w:eastAsia="Times New Roman" w:hAnsi="Times New Roman"/>
          <w:b/>
          <w:bCs/>
          <w:i w:val="false"/>
          <w:iCs w:val="false"/>
          <w:sz w:val="28"/>
          <w:szCs w:val="28"/>
        </w:rPr>
        <w:t xml:space="preserve">23. References</w:t>
      </w:r>
    </w:p>
    <w:p>
      <w:pPr>
        <w:spacing w:after="140" w:line="340"/>
        <w:jc w:val="both"/>
      </w:pPr>
      <w:r>
        <w:rPr>
          <w:rFonts w:ascii="Times New Roman" w:cs="Times New Roman" w:eastAsia="Times New Roman" w:hAnsi="Times New Roman"/>
          <w:b w:val="false"/>
          <w:bCs w:val="false"/>
          <w:i w:val="false"/>
          <w:iCs w:val="false"/>
          <w:sz w:val="24"/>
          <w:szCs w:val="24"/>
        </w:rPr>
        <w:t xml:space="preserve">Records marked </w:t>
      </w:r>
      <w:r>
        <w:rPr>
          <w:rFonts w:ascii="Times New Roman" w:cs="Times New Roman" w:eastAsia="Times New Roman" w:hAnsi="Times New Roman"/>
          <w:b w:val="false"/>
          <w:bCs w:val="false"/>
          <w:i/>
          <w:iCs/>
          <w:sz w:val="24"/>
          <w:szCs w:val="24"/>
        </w:rPr>
        <w:t xml:space="preserve">(PubMed)</w:t>
      </w:r>
      <w:r>
        <w:rPr>
          <w:rFonts w:ascii="Times New Roman" w:cs="Times New Roman" w:eastAsia="Times New Roman" w:hAnsi="Times New Roman"/>
          <w:b w:val="false"/>
          <w:bCs w:val="false"/>
          <w:i w:val="false"/>
          <w:iCs w:val="false"/>
          <w:sz w:val="24"/>
          <w:szCs w:val="24"/>
        </w:rPr>
        <w:t xml:space="preserve"> were retrieved from PubMed/MEDLINE; DOI links are provided for all items where a DOI exists.</w:t>
      </w:r>
    </w:p>
    <w:p>
      <w:pPr>
        <w:spacing w:after="120" w:line="320"/>
        <w:ind w:left="600" w:hanging="600"/>
        <w:jc w:val="both"/>
      </w:pPr>
      <w:r>
        <w:rPr>
          <w:rFonts w:ascii="Times New Roman" w:cs="Times New Roman" w:eastAsia="Times New Roman" w:hAnsi="Times New Roman"/>
          <w:sz w:val="24"/>
          <w:szCs w:val="24"/>
        </w:rPr>
        <w:t xml:space="preserve">1.</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Ccami-Bernal F, Soriano-Moreno DR, Romero-Robles MA, Barriga-Chambi F, Tuco KG, Castro-Diaz SD, Nuñez-Lupaca JN, Pacheco-Mendoza J, Galvez-Olortegui T, Benites-Zapata VA. Prevalence of computer vision syndrome: A systematic review and meta-analysis. </w:t>
      </w:r>
      <w:r>
        <w:rPr>
          <w:rFonts w:ascii="Times New Roman" w:cs="Times New Roman" w:eastAsia="Times New Roman" w:hAnsi="Times New Roman"/>
          <w:b w:val="false"/>
          <w:bCs w:val="false"/>
          <w:i/>
          <w:iCs/>
          <w:sz w:val="24"/>
          <w:szCs w:val="24"/>
        </w:rPr>
        <w:t xml:space="preserve">Journal of Optometry.</w:t>
      </w:r>
      <w:r>
        <w:rPr>
          <w:rFonts w:ascii="Times New Roman" w:cs="Times New Roman" w:eastAsia="Times New Roman" w:hAnsi="Times New Roman"/>
          <w:b w:val="false"/>
          <w:bCs w:val="false"/>
          <w:i w:val="false"/>
          <w:iCs w:val="false"/>
          <w:sz w:val="24"/>
          <w:szCs w:val="24"/>
        </w:rPr>
        <w:t xml:space="preserve"> 2024;17(1):100482. </w:t>
      </w:r>
      <w:r>
        <w:rPr>
          <w:rFonts w:ascii="Times New Roman" w:cs="Times New Roman" w:eastAsia="Times New Roman" w:hAnsi="Times New Roman"/>
          <w:b w:val="false"/>
          <w:bCs w:val="false"/>
          <w:i/>
          <w:iCs/>
          <w:sz w:val="24"/>
          <w:szCs w:val="24"/>
        </w:rPr>
        <w:t xml:space="preserve">(PubMed; PMID 37866176)</w:t>
      </w:r>
      <w:r>
        <w:rPr>
          <w:rFonts w:ascii="Times New Roman" w:cs="Times New Roman" w:eastAsia="Times New Roman" w:hAnsi="Times New Roman"/>
          <w:b w:val="false"/>
          <w:bCs w:val="false"/>
          <w:i w:val="false"/>
          <w:iCs w:val="false"/>
          <w:sz w:val="24"/>
          <w:szCs w:val="24"/>
        </w:rPr>
        <w:t xml:space="preserve"> </w:t>
      </w:r>
      <w:hyperlink w:history="1" r:id="rId3pzdal0hjdpe1uukboymh">
        <w:r>
          <w:rPr>
            <w:rFonts w:ascii="Times New Roman" w:cs="Times New Roman" w:eastAsia="Times New Roman" w:hAnsi="Times New Roman"/>
            <w:b w:val="false"/>
            <w:bCs w:val="false"/>
            <w:i w:val="false"/>
            <w:iCs w:val="false"/>
            <w:color w:val="1155CC"/>
            <w:sz w:val="24"/>
            <w:szCs w:val="24"/>
            <w:u w:val="single"/>
          </w:rPr>
          <w:t xml:space="preserve">https://doi.org/10.1016/j.optom.2023.100482</w:t>
        </w:r>
      </w:hyperlink>
    </w:p>
    <w:p>
      <w:pPr>
        <w:spacing w:after="120" w:line="320"/>
        <w:ind w:left="600" w:hanging="600"/>
        <w:jc w:val="both"/>
      </w:pPr>
      <w:r>
        <w:rPr>
          <w:rFonts w:ascii="Times New Roman" w:cs="Times New Roman" w:eastAsia="Times New Roman" w:hAnsi="Times New Roman"/>
          <w:sz w:val="24"/>
          <w:szCs w:val="24"/>
        </w:rPr>
        <w:t xml:space="preserve">2.</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Kaur K, Gurnani B, Nayak S, Deori N, Kaur S, Jethani J, Singh D, Agarkar S, Hussaindeen JR, Sukhija J, Mishra D. Digital Eye Strain — A Comprehensive Review. </w:t>
      </w:r>
      <w:r>
        <w:rPr>
          <w:rFonts w:ascii="Times New Roman" w:cs="Times New Roman" w:eastAsia="Times New Roman" w:hAnsi="Times New Roman"/>
          <w:b w:val="false"/>
          <w:bCs w:val="false"/>
          <w:i/>
          <w:iCs/>
          <w:sz w:val="24"/>
          <w:szCs w:val="24"/>
        </w:rPr>
        <w:t xml:space="preserve">Ophthalmology and Therapy.</w:t>
      </w:r>
      <w:r>
        <w:rPr>
          <w:rFonts w:ascii="Times New Roman" w:cs="Times New Roman" w:eastAsia="Times New Roman" w:hAnsi="Times New Roman"/>
          <w:b w:val="false"/>
          <w:bCs w:val="false"/>
          <w:i w:val="false"/>
          <w:iCs w:val="false"/>
          <w:sz w:val="24"/>
          <w:szCs w:val="24"/>
        </w:rPr>
        <w:t xml:space="preserve"> 2022;11(5):1655–1680. </w:t>
      </w:r>
      <w:r>
        <w:rPr>
          <w:rFonts w:ascii="Times New Roman" w:cs="Times New Roman" w:eastAsia="Times New Roman" w:hAnsi="Times New Roman"/>
          <w:b w:val="false"/>
          <w:bCs w:val="false"/>
          <w:i/>
          <w:iCs/>
          <w:sz w:val="24"/>
          <w:szCs w:val="24"/>
        </w:rPr>
        <w:t xml:space="preserve">(PubMed; PMID 35809192)</w:t>
      </w:r>
      <w:r>
        <w:rPr>
          <w:rFonts w:ascii="Times New Roman" w:cs="Times New Roman" w:eastAsia="Times New Roman" w:hAnsi="Times New Roman"/>
          <w:b w:val="false"/>
          <w:bCs w:val="false"/>
          <w:i w:val="false"/>
          <w:iCs w:val="false"/>
          <w:sz w:val="24"/>
          <w:szCs w:val="24"/>
        </w:rPr>
        <w:t xml:space="preserve"> </w:t>
      </w:r>
      <w:hyperlink w:history="1" r:id="rId3dms-mvrbefh5fn6kn6dy">
        <w:r>
          <w:rPr>
            <w:rFonts w:ascii="Times New Roman" w:cs="Times New Roman" w:eastAsia="Times New Roman" w:hAnsi="Times New Roman"/>
            <w:b w:val="false"/>
            <w:bCs w:val="false"/>
            <w:i w:val="false"/>
            <w:iCs w:val="false"/>
            <w:color w:val="1155CC"/>
            <w:sz w:val="24"/>
            <w:szCs w:val="24"/>
            <w:u w:val="single"/>
          </w:rPr>
          <w:t xml:space="preserve">https://doi.org/10.1007/s40123-022-00540-9</w:t>
        </w:r>
      </w:hyperlink>
    </w:p>
    <w:p>
      <w:pPr>
        <w:spacing w:after="120" w:line="320"/>
        <w:ind w:left="600" w:hanging="600"/>
        <w:jc w:val="both"/>
      </w:pP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Sheppard AL, Wolffsohn JS. Digital eye strain: prevalence, measurement and amelioration. </w:t>
      </w:r>
      <w:r>
        <w:rPr>
          <w:rFonts w:ascii="Times New Roman" w:cs="Times New Roman" w:eastAsia="Times New Roman" w:hAnsi="Times New Roman"/>
          <w:b w:val="false"/>
          <w:bCs w:val="false"/>
          <w:i/>
          <w:iCs/>
          <w:sz w:val="24"/>
          <w:szCs w:val="24"/>
        </w:rPr>
        <w:t xml:space="preserve">BMJ Open Ophthalmology.</w:t>
      </w:r>
      <w:r>
        <w:rPr>
          <w:rFonts w:ascii="Times New Roman" w:cs="Times New Roman" w:eastAsia="Times New Roman" w:hAnsi="Times New Roman"/>
          <w:b w:val="false"/>
          <w:bCs w:val="false"/>
          <w:i w:val="false"/>
          <w:iCs w:val="false"/>
          <w:sz w:val="24"/>
          <w:szCs w:val="24"/>
        </w:rPr>
        <w:t xml:space="preserve"> 2018;3(1):e000146. </w:t>
      </w:r>
      <w:r>
        <w:rPr>
          <w:rFonts w:ascii="Times New Roman" w:cs="Times New Roman" w:eastAsia="Times New Roman" w:hAnsi="Times New Roman"/>
          <w:b w:val="false"/>
          <w:bCs w:val="false"/>
          <w:i/>
          <w:iCs/>
          <w:sz w:val="24"/>
          <w:szCs w:val="24"/>
        </w:rPr>
        <w:t xml:space="preserve">(PubMed; PMID 29963645)</w:t>
      </w:r>
      <w:r>
        <w:rPr>
          <w:rFonts w:ascii="Times New Roman" w:cs="Times New Roman" w:eastAsia="Times New Roman" w:hAnsi="Times New Roman"/>
          <w:b w:val="false"/>
          <w:bCs w:val="false"/>
          <w:i w:val="false"/>
          <w:iCs w:val="false"/>
          <w:sz w:val="24"/>
          <w:szCs w:val="24"/>
        </w:rPr>
        <w:t xml:space="preserve"> </w:t>
      </w:r>
      <w:hyperlink w:history="1" r:id="rIdycerxc5xiexgyykq21ewe">
        <w:r>
          <w:rPr>
            <w:rFonts w:ascii="Times New Roman" w:cs="Times New Roman" w:eastAsia="Times New Roman" w:hAnsi="Times New Roman"/>
            <w:b w:val="false"/>
            <w:bCs w:val="false"/>
            <w:i w:val="false"/>
            <w:iCs w:val="false"/>
            <w:color w:val="1155CC"/>
            <w:sz w:val="24"/>
            <w:szCs w:val="24"/>
            <w:u w:val="single"/>
          </w:rPr>
          <w:t xml:space="preserve">https://doi.org/10.1136/bmjophth-2018-000146</w:t>
        </w:r>
      </w:hyperlink>
    </w:p>
    <w:p>
      <w:pPr>
        <w:spacing w:after="120" w:line="320"/>
        <w:ind w:left="600" w:hanging="600"/>
        <w:jc w:val="both"/>
      </w:pPr>
      <w:r>
        <w:rPr>
          <w:rFonts w:ascii="Times New Roman" w:cs="Times New Roman" w:eastAsia="Times New Roman" w:hAnsi="Times New Roman"/>
          <w:sz w:val="24"/>
          <w:szCs w:val="24"/>
        </w:rPr>
        <w:t xml:space="preserve">4.</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Pucker AD, Kerr AM, Sanderson J, Lievens C. Digital Eye Strain: Updated Perspectives. </w:t>
      </w:r>
      <w:r>
        <w:rPr>
          <w:rFonts w:ascii="Times New Roman" w:cs="Times New Roman" w:eastAsia="Times New Roman" w:hAnsi="Times New Roman"/>
          <w:b w:val="false"/>
          <w:bCs w:val="false"/>
          <w:i/>
          <w:iCs/>
          <w:sz w:val="24"/>
          <w:szCs w:val="24"/>
        </w:rPr>
        <w:t xml:space="preserve">Clinical Optometry.</w:t>
      </w:r>
      <w:r>
        <w:rPr>
          <w:rFonts w:ascii="Times New Roman" w:cs="Times New Roman" w:eastAsia="Times New Roman" w:hAnsi="Times New Roman"/>
          <w:b w:val="false"/>
          <w:bCs w:val="false"/>
          <w:i w:val="false"/>
          <w:iCs w:val="false"/>
          <w:sz w:val="24"/>
          <w:szCs w:val="24"/>
        </w:rPr>
        <w:t xml:space="preserve"> 2024;16:233–246. </w:t>
      </w:r>
      <w:r>
        <w:rPr>
          <w:rFonts w:ascii="Times New Roman" w:cs="Times New Roman" w:eastAsia="Times New Roman" w:hAnsi="Times New Roman"/>
          <w:b w:val="false"/>
          <w:bCs w:val="false"/>
          <w:i/>
          <w:iCs/>
          <w:sz w:val="24"/>
          <w:szCs w:val="24"/>
        </w:rPr>
        <w:t xml:space="preserve">(PubMed; PMID 39308959)</w:t>
      </w:r>
      <w:r>
        <w:rPr>
          <w:rFonts w:ascii="Times New Roman" w:cs="Times New Roman" w:eastAsia="Times New Roman" w:hAnsi="Times New Roman"/>
          <w:b w:val="false"/>
          <w:bCs w:val="false"/>
          <w:i w:val="false"/>
          <w:iCs w:val="false"/>
          <w:sz w:val="24"/>
          <w:szCs w:val="24"/>
        </w:rPr>
        <w:t xml:space="preserve"> </w:t>
      </w:r>
      <w:hyperlink w:history="1" r:id="rIdfyxrti3hwbnclqlj1meso">
        <w:r>
          <w:rPr>
            <w:rFonts w:ascii="Times New Roman" w:cs="Times New Roman" w:eastAsia="Times New Roman" w:hAnsi="Times New Roman"/>
            <w:b w:val="false"/>
            <w:bCs w:val="false"/>
            <w:i w:val="false"/>
            <w:iCs w:val="false"/>
            <w:color w:val="1155CC"/>
            <w:sz w:val="24"/>
            <w:szCs w:val="24"/>
            <w:u w:val="single"/>
          </w:rPr>
          <w:t xml:space="preserve">https://doi.org/10.2147/OPTO.S412382</w:t>
        </w:r>
      </w:hyperlink>
    </w:p>
    <w:p>
      <w:pPr>
        <w:spacing w:after="120" w:line="320"/>
        <w:ind w:left="600" w:hanging="600"/>
        <w:jc w:val="both"/>
      </w:pPr>
      <w:r>
        <w:rPr>
          <w:rFonts w:ascii="Times New Roman" w:cs="Times New Roman" w:eastAsia="Times New Roman" w:hAnsi="Times New Roman"/>
          <w:sz w:val="24"/>
          <w:szCs w:val="24"/>
        </w:rPr>
        <w:t xml:space="preserve">5.</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Kahal F, Al Darra A, Torbey A. Computer vision syndrome: a comprehensive literature review. </w:t>
      </w:r>
      <w:r>
        <w:rPr>
          <w:rFonts w:ascii="Times New Roman" w:cs="Times New Roman" w:eastAsia="Times New Roman" w:hAnsi="Times New Roman"/>
          <w:b w:val="false"/>
          <w:bCs w:val="false"/>
          <w:i/>
          <w:iCs/>
          <w:sz w:val="24"/>
          <w:szCs w:val="24"/>
        </w:rPr>
        <w:t xml:space="preserve">Future Science OA.</w:t>
      </w:r>
      <w:r>
        <w:rPr>
          <w:rFonts w:ascii="Times New Roman" w:cs="Times New Roman" w:eastAsia="Times New Roman" w:hAnsi="Times New Roman"/>
          <w:b w:val="false"/>
          <w:bCs w:val="false"/>
          <w:i w:val="false"/>
          <w:iCs w:val="false"/>
          <w:sz w:val="24"/>
          <w:szCs w:val="24"/>
        </w:rPr>
        <w:t xml:space="preserve"> 2025;11(1):2476923. </w:t>
      </w:r>
      <w:r>
        <w:rPr>
          <w:rFonts w:ascii="Times New Roman" w:cs="Times New Roman" w:eastAsia="Times New Roman" w:hAnsi="Times New Roman"/>
          <w:b w:val="false"/>
          <w:bCs w:val="false"/>
          <w:i/>
          <w:iCs/>
          <w:sz w:val="24"/>
          <w:szCs w:val="24"/>
        </w:rPr>
        <w:t xml:space="preserve">(PubMed; PMID 40055942)</w:t>
      </w:r>
      <w:r>
        <w:rPr>
          <w:rFonts w:ascii="Times New Roman" w:cs="Times New Roman" w:eastAsia="Times New Roman" w:hAnsi="Times New Roman"/>
          <w:b w:val="false"/>
          <w:bCs w:val="false"/>
          <w:i w:val="false"/>
          <w:iCs w:val="false"/>
          <w:sz w:val="24"/>
          <w:szCs w:val="24"/>
        </w:rPr>
        <w:t xml:space="preserve"> </w:t>
      </w:r>
      <w:hyperlink w:history="1" r:id="rId2nw4hruqmqwhxkrowmzxn">
        <w:r>
          <w:rPr>
            <w:rFonts w:ascii="Times New Roman" w:cs="Times New Roman" w:eastAsia="Times New Roman" w:hAnsi="Times New Roman"/>
            <w:b w:val="false"/>
            <w:bCs w:val="false"/>
            <w:i w:val="false"/>
            <w:iCs w:val="false"/>
            <w:color w:val="1155CC"/>
            <w:sz w:val="24"/>
            <w:szCs w:val="24"/>
            <w:u w:val="single"/>
          </w:rPr>
          <w:t xml:space="preserve">https://doi.org/10.1080/20565623.2025.2476923</w:t>
        </w:r>
      </w:hyperlink>
    </w:p>
    <w:p>
      <w:pPr>
        <w:spacing w:after="120" w:line="320"/>
        <w:ind w:left="600" w:hanging="600"/>
        <w:jc w:val="both"/>
      </w:pPr>
      <w:r>
        <w:rPr>
          <w:rFonts w:ascii="Times New Roman" w:cs="Times New Roman" w:eastAsia="Times New Roman" w:hAnsi="Times New Roman"/>
          <w:sz w:val="24"/>
          <w:szCs w:val="24"/>
        </w:rPr>
        <w:t xml:space="preserve">6.</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Auffret É, Gomart G, Bourcier T, Gaucher D, Speeg-Schatz C, Sauer A. [Digital eye strain. Symptoms, prevalence, pathophysiology, and management]. </w:t>
      </w:r>
      <w:r>
        <w:rPr>
          <w:rFonts w:ascii="Times New Roman" w:cs="Times New Roman" w:eastAsia="Times New Roman" w:hAnsi="Times New Roman"/>
          <w:b w:val="false"/>
          <w:bCs w:val="false"/>
          <w:i/>
          <w:iCs/>
          <w:sz w:val="24"/>
          <w:szCs w:val="24"/>
        </w:rPr>
        <w:t xml:space="preserve">Journal Français d'Ophtalmologie.</w:t>
      </w:r>
      <w:r>
        <w:rPr>
          <w:rFonts w:ascii="Times New Roman" w:cs="Times New Roman" w:eastAsia="Times New Roman" w:hAnsi="Times New Roman"/>
          <w:b w:val="false"/>
          <w:bCs w:val="false"/>
          <w:i w:val="false"/>
          <w:iCs w:val="false"/>
          <w:sz w:val="24"/>
          <w:szCs w:val="24"/>
        </w:rPr>
        <w:t xml:space="preserve"> 2021;44(10):1605–1610. </w:t>
      </w:r>
      <w:r>
        <w:rPr>
          <w:rFonts w:ascii="Times New Roman" w:cs="Times New Roman" w:eastAsia="Times New Roman" w:hAnsi="Times New Roman"/>
          <w:b w:val="false"/>
          <w:bCs w:val="false"/>
          <w:i/>
          <w:iCs/>
          <w:sz w:val="24"/>
          <w:szCs w:val="24"/>
        </w:rPr>
        <w:t xml:space="preserve">(PubMed; PMID 34657757; in French)</w:t>
      </w:r>
      <w:r>
        <w:rPr>
          <w:rFonts w:ascii="Times New Roman" w:cs="Times New Roman" w:eastAsia="Times New Roman" w:hAnsi="Times New Roman"/>
          <w:b w:val="false"/>
          <w:bCs w:val="false"/>
          <w:i w:val="false"/>
          <w:iCs w:val="false"/>
          <w:sz w:val="24"/>
          <w:szCs w:val="24"/>
        </w:rPr>
        <w:t xml:space="preserve"> </w:t>
      </w:r>
      <w:hyperlink w:history="1" r:id="rId_1o1qxiwbp40do3wguqew">
        <w:r>
          <w:rPr>
            <w:rFonts w:ascii="Times New Roman" w:cs="Times New Roman" w:eastAsia="Times New Roman" w:hAnsi="Times New Roman"/>
            <w:b w:val="false"/>
            <w:bCs w:val="false"/>
            <w:i w:val="false"/>
            <w:iCs w:val="false"/>
            <w:color w:val="1155CC"/>
            <w:sz w:val="24"/>
            <w:szCs w:val="24"/>
            <w:u w:val="single"/>
          </w:rPr>
          <w:t xml:space="preserve">https://doi.org/10.1016/j.jfo.2020.10.002</w:t>
        </w:r>
      </w:hyperlink>
    </w:p>
    <w:p>
      <w:pPr>
        <w:spacing w:after="120" w:line="320"/>
        <w:ind w:left="600" w:hanging="600"/>
        <w:jc w:val="both"/>
      </w:pPr>
      <w:r>
        <w:rPr>
          <w:rFonts w:ascii="Times New Roman" w:cs="Times New Roman" w:eastAsia="Times New Roman" w:hAnsi="Times New Roman"/>
          <w:sz w:val="24"/>
          <w:szCs w:val="24"/>
        </w:rPr>
        <w:t xml:space="preserve">7.</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Coles-Brennan C, Sulley A, Young G. Management of digital eye strain. </w:t>
      </w:r>
      <w:r>
        <w:rPr>
          <w:rFonts w:ascii="Times New Roman" w:cs="Times New Roman" w:eastAsia="Times New Roman" w:hAnsi="Times New Roman"/>
          <w:b w:val="false"/>
          <w:bCs w:val="false"/>
          <w:i/>
          <w:iCs/>
          <w:sz w:val="24"/>
          <w:szCs w:val="24"/>
        </w:rPr>
        <w:t xml:space="preserve">Clinical and Experimental Optometry.</w:t>
      </w:r>
      <w:r>
        <w:rPr>
          <w:rFonts w:ascii="Times New Roman" w:cs="Times New Roman" w:eastAsia="Times New Roman" w:hAnsi="Times New Roman"/>
          <w:b w:val="false"/>
          <w:bCs w:val="false"/>
          <w:i w:val="false"/>
          <w:iCs w:val="false"/>
          <w:sz w:val="24"/>
          <w:szCs w:val="24"/>
        </w:rPr>
        <w:t xml:space="preserve"> 2019;102(1):18–29. </w:t>
      </w:r>
      <w:r>
        <w:rPr>
          <w:rFonts w:ascii="Times New Roman" w:cs="Times New Roman" w:eastAsia="Times New Roman" w:hAnsi="Times New Roman"/>
          <w:b w:val="false"/>
          <w:bCs w:val="false"/>
          <w:i/>
          <w:iCs/>
          <w:sz w:val="24"/>
          <w:szCs w:val="24"/>
        </w:rPr>
        <w:t xml:space="preserve">(PubMed; PMID 29797453)</w:t>
      </w:r>
      <w:r>
        <w:rPr>
          <w:rFonts w:ascii="Times New Roman" w:cs="Times New Roman" w:eastAsia="Times New Roman" w:hAnsi="Times New Roman"/>
          <w:b w:val="false"/>
          <w:bCs w:val="false"/>
          <w:i w:val="false"/>
          <w:iCs w:val="false"/>
          <w:sz w:val="24"/>
          <w:szCs w:val="24"/>
        </w:rPr>
        <w:t xml:space="preserve"> </w:t>
      </w:r>
      <w:hyperlink w:history="1" r:id="rIdpgwyibcwps9j41d4vgwq_">
        <w:r>
          <w:rPr>
            <w:rFonts w:ascii="Times New Roman" w:cs="Times New Roman" w:eastAsia="Times New Roman" w:hAnsi="Times New Roman"/>
            <w:b w:val="false"/>
            <w:bCs w:val="false"/>
            <w:i w:val="false"/>
            <w:iCs w:val="false"/>
            <w:color w:val="1155CC"/>
            <w:sz w:val="24"/>
            <w:szCs w:val="24"/>
            <w:u w:val="single"/>
          </w:rPr>
          <w:t xml:space="preserve">https://doi.org/10.1111/cxo.12798</w:t>
        </w:r>
      </w:hyperlink>
    </w:p>
    <w:p>
      <w:pPr>
        <w:spacing w:after="120" w:line="320"/>
        <w:ind w:left="600" w:hanging="600"/>
        <w:jc w:val="both"/>
      </w:pPr>
      <w:r>
        <w:rPr>
          <w:rFonts w:ascii="Times New Roman" w:cs="Times New Roman" w:eastAsia="Times New Roman" w:hAnsi="Times New Roman"/>
          <w:sz w:val="24"/>
          <w:szCs w:val="24"/>
        </w:rPr>
        <w:t xml:space="preserve">8.</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Singh S, McGuinness MB, Anderson AJ, Downie LE. Interventions for the Management of Computer Vision Syndrome: A Systematic Review and Meta-analysis. </w:t>
      </w:r>
      <w:r>
        <w:rPr>
          <w:rFonts w:ascii="Times New Roman" w:cs="Times New Roman" w:eastAsia="Times New Roman" w:hAnsi="Times New Roman"/>
          <w:b w:val="false"/>
          <w:bCs w:val="false"/>
          <w:i/>
          <w:iCs/>
          <w:sz w:val="24"/>
          <w:szCs w:val="24"/>
        </w:rPr>
        <w:t xml:space="preserve">Ophthalmology.</w:t>
      </w:r>
      <w:r>
        <w:rPr>
          <w:rFonts w:ascii="Times New Roman" w:cs="Times New Roman" w:eastAsia="Times New Roman" w:hAnsi="Times New Roman"/>
          <w:b w:val="false"/>
          <w:bCs w:val="false"/>
          <w:i w:val="false"/>
          <w:iCs w:val="false"/>
          <w:sz w:val="24"/>
          <w:szCs w:val="24"/>
        </w:rPr>
        <w:t xml:space="preserve"> 2022;129(10):1192–1215. </w:t>
      </w:r>
      <w:r>
        <w:rPr>
          <w:rFonts w:ascii="Times New Roman" w:cs="Times New Roman" w:eastAsia="Times New Roman" w:hAnsi="Times New Roman"/>
          <w:b w:val="false"/>
          <w:bCs w:val="false"/>
          <w:i/>
          <w:iCs/>
          <w:sz w:val="24"/>
          <w:szCs w:val="24"/>
        </w:rPr>
        <w:t xml:space="preserve">(PubMed; PMID 35597519)</w:t>
      </w:r>
      <w:r>
        <w:rPr>
          <w:rFonts w:ascii="Times New Roman" w:cs="Times New Roman" w:eastAsia="Times New Roman" w:hAnsi="Times New Roman"/>
          <w:b w:val="false"/>
          <w:bCs w:val="false"/>
          <w:i w:val="false"/>
          <w:iCs w:val="false"/>
          <w:sz w:val="24"/>
          <w:szCs w:val="24"/>
        </w:rPr>
        <w:t xml:space="preserve"> </w:t>
      </w:r>
      <w:hyperlink w:history="1" r:id="rIdbc9dclck9llhnuksg9trd">
        <w:r>
          <w:rPr>
            <w:rFonts w:ascii="Times New Roman" w:cs="Times New Roman" w:eastAsia="Times New Roman" w:hAnsi="Times New Roman"/>
            <w:b w:val="false"/>
            <w:bCs w:val="false"/>
            <w:i w:val="false"/>
            <w:iCs w:val="false"/>
            <w:color w:val="1155CC"/>
            <w:sz w:val="24"/>
            <w:szCs w:val="24"/>
            <w:u w:val="single"/>
          </w:rPr>
          <w:t xml:space="preserve">https://doi.org/10.1016/j.ophtha.2022.05.009</w:t>
        </w:r>
      </w:hyperlink>
    </w:p>
    <w:p>
      <w:pPr>
        <w:spacing w:after="120" w:line="320"/>
        <w:ind w:left="600" w:hanging="600"/>
        <w:jc w:val="both"/>
      </w:pPr>
      <w:r>
        <w:rPr>
          <w:rFonts w:ascii="Times New Roman" w:cs="Times New Roman" w:eastAsia="Times New Roman" w:hAnsi="Times New Roman"/>
          <w:sz w:val="24"/>
          <w:szCs w:val="24"/>
        </w:rPr>
        <w:t xml:space="preserve">9.</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Mataftsi A, Seliniotaki AK, Moutzouri S, Prousali E, Darusman KR, Adio AO, Haidich AB, Nischal KK. Digital eye strain in young screen users: A systematic review. </w:t>
      </w:r>
      <w:r>
        <w:rPr>
          <w:rFonts w:ascii="Times New Roman" w:cs="Times New Roman" w:eastAsia="Times New Roman" w:hAnsi="Times New Roman"/>
          <w:b w:val="false"/>
          <w:bCs w:val="false"/>
          <w:i/>
          <w:iCs/>
          <w:sz w:val="24"/>
          <w:szCs w:val="24"/>
        </w:rPr>
        <w:t xml:space="preserve">Preventive Medicine.</w:t>
      </w:r>
      <w:r>
        <w:rPr>
          <w:rFonts w:ascii="Times New Roman" w:cs="Times New Roman" w:eastAsia="Times New Roman" w:hAnsi="Times New Roman"/>
          <w:b w:val="false"/>
          <w:bCs w:val="false"/>
          <w:i w:val="false"/>
          <w:iCs w:val="false"/>
          <w:sz w:val="24"/>
          <w:szCs w:val="24"/>
        </w:rPr>
        <w:t xml:space="preserve"> 2023;170:107493. </w:t>
      </w:r>
      <w:r>
        <w:rPr>
          <w:rFonts w:ascii="Times New Roman" w:cs="Times New Roman" w:eastAsia="Times New Roman" w:hAnsi="Times New Roman"/>
          <w:b w:val="false"/>
          <w:bCs w:val="false"/>
          <w:i/>
          <w:iCs/>
          <w:sz w:val="24"/>
          <w:szCs w:val="24"/>
        </w:rPr>
        <w:t xml:space="preserve">(PubMed; PMID 36977430)</w:t>
      </w:r>
      <w:r>
        <w:rPr>
          <w:rFonts w:ascii="Times New Roman" w:cs="Times New Roman" w:eastAsia="Times New Roman" w:hAnsi="Times New Roman"/>
          <w:b w:val="false"/>
          <w:bCs w:val="false"/>
          <w:i w:val="false"/>
          <w:iCs w:val="false"/>
          <w:sz w:val="24"/>
          <w:szCs w:val="24"/>
        </w:rPr>
        <w:t xml:space="preserve"> </w:t>
      </w:r>
      <w:hyperlink w:history="1" r:id="rIdbgpzhzq0wkndeys8ejpf-">
        <w:r>
          <w:rPr>
            <w:rFonts w:ascii="Times New Roman" w:cs="Times New Roman" w:eastAsia="Times New Roman" w:hAnsi="Times New Roman"/>
            <w:b w:val="false"/>
            <w:bCs w:val="false"/>
            <w:i w:val="false"/>
            <w:iCs w:val="false"/>
            <w:color w:val="1155CC"/>
            <w:sz w:val="24"/>
            <w:szCs w:val="24"/>
            <w:u w:val="single"/>
          </w:rPr>
          <w:t xml:space="preserve">https://doi.org/10.1016/j.ypmed.2023.107493</w:t>
        </w:r>
      </w:hyperlink>
    </w:p>
    <w:p>
      <w:pPr>
        <w:spacing w:after="120" w:line="320"/>
        <w:ind w:left="600" w:hanging="600"/>
        <w:jc w:val="both"/>
      </w:pPr>
      <w:r>
        <w:rPr>
          <w:rFonts w:ascii="Times New Roman" w:cs="Times New Roman" w:eastAsia="Times New Roman" w:hAnsi="Times New Roman"/>
          <w:sz w:val="24"/>
          <w:szCs w:val="24"/>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Kamøy B, Magno M, Nøland ST, Moe MC, Petrovski G, Vehof J, Utheim TP. Video display terminal use and dry eye: preventive measures and future perspectives. </w:t>
      </w:r>
      <w:r>
        <w:rPr>
          <w:rFonts w:ascii="Times New Roman" w:cs="Times New Roman" w:eastAsia="Times New Roman" w:hAnsi="Times New Roman"/>
          <w:b w:val="false"/>
          <w:bCs w:val="false"/>
          <w:i/>
          <w:iCs/>
          <w:sz w:val="24"/>
          <w:szCs w:val="24"/>
        </w:rPr>
        <w:t xml:space="preserve">Acta Ophthalmologica.</w:t>
      </w:r>
      <w:r>
        <w:rPr>
          <w:rFonts w:ascii="Times New Roman" w:cs="Times New Roman" w:eastAsia="Times New Roman" w:hAnsi="Times New Roman"/>
          <w:b w:val="false"/>
          <w:bCs w:val="false"/>
          <w:i w:val="false"/>
          <w:iCs w:val="false"/>
          <w:sz w:val="24"/>
          <w:szCs w:val="24"/>
        </w:rPr>
        <w:t xml:space="preserve"> 2022;100(7):723–739. </w:t>
      </w:r>
      <w:r>
        <w:rPr>
          <w:rFonts w:ascii="Times New Roman" w:cs="Times New Roman" w:eastAsia="Times New Roman" w:hAnsi="Times New Roman"/>
          <w:b w:val="false"/>
          <w:bCs w:val="false"/>
          <w:i/>
          <w:iCs/>
          <w:sz w:val="24"/>
          <w:szCs w:val="24"/>
        </w:rPr>
        <w:t xml:space="preserve">(PubMed; PMID 35122403)</w:t>
      </w:r>
      <w:r>
        <w:rPr>
          <w:rFonts w:ascii="Times New Roman" w:cs="Times New Roman" w:eastAsia="Times New Roman" w:hAnsi="Times New Roman"/>
          <w:b w:val="false"/>
          <w:bCs w:val="false"/>
          <w:i w:val="false"/>
          <w:iCs w:val="false"/>
          <w:sz w:val="24"/>
          <w:szCs w:val="24"/>
        </w:rPr>
        <w:t xml:space="preserve"> </w:t>
      </w:r>
      <w:hyperlink w:history="1" r:id="rIdicsk4h4ncsi89guwbb2vp">
        <w:r>
          <w:rPr>
            <w:rFonts w:ascii="Times New Roman" w:cs="Times New Roman" w:eastAsia="Times New Roman" w:hAnsi="Times New Roman"/>
            <w:b w:val="false"/>
            <w:bCs w:val="false"/>
            <w:i w:val="false"/>
            <w:iCs w:val="false"/>
            <w:color w:val="1155CC"/>
            <w:sz w:val="24"/>
            <w:szCs w:val="24"/>
            <w:u w:val="single"/>
          </w:rPr>
          <w:t xml:space="preserve">https://doi.org/10.1111/aos.15105</w:t>
        </w:r>
      </w:hyperlink>
    </w:p>
    <w:p>
      <w:pPr>
        <w:spacing w:after="120" w:line="320"/>
        <w:ind w:left="600" w:hanging="600"/>
        <w:jc w:val="both"/>
      </w:pPr>
      <w:r>
        <w:rPr>
          <w:rFonts w:ascii="Times New Roman" w:cs="Times New Roman" w:eastAsia="Times New Roman" w:hAnsi="Times New Roman"/>
          <w:sz w:val="24"/>
          <w:szCs w:val="24"/>
        </w:rPr>
        <w:t xml:space="preserve">11.</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Fjaervoll K, Fjaervoll H, Magno M, Nøland ST, Dartt DA, Vehof J, Utheim TP. Review on the possible pathophysiological mechanisms underlying visual display terminal-associated dry eye disease. </w:t>
      </w:r>
      <w:r>
        <w:rPr>
          <w:rFonts w:ascii="Times New Roman" w:cs="Times New Roman" w:eastAsia="Times New Roman" w:hAnsi="Times New Roman"/>
          <w:b w:val="false"/>
          <w:bCs w:val="false"/>
          <w:i/>
          <w:iCs/>
          <w:sz w:val="24"/>
          <w:szCs w:val="24"/>
        </w:rPr>
        <w:t xml:space="preserve">Acta Ophthalmologica.</w:t>
      </w:r>
      <w:r>
        <w:rPr>
          <w:rFonts w:ascii="Times New Roman" w:cs="Times New Roman" w:eastAsia="Times New Roman" w:hAnsi="Times New Roman"/>
          <w:b w:val="false"/>
          <w:bCs w:val="false"/>
          <w:i w:val="false"/>
          <w:iCs w:val="false"/>
          <w:sz w:val="24"/>
          <w:szCs w:val="24"/>
        </w:rPr>
        <w:t xml:space="preserve"> 2022;100(8):861–877. </w:t>
      </w:r>
      <w:r>
        <w:rPr>
          <w:rFonts w:ascii="Times New Roman" w:cs="Times New Roman" w:eastAsia="Times New Roman" w:hAnsi="Times New Roman"/>
          <w:b w:val="false"/>
          <w:bCs w:val="false"/>
          <w:i/>
          <w:iCs/>
          <w:sz w:val="24"/>
          <w:szCs w:val="24"/>
        </w:rPr>
        <w:t xml:space="preserve">(PubMed; PMID 35441459)</w:t>
      </w:r>
      <w:r>
        <w:rPr>
          <w:rFonts w:ascii="Times New Roman" w:cs="Times New Roman" w:eastAsia="Times New Roman" w:hAnsi="Times New Roman"/>
          <w:b w:val="false"/>
          <w:bCs w:val="false"/>
          <w:i w:val="false"/>
          <w:iCs w:val="false"/>
          <w:sz w:val="24"/>
          <w:szCs w:val="24"/>
        </w:rPr>
        <w:t xml:space="preserve"> </w:t>
      </w:r>
      <w:hyperlink w:history="1" r:id="rIdmvlclsurmsotfdqwjlpy0">
        <w:r>
          <w:rPr>
            <w:rFonts w:ascii="Times New Roman" w:cs="Times New Roman" w:eastAsia="Times New Roman" w:hAnsi="Times New Roman"/>
            <w:b w:val="false"/>
            <w:bCs w:val="false"/>
            <w:i w:val="false"/>
            <w:iCs w:val="false"/>
            <w:color w:val="1155CC"/>
            <w:sz w:val="24"/>
            <w:szCs w:val="24"/>
            <w:u w:val="single"/>
          </w:rPr>
          <w:t xml:space="preserve">https://doi.org/10.1111/aos.15150</w:t>
        </w:r>
      </w:hyperlink>
    </w:p>
    <w:p>
      <w:pPr>
        <w:spacing w:after="120" w:line="320"/>
        <w:ind w:left="600" w:hanging="600"/>
        <w:jc w:val="both"/>
      </w:pPr>
      <w:r>
        <w:rPr>
          <w:rFonts w:ascii="Times New Roman" w:cs="Times New Roman" w:eastAsia="Times New Roman" w:hAnsi="Times New Roman"/>
          <w:sz w:val="24"/>
          <w:szCs w:val="24"/>
        </w:rPr>
        <w:t xml:space="preserve">12.</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Buchner A, Baumgartner N. Text — background polarity affects performance irrespective of ambient illumination and colour contrast. </w:t>
      </w:r>
      <w:r>
        <w:rPr>
          <w:rFonts w:ascii="Times New Roman" w:cs="Times New Roman" w:eastAsia="Times New Roman" w:hAnsi="Times New Roman"/>
          <w:b w:val="false"/>
          <w:bCs w:val="false"/>
          <w:i/>
          <w:iCs/>
          <w:sz w:val="24"/>
          <w:szCs w:val="24"/>
        </w:rPr>
        <w:t xml:space="preserve">Ergonomics.</w:t>
      </w:r>
      <w:r>
        <w:rPr>
          <w:rFonts w:ascii="Times New Roman" w:cs="Times New Roman" w:eastAsia="Times New Roman" w:hAnsi="Times New Roman"/>
          <w:b w:val="false"/>
          <w:bCs w:val="false"/>
          <w:i w:val="false"/>
          <w:iCs w:val="false"/>
          <w:sz w:val="24"/>
          <w:szCs w:val="24"/>
        </w:rPr>
        <w:t xml:space="preserve"> 2007;50(7):1036–1063. </w:t>
      </w:r>
      <w:r>
        <w:rPr>
          <w:rFonts w:ascii="Times New Roman" w:cs="Times New Roman" w:eastAsia="Times New Roman" w:hAnsi="Times New Roman"/>
          <w:b w:val="false"/>
          <w:bCs w:val="false"/>
          <w:i/>
          <w:iCs/>
          <w:sz w:val="24"/>
          <w:szCs w:val="24"/>
        </w:rPr>
        <w:t xml:space="preserve">(PubMed; PMID 17510822)</w:t>
      </w:r>
      <w:r>
        <w:rPr>
          <w:rFonts w:ascii="Times New Roman" w:cs="Times New Roman" w:eastAsia="Times New Roman" w:hAnsi="Times New Roman"/>
          <w:b w:val="false"/>
          <w:bCs w:val="false"/>
          <w:i w:val="false"/>
          <w:iCs w:val="false"/>
          <w:sz w:val="24"/>
          <w:szCs w:val="24"/>
        </w:rPr>
        <w:t xml:space="preserve"> </w:t>
      </w:r>
      <w:hyperlink w:history="1" r:id="rIdr160jwjdi1v6hlnnwyon-">
        <w:r>
          <w:rPr>
            <w:rFonts w:ascii="Times New Roman" w:cs="Times New Roman" w:eastAsia="Times New Roman" w:hAnsi="Times New Roman"/>
            <w:b w:val="false"/>
            <w:bCs w:val="false"/>
            <w:i w:val="false"/>
            <w:iCs w:val="false"/>
            <w:color w:val="1155CC"/>
            <w:sz w:val="24"/>
            <w:szCs w:val="24"/>
            <w:u w:val="single"/>
          </w:rPr>
          <w:t xml:space="preserve">https://doi.org/10.1080/00140130701306413</w:t>
        </w:r>
      </w:hyperlink>
    </w:p>
    <w:p>
      <w:pPr>
        <w:spacing w:after="120" w:line="320"/>
        <w:ind w:left="600" w:hanging="600"/>
        <w:jc w:val="both"/>
      </w:pPr>
      <w:r>
        <w:rPr>
          <w:rFonts w:ascii="Times New Roman" w:cs="Times New Roman" w:eastAsia="Times New Roman" w:hAnsi="Times New Roman"/>
          <w:sz w:val="24"/>
          <w:szCs w:val="24"/>
        </w:rPr>
        <w:t xml:space="preserve">13.</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Piepenbrock C, Mayr S, Buchner A. Smaller pupil size and better proofreading performance with positive than with negative polarity displays. </w:t>
      </w:r>
      <w:r>
        <w:rPr>
          <w:rFonts w:ascii="Times New Roman" w:cs="Times New Roman" w:eastAsia="Times New Roman" w:hAnsi="Times New Roman"/>
          <w:b w:val="false"/>
          <w:bCs w:val="false"/>
          <w:i/>
          <w:iCs/>
          <w:sz w:val="24"/>
          <w:szCs w:val="24"/>
        </w:rPr>
        <w:t xml:space="preserve">Ergonomics.</w:t>
      </w:r>
      <w:r>
        <w:rPr>
          <w:rFonts w:ascii="Times New Roman" w:cs="Times New Roman" w:eastAsia="Times New Roman" w:hAnsi="Times New Roman"/>
          <w:b w:val="false"/>
          <w:bCs w:val="false"/>
          <w:i w:val="false"/>
          <w:iCs w:val="false"/>
          <w:sz w:val="24"/>
          <w:szCs w:val="24"/>
        </w:rPr>
        <w:t xml:space="preserve"> 2014;57(11):1670–1677. </w:t>
      </w:r>
      <w:r>
        <w:rPr>
          <w:rFonts w:ascii="Times New Roman" w:cs="Times New Roman" w:eastAsia="Times New Roman" w:hAnsi="Times New Roman"/>
          <w:b w:val="false"/>
          <w:bCs w:val="false"/>
          <w:i/>
          <w:iCs/>
          <w:sz w:val="24"/>
          <w:szCs w:val="24"/>
        </w:rPr>
        <w:t xml:space="preserve">(PubMed; PMID 25135324)</w:t>
      </w:r>
      <w:r>
        <w:rPr>
          <w:rFonts w:ascii="Times New Roman" w:cs="Times New Roman" w:eastAsia="Times New Roman" w:hAnsi="Times New Roman"/>
          <w:b w:val="false"/>
          <w:bCs w:val="false"/>
          <w:i w:val="false"/>
          <w:iCs w:val="false"/>
          <w:sz w:val="24"/>
          <w:szCs w:val="24"/>
        </w:rPr>
        <w:t xml:space="preserve"> </w:t>
      </w:r>
      <w:hyperlink w:history="1" r:id="rIdp8x3w2rml27auv3tqm3tj">
        <w:r>
          <w:rPr>
            <w:rFonts w:ascii="Times New Roman" w:cs="Times New Roman" w:eastAsia="Times New Roman" w:hAnsi="Times New Roman"/>
            <w:b w:val="false"/>
            <w:bCs w:val="false"/>
            <w:i w:val="false"/>
            <w:iCs w:val="false"/>
            <w:color w:val="1155CC"/>
            <w:sz w:val="24"/>
            <w:szCs w:val="24"/>
            <w:u w:val="single"/>
          </w:rPr>
          <w:t xml:space="preserve">https://doi.org/10.1080/00140139.2014.948496</w:t>
        </w:r>
      </w:hyperlink>
    </w:p>
    <w:p>
      <w:pPr>
        <w:spacing w:after="120" w:line="320"/>
        <w:ind w:left="600" w:hanging="600"/>
        <w:jc w:val="both"/>
      </w:pPr>
      <w:r>
        <w:rPr>
          <w:rFonts w:ascii="Times New Roman" w:cs="Times New Roman" w:eastAsia="Times New Roman" w:hAnsi="Times New Roman"/>
          <w:sz w:val="24"/>
          <w:szCs w:val="24"/>
        </w:rPr>
        <w:t xml:space="preserve">14.</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Piepenbrock C, Mayr S, Buchner A. Positive display polarity is particularly advantageous for small character sizes: implications for display design. </w:t>
      </w:r>
      <w:r>
        <w:rPr>
          <w:rFonts w:ascii="Times New Roman" w:cs="Times New Roman" w:eastAsia="Times New Roman" w:hAnsi="Times New Roman"/>
          <w:b w:val="false"/>
          <w:bCs w:val="false"/>
          <w:i/>
          <w:iCs/>
          <w:sz w:val="24"/>
          <w:szCs w:val="24"/>
        </w:rPr>
        <w:t xml:space="preserve">Human Factors.</w:t>
      </w:r>
      <w:r>
        <w:rPr>
          <w:rFonts w:ascii="Times New Roman" w:cs="Times New Roman" w:eastAsia="Times New Roman" w:hAnsi="Times New Roman"/>
          <w:b w:val="false"/>
          <w:bCs w:val="false"/>
          <w:i w:val="false"/>
          <w:iCs w:val="false"/>
          <w:sz w:val="24"/>
          <w:szCs w:val="24"/>
        </w:rPr>
        <w:t xml:space="preserve"> 2014;56(5):942–951. </w:t>
      </w:r>
      <w:r>
        <w:rPr>
          <w:rFonts w:ascii="Times New Roman" w:cs="Times New Roman" w:eastAsia="Times New Roman" w:hAnsi="Times New Roman"/>
          <w:b w:val="false"/>
          <w:bCs w:val="false"/>
          <w:i/>
          <w:iCs/>
          <w:sz w:val="24"/>
          <w:szCs w:val="24"/>
        </w:rPr>
        <w:t xml:space="preserve">(PubMed; PMID 25141597)</w:t>
      </w:r>
      <w:r>
        <w:rPr>
          <w:rFonts w:ascii="Times New Roman" w:cs="Times New Roman" w:eastAsia="Times New Roman" w:hAnsi="Times New Roman"/>
          <w:b w:val="false"/>
          <w:bCs w:val="false"/>
          <w:i w:val="false"/>
          <w:iCs w:val="false"/>
          <w:sz w:val="24"/>
          <w:szCs w:val="24"/>
        </w:rPr>
        <w:t xml:space="preserve"> </w:t>
      </w:r>
      <w:hyperlink w:history="1" r:id="rIdra4phdcyzg8mozsehyhj8">
        <w:r>
          <w:rPr>
            <w:rFonts w:ascii="Times New Roman" w:cs="Times New Roman" w:eastAsia="Times New Roman" w:hAnsi="Times New Roman"/>
            <w:b w:val="false"/>
            <w:bCs w:val="false"/>
            <w:i w:val="false"/>
            <w:iCs w:val="false"/>
            <w:color w:val="1155CC"/>
            <w:sz w:val="24"/>
            <w:szCs w:val="24"/>
            <w:u w:val="single"/>
          </w:rPr>
          <w:t xml:space="preserve">https://doi.org/10.1177/0018720813515509</w:t>
        </w:r>
      </w:hyperlink>
    </w:p>
    <w:p>
      <w:pPr>
        <w:spacing w:after="120" w:line="320"/>
        <w:ind w:left="600" w:hanging="600"/>
        <w:jc w:val="both"/>
      </w:pPr>
      <w:r>
        <w:rPr>
          <w:rFonts w:ascii="Times New Roman" w:cs="Times New Roman" w:eastAsia="Times New Roman" w:hAnsi="Times New Roman"/>
          <w:sz w:val="24"/>
          <w:szCs w:val="24"/>
        </w:rPr>
        <w:t xml:space="preserve">15.</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Dobres J, Chahine N, Reimer B. Effects of ambient illumination, contrast polarity, and letter size on text legibility under glance-like reading. </w:t>
      </w:r>
      <w:r>
        <w:rPr>
          <w:rFonts w:ascii="Times New Roman" w:cs="Times New Roman" w:eastAsia="Times New Roman" w:hAnsi="Times New Roman"/>
          <w:b w:val="false"/>
          <w:bCs w:val="false"/>
          <w:i/>
          <w:iCs/>
          <w:sz w:val="24"/>
          <w:szCs w:val="24"/>
        </w:rPr>
        <w:t xml:space="preserve">Applied Ergonomics.</w:t>
      </w:r>
      <w:r>
        <w:rPr>
          <w:rFonts w:ascii="Times New Roman" w:cs="Times New Roman" w:eastAsia="Times New Roman" w:hAnsi="Times New Roman"/>
          <w:b w:val="false"/>
          <w:bCs w:val="false"/>
          <w:i w:val="false"/>
          <w:iCs w:val="false"/>
          <w:sz w:val="24"/>
          <w:szCs w:val="24"/>
        </w:rPr>
        <w:t xml:space="preserve"> 2017;60:68–73. </w:t>
      </w:r>
      <w:r>
        <w:rPr>
          <w:rFonts w:ascii="Times New Roman" w:cs="Times New Roman" w:eastAsia="Times New Roman" w:hAnsi="Times New Roman"/>
          <w:b w:val="false"/>
          <w:bCs w:val="false"/>
          <w:i/>
          <w:iCs/>
          <w:sz w:val="24"/>
          <w:szCs w:val="24"/>
        </w:rPr>
        <w:t xml:space="preserve">(PubMed; PMID 28166901)</w:t>
      </w:r>
      <w:r>
        <w:rPr>
          <w:rFonts w:ascii="Times New Roman" w:cs="Times New Roman" w:eastAsia="Times New Roman" w:hAnsi="Times New Roman"/>
          <w:b w:val="false"/>
          <w:bCs w:val="false"/>
          <w:i w:val="false"/>
          <w:iCs w:val="false"/>
          <w:sz w:val="24"/>
          <w:szCs w:val="24"/>
        </w:rPr>
        <w:t xml:space="preserve"> </w:t>
      </w:r>
      <w:hyperlink w:history="1" r:id="rIduxk8f9fpw80c7jrfjukwg">
        <w:r>
          <w:rPr>
            <w:rFonts w:ascii="Times New Roman" w:cs="Times New Roman" w:eastAsia="Times New Roman" w:hAnsi="Times New Roman"/>
            <w:b w:val="false"/>
            <w:bCs w:val="false"/>
            <w:i w:val="false"/>
            <w:iCs w:val="false"/>
            <w:color w:val="1155CC"/>
            <w:sz w:val="24"/>
            <w:szCs w:val="24"/>
            <w:u w:val="single"/>
          </w:rPr>
          <w:t xml:space="preserve">https://doi.org/10.1016/j.apergo.2016.11.001</w:t>
        </w:r>
      </w:hyperlink>
    </w:p>
    <w:p>
      <w:pPr>
        <w:spacing w:after="120" w:line="320"/>
        <w:ind w:left="600" w:hanging="600"/>
        <w:jc w:val="both"/>
      </w:pPr>
      <w:r>
        <w:rPr>
          <w:rFonts w:ascii="Times New Roman" w:cs="Times New Roman" w:eastAsia="Times New Roman" w:hAnsi="Times New Roman"/>
          <w:sz w:val="24"/>
          <w:szCs w:val="24"/>
        </w:rPr>
        <w:t xml:space="preserve">16.</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Dobres J, Chahine N, Reimer B, Gould D, Mehler B, Coughlin JF. Utilising psychophysical techniques to investigate the effects of age, typeface design, size and display polarity on glance legibility. </w:t>
      </w:r>
      <w:r>
        <w:rPr>
          <w:rFonts w:ascii="Times New Roman" w:cs="Times New Roman" w:eastAsia="Times New Roman" w:hAnsi="Times New Roman"/>
          <w:b w:val="false"/>
          <w:bCs w:val="false"/>
          <w:i/>
          <w:iCs/>
          <w:sz w:val="24"/>
          <w:szCs w:val="24"/>
        </w:rPr>
        <w:t xml:space="preserve">Ergonomics.</w:t>
      </w:r>
      <w:r>
        <w:rPr>
          <w:rFonts w:ascii="Times New Roman" w:cs="Times New Roman" w:eastAsia="Times New Roman" w:hAnsi="Times New Roman"/>
          <w:b w:val="false"/>
          <w:bCs w:val="false"/>
          <w:i w:val="false"/>
          <w:iCs w:val="false"/>
          <w:sz w:val="24"/>
          <w:szCs w:val="24"/>
        </w:rPr>
        <w:t xml:space="preserve"> 2016;59(10):1377–1391. </w:t>
      </w:r>
      <w:r>
        <w:rPr>
          <w:rFonts w:ascii="Times New Roman" w:cs="Times New Roman" w:eastAsia="Times New Roman" w:hAnsi="Times New Roman"/>
          <w:b w:val="false"/>
          <w:bCs w:val="false"/>
          <w:i/>
          <w:iCs/>
          <w:sz w:val="24"/>
          <w:szCs w:val="24"/>
        </w:rPr>
        <w:t xml:space="preserve">(PubMed; PMID 26727912)</w:t>
      </w:r>
      <w:r>
        <w:rPr>
          <w:rFonts w:ascii="Times New Roman" w:cs="Times New Roman" w:eastAsia="Times New Roman" w:hAnsi="Times New Roman"/>
          <w:b w:val="false"/>
          <w:bCs w:val="false"/>
          <w:i w:val="false"/>
          <w:iCs w:val="false"/>
          <w:sz w:val="24"/>
          <w:szCs w:val="24"/>
        </w:rPr>
        <w:t xml:space="preserve"> </w:t>
      </w:r>
      <w:hyperlink w:history="1" r:id="rIdvez--kj3peebwziivbkxb">
        <w:r>
          <w:rPr>
            <w:rFonts w:ascii="Times New Roman" w:cs="Times New Roman" w:eastAsia="Times New Roman" w:hAnsi="Times New Roman"/>
            <w:b w:val="false"/>
            <w:bCs w:val="false"/>
            <w:i w:val="false"/>
            <w:iCs w:val="false"/>
            <w:color w:val="1155CC"/>
            <w:sz w:val="24"/>
            <w:szCs w:val="24"/>
            <w:u w:val="single"/>
          </w:rPr>
          <w:t xml:space="preserve">https://doi.org/10.1080/00140139.2015.1137637</w:t>
        </w:r>
      </w:hyperlink>
    </w:p>
    <w:p>
      <w:pPr>
        <w:spacing w:after="120" w:line="320"/>
        <w:ind w:left="600" w:hanging="600"/>
        <w:jc w:val="both"/>
      </w:pPr>
      <w:r>
        <w:rPr>
          <w:rFonts w:ascii="Times New Roman" w:cs="Times New Roman" w:eastAsia="Times New Roman" w:hAnsi="Times New Roman"/>
          <w:sz w:val="24"/>
          <w:szCs w:val="24"/>
        </w:rPr>
        <w:t xml:space="preserve">17.</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The polarity effect in virtual and video see-through mixed reality — better proofreading performance and faster optotype identification with positive display polarity. </w:t>
      </w:r>
      <w:r>
        <w:rPr>
          <w:rFonts w:ascii="Times New Roman" w:cs="Times New Roman" w:eastAsia="Times New Roman" w:hAnsi="Times New Roman"/>
          <w:b w:val="false"/>
          <w:bCs w:val="false"/>
          <w:i/>
          <w:iCs/>
          <w:sz w:val="24"/>
          <w:szCs w:val="24"/>
        </w:rPr>
        <w:t xml:space="preserve">Ergonomics.</w:t>
      </w:r>
      <w:r>
        <w:rPr>
          <w:rFonts w:ascii="Times New Roman" w:cs="Times New Roman" w:eastAsia="Times New Roman" w:hAnsi="Times New Roman"/>
          <w:b w:val="false"/>
          <w:bCs w:val="false"/>
          <w:i w:val="false"/>
          <w:iCs w:val="false"/>
          <w:sz w:val="24"/>
          <w:szCs w:val="24"/>
        </w:rPr>
        <w:t xml:space="preserve"> 2025. </w:t>
      </w:r>
      <w:hyperlink w:history="1" r:id="rId_zap1-aeuwpy0aj2gqrh2">
        <w:r>
          <w:rPr>
            <w:rFonts w:ascii="Times New Roman" w:cs="Times New Roman" w:eastAsia="Times New Roman" w:hAnsi="Times New Roman"/>
            <w:b w:val="false"/>
            <w:bCs w:val="false"/>
            <w:i w:val="false"/>
            <w:iCs w:val="false"/>
            <w:color w:val="1155CC"/>
            <w:sz w:val="24"/>
            <w:szCs w:val="24"/>
            <w:u w:val="single"/>
          </w:rPr>
          <w:t xml:space="preserve">https://doi.org/10.1080/00140139.2025.2457470</w:t>
        </w:r>
      </w:hyperlink>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(Publisher record; author list to be completed from the final published version.)</w:t>
      </w:r>
    </w:p>
    <w:p>
      <w:pPr>
        <w:spacing w:after="120" w:line="320"/>
        <w:ind w:left="600" w:hanging="600"/>
        <w:jc w:val="both"/>
      </w:pPr>
      <w:r>
        <w:rPr>
          <w:rFonts w:ascii="Times New Roman" w:cs="Times New Roman" w:eastAsia="Times New Roman" w:hAnsi="Times New Roman"/>
          <w:sz w:val="24"/>
          <w:szCs w:val="24"/>
        </w:rPr>
        <w:t xml:space="preserve">18.</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Jiménez R, Redondo B, Molina R, Martínez-Domingo MÁ, Hernández-Andrés J, Vera J. Short-term effects of text-background color combinations on the dynamics of the accommodative response. </w:t>
      </w:r>
      <w:r>
        <w:rPr>
          <w:rFonts w:ascii="Times New Roman" w:cs="Times New Roman" w:eastAsia="Times New Roman" w:hAnsi="Times New Roman"/>
          <w:b w:val="false"/>
          <w:bCs w:val="false"/>
          <w:i/>
          <w:iCs/>
          <w:sz w:val="24"/>
          <w:szCs w:val="24"/>
        </w:rPr>
        <w:t xml:space="preserve">Vision Research.</w:t>
      </w:r>
      <w:r>
        <w:rPr>
          <w:rFonts w:ascii="Times New Roman" w:cs="Times New Roman" w:eastAsia="Times New Roman" w:hAnsi="Times New Roman"/>
          <w:b w:val="false"/>
          <w:bCs w:val="false"/>
          <w:i w:val="false"/>
          <w:iCs w:val="false"/>
          <w:sz w:val="24"/>
          <w:szCs w:val="24"/>
        </w:rPr>
        <w:t xml:space="preserve"> 2020;166:33–42. </w:t>
      </w:r>
      <w:r>
        <w:rPr>
          <w:rFonts w:ascii="Times New Roman" w:cs="Times New Roman" w:eastAsia="Times New Roman" w:hAnsi="Times New Roman"/>
          <w:b w:val="false"/>
          <w:bCs w:val="false"/>
          <w:i/>
          <w:iCs/>
          <w:sz w:val="24"/>
          <w:szCs w:val="24"/>
        </w:rPr>
        <w:t xml:space="preserve">(PubMed; PMID 31841707)</w:t>
      </w:r>
      <w:r>
        <w:rPr>
          <w:rFonts w:ascii="Times New Roman" w:cs="Times New Roman" w:eastAsia="Times New Roman" w:hAnsi="Times New Roman"/>
          <w:b w:val="false"/>
          <w:bCs w:val="false"/>
          <w:i w:val="false"/>
          <w:iCs w:val="false"/>
          <w:sz w:val="24"/>
          <w:szCs w:val="24"/>
        </w:rPr>
        <w:t xml:space="preserve"> </w:t>
      </w:r>
      <w:hyperlink w:history="1" r:id="rIdm10wmlcb_kz2um1dmxp59">
        <w:r>
          <w:rPr>
            <w:rFonts w:ascii="Times New Roman" w:cs="Times New Roman" w:eastAsia="Times New Roman" w:hAnsi="Times New Roman"/>
            <w:b w:val="false"/>
            <w:bCs w:val="false"/>
            <w:i w:val="false"/>
            <w:iCs w:val="false"/>
            <w:color w:val="1155CC"/>
            <w:sz w:val="24"/>
            <w:szCs w:val="24"/>
            <w:u w:val="single"/>
          </w:rPr>
          <w:t xml:space="preserve">https://doi.org/10.1016/j.visres.2019.11.006</w:t>
        </w:r>
      </w:hyperlink>
    </w:p>
    <w:p>
      <w:pPr>
        <w:spacing w:after="120" w:line="320"/>
        <w:ind w:left="600" w:hanging="600"/>
        <w:jc w:val="both"/>
      </w:pPr>
      <w:r>
        <w:rPr>
          <w:rFonts w:ascii="Times New Roman" w:cs="Times New Roman" w:eastAsia="Times New Roman" w:hAnsi="Times New Roman"/>
          <w:sz w:val="24"/>
          <w:szCs w:val="24"/>
        </w:rPr>
        <w:t xml:space="preserve">19.</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Fan Q, Xie J, Dong Z, Wang Y. The Effect of Ambient Illumination and Text Color on Visual Fatigue under Negative Polarity. </w:t>
      </w:r>
      <w:r>
        <w:rPr>
          <w:rFonts w:ascii="Times New Roman" w:cs="Times New Roman" w:eastAsia="Times New Roman" w:hAnsi="Times New Roman"/>
          <w:b w:val="false"/>
          <w:bCs w:val="false"/>
          <w:i/>
          <w:iCs/>
          <w:sz w:val="24"/>
          <w:szCs w:val="24"/>
        </w:rPr>
        <w:t xml:space="preserve">Sensors.</w:t>
      </w:r>
      <w:r>
        <w:rPr>
          <w:rFonts w:ascii="Times New Roman" w:cs="Times New Roman" w:eastAsia="Times New Roman" w:hAnsi="Times New Roman"/>
          <w:b w:val="false"/>
          <w:bCs w:val="false"/>
          <w:i w:val="false"/>
          <w:iCs w:val="false"/>
          <w:sz w:val="24"/>
          <w:szCs w:val="24"/>
        </w:rPr>
        <w:t xml:space="preserve"> 2024;24(11):3516. </w:t>
      </w:r>
      <w:r>
        <w:rPr>
          <w:rFonts w:ascii="Times New Roman" w:cs="Times New Roman" w:eastAsia="Times New Roman" w:hAnsi="Times New Roman"/>
          <w:b w:val="false"/>
          <w:bCs w:val="false"/>
          <w:i/>
          <w:iCs/>
          <w:sz w:val="24"/>
          <w:szCs w:val="24"/>
        </w:rPr>
        <w:t xml:space="preserve">(PubMed; PMID 38894307)</w:t>
      </w:r>
      <w:r>
        <w:rPr>
          <w:rFonts w:ascii="Times New Roman" w:cs="Times New Roman" w:eastAsia="Times New Roman" w:hAnsi="Times New Roman"/>
          <w:b w:val="false"/>
          <w:bCs w:val="false"/>
          <w:i w:val="false"/>
          <w:iCs w:val="false"/>
          <w:sz w:val="24"/>
          <w:szCs w:val="24"/>
        </w:rPr>
        <w:t xml:space="preserve"> </w:t>
      </w:r>
      <w:hyperlink w:history="1" r:id="rIdrvnjdjdtuslads0uwrgwz">
        <w:r>
          <w:rPr>
            <w:rFonts w:ascii="Times New Roman" w:cs="Times New Roman" w:eastAsia="Times New Roman" w:hAnsi="Times New Roman"/>
            <w:b w:val="false"/>
            <w:bCs w:val="false"/>
            <w:i w:val="false"/>
            <w:iCs w:val="false"/>
            <w:color w:val="1155CC"/>
            <w:sz w:val="24"/>
            <w:szCs w:val="24"/>
            <w:u w:val="single"/>
          </w:rPr>
          <w:t xml:space="preserve">https://doi.org/10.3390/s24113516</w:t>
        </w:r>
      </w:hyperlink>
    </w:p>
    <w:p>
      <w:pPr>
        <w:spacing w:after="120" w:line="320"/>
        <w:ind w:left="600" w:hanging="600"/>
        <w:jc w:val="both"/>
      </w:pPr>
      <w:r>
        <w:rPr>
          <w:rFonts w:ascii="Times New Roman" w:cs="Times New Roman" w:eastAsia="Times New Roman" w:hAnsi="Times New Roman"/>
          <w:sz w:val="24"/>
          <w:szCs w:val="24"/>
        </w:rPr>
        <w:t xml:space="preserve">20.</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Delgado P, Vargas C, Ackerman R, Salmerón L. Don't throw away your printed books: A meta-analysis on the effects of reading media on reading comprehension. </w:t>
      </w:r>
      <w:r>
        <w:rPr>
          <w:rFonts w:ascii="Times New Roman" w:cs="Times New Roman" w:eastAsia="Times New Roman" w:hAnsi="Times New Roman"/>
          <w:b w:val="false"/>
          <w:bCs w:val="false"/>
          <w:i/>
          <w:iCs/>
          <w:sz w:val="24"/>
          <w:szCs w:val="24"/>
        </w:rPr>
        <w:t xml:space="preserve">Educational Research Review.</w:t>
      </w:r>
      <w:r>
        <w:rPr>
          <w:rFonts w:ascii="Times New Roman" w:cs="Times New Roman" w:eastAsia="Times New Roman" w:hAnsi="Times New Roman"/>
          <w:b w:val="false"/>
          <w:bCs w:val="false"/>
          <w:i w:val="false"/>
          <w:iCs w:val="false"/>
          <w:sz w:val="24"/>
          <w:szCs w:val="24"/>
        </w:rPr>
        <w:t xml:space="preserve"> 2018;25:23–38. </w:t>
      </w:r>
      <w:hyperlink w:history="1" r:id="rIdohmhquvy_0nicx2jcsmvi">
        <w:r>
          <w:rPr>
            <w:rFonts w:ascii="Times New Roman" w:cs="Times New Roman" w:eastAsia="Times New Roman" w:hAnsi="Times New Roman"/>
            <w:b w:val="false"/>
            <w:bCs w:val="false"/>
            <w:i w:val="false"/>
            <w:iCs w:val="false"/>
            <w:color w:val="1155CC"/>
            <w:sz w:val="24"/>
            <w:szCs w:val="24"/>
            <w:u w:val="single"/>
          </w:rPr>
          <w:t xml:space="preserve">https://doi.org/10.1016/j.edurev.2018.09.003</w:t>
        </w:r>
      </w:hyperlink>
    </w:p>
    <w:p>
      <w:pPr>
        <w:spacing w:after="120" w:line="320"/>
        <w:ind w:left="600" w:hanging="600"/>
        <w:jc w:val="both"/>
      </w:pPr>
      <w:r>
        <w:rPr>
          <w:rFonts w:ascii="Times New Roman" w:cs="Times New Roman" w:eastAsia="Times New Roman" w:hAnsi="Times New Roman"/>
          <w:sz w:val="24"/>
          <w:szCs w:val="24"/>
        </w:rPr>
        <w:t xml:space="preserve">21.</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Warm JS, Parasuraman R, Matthews G. Vigilance requires hard mental work and is stressful. </w:t>
      </w:r>
      <w:r>
        <w:rPr>
          <w:rFonts w:ascii="Times New Roman" w:cs="Times New Roman" w:eastAsia="Times New Roman" w:hAnsi="Times New Roman"/>
          <w:b w:val="false"/>
          <w:bCs w:val="false"/>
          <w:i/>
          <w:iCs/>
          <w:sz w:val="24"/>
          <w:szCs w:val="24"/>
        </w:rPr>
        <w:t xml:space="preserve">Human Factors.</w:t>
      </w:r>
      <w:r>
        <w:rPr>
          <w:rFonts w:ascii="Times New Roman" w:cs="Times New Roman" w:eastAsia="Times New Roman" w:hAnsi="Times New Roman"/>
          <w:b w:val="false"/>
          <w:bCs w:val="false"/>
          <w:i w:val="false"/>
          <w:iCs w:val="false"/>
          <w:sz w:val="24"/>
          <w:szCs w:val="24"/>
        </w:rPr>
        <w:t xml:space="preserve"> 2008;50(3):433–441. </w:t>
      </w:r>
      <w:hyperlink w:history="1" r:id="rIdxe0ti3qtn-nj4kxhaf6wr">
        <w:r>
          <w:rPr>
            <w:rFonts w:ascii="Times New Roman" w:cs="Times New Roman" w:eastAsia="Times New Roman" w:hAnsi="Times New Roman"/>
            <w:b w:val="false"/>
            <w:bCs w:val="false"/>
            <w:i w:val="false"/>
            <w:iCs w:val="false"/>
            <w:color w:val="1155CC"/>
            <w:sz w:val="24"/>
            <w:szCs w:val="24"/>
            <w:u w:val="single"/>
          </w:rPr>
          <w:t xml:space="preserve">https://doi.org/10.1518/001872008X312152</w:t>
        </w:r>
      </w:hyperlink>
    </w:p>
    <w:p>
      <w:pPr>
        <w:spacing w:after="120" w:line="320"/>
        <w:ind w:left="600" w:hanging="600"/>
        <w:jc w:val="both"/>
      </w:pPr>
      <w:r>
        <w:rPr>
          <w:rFonts w:ascii="Times New Roman" w:cs="Times New Roman" w:eastAsia="Times New Roman" w:hAnsi="Times New Roman"/>
          <w:sz w:val="24"/>
          <w:szCs w:val="24"/>
        </w:rPr>
        <w:t xml:space="preserve">22.</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Abe T, Mollicone D, Basner M, Dinges DF. Sleepiness and Safety: Where Biology Needs Technology. </w:t>
      </w:r>
      <w:r>
        <w:rPr>
          <w:rFonts w:ascii="Times New Roman" w:cs="Times New Roman" w:eastAsia="Times New Roman" w:hAnsi="Times New Roman"/>
          <w:b w:val="false"/>
          <w:bCs w:val="false"/>
          <w:i/>
          <w:iCs/>
          <w:sz w:val="24"/>
          <w:szCs w:val="24"/>
        </w:rPr>
        <w:t xml:space="preserve">Sleep and Biological Rhythms.</w:t>
      </w:r>
      <w:r>
        <w:rPr>
          <w:rFonts w:ascii="Times New Roman" w:cs="Times New Roman" w:eastAsia="Times New Roman" w:hAnsi="Times New Roman"/>
          <w:b w:val="false"/>
          <w:bCs w:val="false"/>
          <w:i w:val="false"/>
          <w:iCs w:val="false"/>
          <w:sz w:val="24"/>
          <w:szCs w:val="24"/>
        </w:rPr>
        <w:t xml:space="preserve"> 2014;12(2):74–84. </w:t>
      </w:r>
      <w:r>
        <w:rPr>
          <w:rFonts w:ascii="Times New Roman" w:cs="Times New Roman" w:eastAsia="Times New Roman" w:hAnsi="Times New Roman"/>
          <w:b w:val="false"/>
          <w:bCs w:val="false"/>
          <w:i/>
          <w:iCs/>
          <w:sz w:val="24"/>
          <w:szCs w:val="24"/>
        </w:rPr>
        <w:t xml:space="preserve">(PubMed; PMID 24955033)</w:t>
      </w:r>
      <w:r>
        <w:rPr>
          <w:rFonts w:ascii="Times New Roman" w:cs="Times New Roman" w:eastAsia="Times New Roman" w:hAnsi="Times New Roman"/>
          <w:b w:val="false"/>
          <w:bCs w:val="false"/>
          <w:i w:val="false"/>
          <w:iCs w:val="false"/>
          <w:sz w:val="24"/>
          <w:szCs w:val="24"/>
        </w:rPr>
        <w:t xml:space="preserve"> </w:t>
      </w:r>
      <w:hyperlink w:history="1" r:id="rIdcjnj2atrdjcz28djnipag">
        <w:r>
          <w:rPr>
            <w:rFonts w:ascii="Times New Roman" w:cs="Times New Roman" w:eastAsia="Times New Roman" w:hAnsi="Times New Roman"/>
            <w:b w:val="false"/>
            <w:bCs w:val="false"/>
            <w:i w:val="false"/>
            <w:iCs w:val="false"/>
            <w:color w:val="1155CC"/>
            <w:sz w:val="24"/>
            <w:szCs w:val="24"/>
            <w:u w:val="single"/>
          </w:rPr>
          <w:t xml:space="preserve">https://doi.org/10.1111/sbr.12067</w:t>
        </w:r>
      </w:hyperlink>
    </w:p>
    <w:p>
      <w:pPr>
        <w:spacing w:after="120" w:line="320"/>
        <w:ind w:left="600" w:hanging="600"/>
        <w:jc w:val="both"/>
      </w:pPr>
      <w:r>
        <w:rPr>
          <w:rFonts w:ascii="Times New Roman" w:cs="Times New Roman" w:eastAsia="Times New Roman" w:hAnsi="Times New Roman"/>
          <w:sz w:val="24"/>
          <w:szCs w:val="24"/>
        </w:rPr>
        <w:t xml:space="preserve">23.</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Seguí MdelM, Cabrero-García J, Crespo A, Verdú J, Ronda E. A reliable and valid questionnaire was developed to measure computer vision syndrome at the workplace. </w:t>
      </w:r>
      <w:r>
        <w:rPr>
          <w:rFonts w:ascii="Times New Roman" w:cs="Times New Roman" w:eastAsia="Times New Roman" w:hAnsi="Times New Roman"/>
          <w:b w:val="false"/>
          <w:bCs w:val="false"/>
          <w:i/>
          <w:iCs/>
          <w:sz w:val="24"/>
          <w:szCs w:val="24"/>
        </w:rPr>
        <w:t xml:space="preserve">Journal of Clinical Epidemiology.</w:t>
      </w:r>
      <w:r>
        <w:rPr>
          <w:rFonts w:ascii="Times New Roman" w:cs="Times New Roman" w:eastAsia="Times New Roman" w:hAnsi="Times New Roman"/>
          <w:b w:val="false"/>
          <w:bCs w:val="false"/>
          <w:i w:val="false"/>
          <w:iCs w:val="false"/>
          <w:sz w:val="24"/>
          <w:szCs w:val="24"/>
        </w:rPr>
        <w:t xml:space="preserve"> 2015;68(6):662–673. </w:t>
      </w:r>
      <w:r>
        <w:rPr>
          <w:rFonts w:ascii="Times New Roman" w:cs="Times New Roman" w:eastAsia="Times New Roman" w:hAnsi="Times New Roman"/>
          <w:b w:val="false"/>
          <w:bCs w:val="false"/>
          <w:i/>
          <w:iCs/>
          <w:sz w:val="24"/>
          <w:szCs w:val="24"/>
        </w:rPr>
        <w:t xml:space="preserve">(PubMed; PMID 25744132)</w:t>
      </w:r>
      <w:r>
        <w:rPr>
          <w:rFonts w:ascii="Times New Roman" w:cs="Times New Roman" w:eastAsia="Times New Roman" w:hAnsi="Times New Roman"/>
          <w:b w:val="false"/>
          <w:bCs w:val="false"/>
          <w:i w:val="false"/>
          <w:iCs w:val="false"/>
          <w:sz w:val="24"/>
          <w:szCs w:val="24"/>
        </w:rPr>
        <w:t xml:space="preserve"> </w:t>
      </w:r>
      <w:hyperlink w:history="1" r:id="rIdy3dj2nvlyb2w_rivmodlo">
        <w:r>
          <w:rPr>
            <w:rFonts w:ascii="Times New Roman" w:cs="Times New Roman" w:eastAsia="Times New Roman" w:hAnsi="Times New Roman"/>
            <w:b w:val="false"/>
            <w:bCs w:val="false"/>
            <w:i w:val="false"/>
            <w:iCs w:val="false"/>
            <w:color w:val="1155CC"/>
            <w:sz w:val="24"/>
            <w:szCs w:val="24"/>
            <w:u w:val="single"/>
          </w:rPr>
          <w:t xml:space="preserve">https://doi.org/10.1016/j.jclinepi.2015.01.015</w:t>
        </w:r>
      </w:hyperlink>
    </w:p>
    <w:p>
      <w:pPr>
        <w:spacing w:after="120" w:line="320"/>
        <w:ind w:left="600" w:hanging="600"/>
        <w:jc w:val="both"/>
      </w:pPr>
      <w:r>
        <w:rPr>
          <w:rFonts w:ascii="Times New Roman" w:cs="Times New Roman" w:eastAsia="Times New Roman" w:hAnsi="Times New Roman"/>
          <w:sz w:val="24"/>
          <w:szCs w:val="24"/>
        </w:rPr>
        <w:t xml:space="preserve">24.</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Cantó-Sancho N, Linhares J, Ronda-Pérez E, Franco S, Perales E, Seguí-Crespo M. Cross-cultural validation into Portuguese of a questionnaire to assess computer vision syndrome in workers exposed to digital devices. </w:t>
      </w:r>
      <w:r>
        <w:rPr>
          <w:rFonts w:ascii="Times New Roman" w:cs="Times New Roman" w:eastAsia="Times New Roman" w:hAnsi="Times New Roman"/>
          <w:b w:val="false"/>
          <w:bCs w:val="false"/>
          <w:i/>
          <w:iCs/>
          <w:sz w:val="24"/>
          <w:szCs w:val="24"/>
        </w:rPr>
        <w:t xml:space="preserve">Arquivos Brasileiros de Oftalmologia.</w:t>
      </w:r>
      <w:r>
        <w:rPr>
          <w:rFonts w:ascii="Times New Roman" w:cs="Times New Roman" w:eastAsia="Times New Roman" w:hAnsi="Times New Roman"/>
          <w:b w:val="false"/>
          <w:bCs w:val="false"/>
          <w:i w:val="false"/>
          <w:iCs w:val="false"/>
          <w:sz w:val="24"/>
          <w:szCs w:val="24"/>
        </w:rPr>
        <w:t xml:space="preserve"> 2024;87(6):e20220256. </w:t>
      </w:r>
      <w:r>
        <w:rPr>
          <w:rFonts w:ascii="Times New Roman" w:cs="Times New Roman" w:eastAsia="Times New Roman" w:hAnsi="Times New Roman"/>
          <w:b w:val="false"/>
          <w:bCs w:val="false"/>
          <w:i/>
          <w:iCs/>
          <w:sz w:val="24"/>
          <w:szCs w:val="24"/>
        </w:rPr>
        <w:t xml:space="preserve">(PubMed; PMID 37878876)</w:t>
      </w:r>
      <w:r>
        <w:rPr>
          <w:rFonts w:ascii="Times New Roman" w:cs="Times New Roman" w:eastAsia="Times New Roman" w:hAnsi="Times New Roman"/>
          <w:b w:val="false"/>
          <w:bCs w:val="false"/>
          <w:i w:val="false"/>
          <w:iCs w:val="false"/>
          <w:sz w:val="24"/>
          <w:szCs w:val="24"/>
        </w:rPr>
        <w:t xml:space="preserve"> </w:t>
      </w:r>
      <w:hyperlink w:history="1" r:id="rId-dtcynfc9p0kaj6wshfp_">
        <w:r>
          <w:rPr>
            <w:rFonts w:ascii="Times New Roman" w:cs="Times New Roman" w:eastAsia="Times New Roman" w:hAnsi="Times New Roman"/>
            <w:b w:val="false"/>
            <w:bCs w:val="false"/>
            <w:i w:val="false"/>
            <w:iCs w:val="false"/>
            <w:color w:val="1155CC"/>
            <w:sz w:val="24"/>
            <w:szCs w:val="24"/>
            <w:u w:val="single"/>
          </w:rPr>
          <w:t xml:space="preserve">https://doi.org/10.5935/0004-2749.2022-0256</w:t>
        </w:r>
      </w:hyperlink>
    </w:p>
    <w:p>
      <w:pPr>
        <w:spacing w:after="120" w:line="320"/>
        <w:ind w:left="600" w:hanging="600"/>
        <w:jc w:val="both"/>
      </w:pPr>
      <w:r>
        <w:rPr>
          <w:rFonts w:ascii="Times New Roman" w:cs="Times New Roman" w:eastAsia="Times New Roman" w:hAnsi="Times New Roman"/>
          <w:sz w:val="24"/>
          <w:szCs w:val="24"/>
        </w:rPr>
        <w:t xml:space="preserve">25.</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Seguí-Crespo MdelM, Cantó Sancho N, Ronda E, Colombo R, Porru S, Carta A. [Italian cross-cultural adaptation of the Computer Vision Syndrome Questionnaire]. </w:t>
      </w:r>
      <w:r>
        <w:rPr>
          <w:rFonts w:ascii="Times New Roman" w:cs="Times New Roman" w:eastAsia="Times New Roman" w:hAnsi="Times New Roman"/>
          <w:b w:val="false"/>
          <w:bCs w:val="false"/>
          <w:i/>
          <w:iCs/>
          <w:sz w:val="24"/>
          <w:szCs w:val="24"/>
        </w:rPr>
        <w:t xml:space="preserve">La Medicina del Lavoro.</w:t>
      </w:r>
      <w:r>
        <w:rPr>
          <w:rFonts w:ascii="Times New Roman" w:cs="Times New Roman" w:eastAsia="Times New Roman" w:hAnsi="Times New Roman"/>
          <w:b w:val="false"/>
          <w:bCs w:val="false"/>
          <w:i w:val="false"/>
          <w:iCs w:val="false"/>
          <w:sz w:val="24"/>
          <w:szCs w:val="24"/>
        </w:rPr>
        <w:t xml:space="preserve"> 2019;110(1):37–45. </w:t>
      </w:r>
      <w:r>
        <w:rPr>
          <w:rFonts w:ascii="Times New Roman" w:cs="Times New Roman" w:eastAsia="Times New Roman" w:hAnsi="Times New Roman"/>
          <w:b w:val="false"/>
          <w:bCs w:val="false"/>
          <w:i/>
          <w:iCs/>
          <w:sz w:val="24"/>
          <w:szCs w:val="24"/>
        </w:rPr>
        <w:t xml:space="preserve">(PubMed; PMID 30794247; in Italian)</w:t>
      </w:r>
      <w:r>
        <w:rPr>
          <w:rFonts w:ascii="Times New Roman" w:cs="Times New Roman" w:eastAsia="Times New Roman" w:hAnsi="Times New Roman"/>
          <w:b w:val="false"/>
          <w:bCs w:val="false"/>
          <w:i w:val="false"/>
          <w:iCs w:val="false"/>
          <w:sz w:val="24"/>
          <w:szCs w:val="24"/>
        </w:rPr>
        <w:t xml:space="preserve"> </w:t>
      </w:r>
      <w:hyperlink w:history="1" r:id="rIdoxate13kw5kdkrdgiwhub">
        <w:r>
          <w:rPr>
            <w:rFonts w:ascii="Times New Roman" w:cs="Times New Roman" w:eastAsia="Times New Roman" w:hAnsi="Times New Roman"/>
            <w:b w:val="false"/>
            <w:bCs w:val="false"/>
            <w:i w:val="false"/>
            <w:iCs w:val="false"/>
            <w:color w:val="1155CC"/>
            <w:sz w:val="24"/>
            <w:szCs w:val="24"/>
            <w:u w:val="single"/>
          </w:rPr>
          <w:t xml:space="preserve">https://doi.org/10.23749/mdl.v110i1.7499</w:t>
        </w:r>
      </w:hyperlink>
    </w:p>
    <w:p>
      <w:pPr>
        <w:spacing w:after="120" w:line="320"/>
        <w:ind w:left="600" w:hanging="600"/>
        <w:jc w:val="both"/>
      </w:pPr>
      <w:r>
        <w:rPr>
          <w:rFonts w:ascii="Times New Roman" w:cs="Times New Roman" w:eastAsia="Times New Roman" w:hAnsi="Times New Roman"/>
          <w:sz w:val="24"/>
          <w:szCs w:val="24"/>
        </w:rPr>
        <w:t xml:space="preserve">26.</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Portello JK, Rosenfield M, Chu CA. Blink rate, incomplete blinks and computer vision syndrome. </w:t>
      </w:r>
      <w:r>
        <w:rPr>
          <w:rFonts w:ascii="Times New Roman" w:cs="Times New Roman" w:eastAsia="Times New Roman" w:hAnsi="Times New Roman"/>
          <w:b w:val="false"/>
          <w:bCs w:val="false"/>
          <w:i/>
          <w:iCs/>
          <w:sz w:val="24"/>
          <w:szCs w:val="24"/>
        </w:rPr>
        <w:t xml:space="preserve">Optometry and Vision Science.</w:t>
      </w:r>
      <w:r>
        <w:rPr>
          <w:rFonts w:ascii="Times New Roman" w:cs="Times New Roman" w:eastAsia="Times New Roman" w:hAnsi="Times New Roman"/>
          <w:b w:val="false"/>
          <w:bCs w:val="false"/>
          <w:i w:val="false"/>
          <w:iCs w:val="false"/>
          <w:sz w:val="24"/>
          <w:szCs w:val="24"/>
        </w:rPr>
        <w:t xml:space="preserve"> 2013;90(5):482–487. </w:t>
      </w:r>
      <w:r>
        <w:rPr>
          <w:rFonts w:ascii="Times New Roman" w:cs="Times New Roman" w:eastAsia="Times New Roman" w:hAnsi="Times New Roman"/>
          <w:b w:val="false"/>
          <w:bCs w:val="false"/>
          <w:i/>
          <w:iCs/>
          <w:sz w:val="24"/>
          <w:szCs w:val="24"/>
        </w:rPr>
        <w:t xml:space="preserve">(PubMed; PMID 23538437)</w:t>
      </w:r>
      <w:r>
        <w:rPr>
          <w:rFonts w:ascii="Times New Roman" w:cs="Times New Roman" w:eastAsia="Times New Roman" w:hAnsi="Times New Roman"/>
          <w:b w:val="false"/>
          <w:bCs w:val="false"/>
          <w:i w:val="false"/>
          <w:iCs w:val="false"/>
          <w:sz w:val="24"/>
          <w:szCs w:val="24"/>
        </w:rPr>
        <w:t xml:space="preserve"> </w:t>
      </w:r>
      <w:hyperlink w:history="1" r:id="rIde3t6dhfxepwqzojeqnsqm">
        <w:r>
          <w:rPr>
            <w:rFonts w:ascii="Times New Roman" w:cs="Times New Roman" w:eastAsia="Times New Roman" w:hAnsi="Times New Roman"/>
            <w:b w:val="false"/>
            <w:bCs w:val="false"/>
            <w:i w:val="false"/>
            <w:iCs w:val="false"/>
            <w:color w:val="1155CC"/>
            <w:sz w:val="24"/>
            <w:szCs w:val="24"/>
            <w:u w:val="single"/>
          </w:rPr>
          <w:t xml:space="preserve">https://doi.org/10.1097/OPX.0b013e31828f09a7</w:t>
        </w:r>
      </w:hyperlink>
    </w:p>
    <w:p>
      <w:pPr>
        <w:spacing w:after="120" w:line="320"/>
        <w:ind w:left="600" w:hanging="600"/>
        <w:jc w:val="both"/>
      </w:pPr>
      <w:r>
        <w:rPr>
          <w:rFonts w:ascii="Times New Roman" w:cs="Times New Roman" w:eastAsia="Times New Roman" w:hAnsi="Times New Roman"/>
          <w:sz w:val="24"/>
          <w:szCs w:val="24"/>
        </w:rPr>
        <w:t xml:space="preserve">27.</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Argilés M, Cardona G, Pérez-Cabré E, Rodríguez M. Blink Rate and Incomplete Blinks in Six Different Controlled Hard-Copy and Electronic Reading Conditions. </w:t>
      </w:r>
      <w:r>
        <w:rPr>
          <w:rFonts w:ascii="Times New Roman" w:cs="Times New Roman" w:eastAsia="Times New Roman" w:hAnsi="Times New Roman"/>
          <w:b w:val="false"/>
          <w:bCs w:val="false"/>
          <w:i/>
          <w:iCs/>
          <w:sz w:val="24"/>
          <w:szCs w:val="24"/>
        </w:rPr>
        <w:t xml:space="preserve">Investigative Ophthalmology &amp; Visual Science.</w:t>
      </w:r>
      <w:r>
        <w:rPr>
          <w:rFonts w:ascii="Times New Roman" w:cs="Times New Roman" w:eastAsia="Times New Roman" w:hAnsi="Times New Roman"/>
          <w:b w:val="false"/>
          <w:bCs w:val="false"/>
          <w:i w:val="false"/>
          <w:iCs w:val="false"/>
          <w:sz w:val="24"/>
          <w:szCs w:val="24"/>
        </w:rPr>
        <w:t xml:space="preserve"> 2015;56(11):6679–6685. </w:t>
      </w:r>
      <w:r>
        <w:rPr>
          <w:rFonts w:ascii="Times New Roman" w:cs="Times New Roman" w:eastAsia="Times New Roman" w:hAnsi="Times New Roman"/>
          <w:b w:val="false"/>
          <w:bCs w:val="false"/>
          <w:i/>
          <w:iCs/>
          <w:sz w:val="24"/>
          <w:szCs w:val="24"/>
        </w:rPr>
        <w:t xml:space="preserve">(PubMed; PMID 26517404)</w:t>
      </w:r>
      <w:r>
        <w:rPr>
          <w:rFonts w:ascii="Times New Roman" w:cs="Times New Roman" w:eastAsia="Times New Roman" w:hAnsi="Times New Roman"/>
          <w:b w:val="false"/>
          <w:bCs w:val="false"/>
          <w:i w:val="false"/>
          <w:iCs w:val="false"/>
          <w:sz w:val="24"/>
          <w:szCs w:val="24"/>
        </w:rPr>
        <w:t xml:space="preserve"> </w:t>
      </w:r>
      <w:hyperlink w:history="1" r:id="rId-frjup4kalev0wlizjbei">
        <w:r>
          <w:rPr>
            <w:rFonts w:ascii="Times New Roman" w:cs="Times New Roman" w:eastAsia="Times New Roman" w:hAnsi="Times New Roman"/>
            <w:b w:val="false"/>
            <w:bCs w:val="false"/>
            <w:i w:val="false"/>
            <w:iCs w:val="false"/>
            <w:color w:val="1155CC"/>
            <w:sz w:val="24"/>
            <w:szCs w:val="24"/>
            <w:u w:val="single"/>
          </w:rPr>
          <w:t xml:space="preserve">https://doi.org/10.1167/iovs.15-16967</w:t>
        </w:r>
      </w:hyperlink>
    </w:p>
    <w:p>
      <w:pPr>
        <w:spacing w:after="120" w:line="320"/>
        <w:ind w:left="600" w:hanging="600"/>
        <w:jc w:val="both"/>
      </w:pPr>
      <w:r>
        <w:rPr>
          <w:rFonts w:ascii="Times New Roman" w:cs="Times New Roman" w:eastAsia="Times New Roman" w:hAnsi="Times New Roman"/>
          <w:sz w:val="24"/>
          <w:szCs w:val="24"/>
        </w:rPr>
        <w:t xml:space="preserve">28.</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Cardona G, García C, Serés C, Vilaseca M, Gispets J. Blink rate, blink amplitude, and tear film integrity during dynamic visual display terminal tasks. </w:t>
      </w:r>
      <w:r>
        <w:rPr>
          <w:rFonts w:ascii="Times New Roman" w:cs="Times New Roman" w:eastAsia="Times New Roman" w:hAnsi="Times New Roman"/>
          <w:b w:val="false"/>
          <w:bCs w:val="false"/>
          <w:i/>
          <w:iCs/>
          <w:sz w:val="24"/>
          <w:szCs w:val="24"/>
        </w:rPr>
        <w:t xml:space="preserve">Current Eye Research.</w:t>
      </w:r>
      <w:r>
        <w:rPr>
          <w:rFonts w:ascii="Times New Roman" w:cs="Times New Roman" w:eastAsia="Times New Roman" w:hAnsi="Times New Roman"/>
          <w:b w:val="false"/>
          <w:bCs w:val="false"/>
          <w:i w:val="false"/>
          <w:iCs w:val="false"/>
          <w:sz w:val="24"/>
          <w:szCs w:val="24"/>
        </w:rPr>
        <w:t xml:space="preserve"> 2011;36(3):190–197. </w:t>
      </w:r>
      <w:r>
        <w:rPr>
          <w:rFonts w:ascii="Times New Roman" w:cs="Times New Roman" w:eastAsia="Times New Roman" w:hAnsi="Times New Roman"/>
          <w:b w:val="false"/>
          <w:bCs w:val="false"/>
          <w:i/>
          <w:iCs/>
          <w:sz w:val="24"/>
          <w:szCs w:val="24"/>
        </w:rPr>
        <w:t xml:space="preserve">(PubMed; PMID 21275516)</w:t>
      </w:r>
      <w:r>
        <w:rPr>
          <w:rFonts w:ascii="Times New Roman" w:cs="Times New Roman" w:eastAsia="Times New Roman" w:hAnsi="Times New Roman"/>
          <w:b w:val="false"/>
          <w:bCs w:val="false"/>
          <w:i w:val="false"/>
          <w:iCs w:val="false"/>
          <w:sz w:val="24"/>
          <w:szCs w:val="24"/>
        </w:rPr>
        <w:t xml:space="preserve"> </w:t>
      </w:r>
      <w:hyperlink w:history="1" r:id="rIdpj-njihddtqwu3v63qlgu">
        <w:r>
          <w:rPr>
            <w:rFonts w:ascii="Times New Roman" w:cs="Times New Roman" w:eastAsia="Times New Roman" w:hAnsi="Times New Roman"/>
            <w:b w:val="false"/>
            <w:bCs w:val="false"/>
            <w:i w:val="false"/>
            <w:iCs w:val="false"/>
            <w:color w:val="1155CC"/>
            <w:sz w:val="24"/>
            <w:szCs w:val="24"/>
            <w:u w:val="single"/>
          </w:rPr>
          <w:t xml:space="preserve">https://doi.org/10.3109/02713683.2010.544442</w:t>
        </w:r>
      </w:hyperlink>
    </w:p>
    <w:p>
      <w:pPr>
        <w:spacing w:after="120" w:line="320"/>
        <w:ind w:left="600" w:hanging="600"/>
        <w:jc w:val="both"/>
      </w:pPr>
      <w:r>
        <w:rPr>
          <w:rFonts w:ascii="Times New Roman" w:cs="Times New Roman" w:eastAsia="Times New Roman" w:hAnsi="Times New Roman"/>
          <w:sz w:val="24"/>
          <w:szCs w:val="24"/>
        </w:rPr>
        <w:t xml:space="preserve">29.</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Hirota M, Uozato H, Kawamorita T, Shibata Y, Yamamoto S. Effect of incomplete blinking on tear film stability. </w:t>
      </w:r>
      <w:r>
        <w:rPr>
          <w:rFonts w:ascii="Times New Roman" w:cs="Times New Roman" w:eastAsia="Times New Roman" w:hAnsi="Times New Roman"/>
          <w:b w:val="false"/>
          <w:bCs w:val="false"/>
          <w:i/>
          <w:iCs/>
          <w:sz w:val="24"/>
          <w:szCs w:val="24"/>
        </w:rPr>
        <w:t xml:space="preserve">Optometry and Vision Science.</w:t>
      </w:r>
      <w:r>
        <w:rPr>
          <w:rFonts w:ascii="Times New Roman" w:cs="Times New Roman" w:eastAsia="Times New Roman" w:hAnsi="Times New Roman"/>
          <w:b w:val="false"/>
          <w:bCs w:val="false"/>
          <w:i w:val="false"/>
          <w:iCs w:val="false"/>
          <w:sz w:val="24"/>
          <w:szCs w:val="24"/>
        </w:rPr>
        <w:t xml:space="preserve"> 2013;90(7):650–657. </w:t>
      </w:r>
      <w:r>
        <w:rPr>
          <w:rFonts w:ascii="Times New Roman" w:cs="Times New Roman" w:eastAsia="Times New Roman" w:hAnsi="Times New Roman"/>
          <w:b w:val="false"/>
          <w:bCs w:val="false"/>
          <w:i/>
          <w:iCs/>
          <w:sz w:val="24"/>
          <w:szCs w:val="24"/>
        </w:rPr>
        <w:t xml:space="preserve">(PubMed; PMID 23770659)</w:t>
      </w:r>
      <w:r>
        <w:rPr>
          <w:rFonts w:ascii="Times New Roman" w:cs="Times New Roman" w:eastAsia="Times New Roman" w:hAnsi="Times New Roman"/>
          <w:b w:val="false"/>
          <w:bCs w:val="false"/>
          <w:i w:val="false"/>
          <w:iCs w:val="false"/>
          <w:sz w:val="24"/>
          <w:szCs w:val="24"/>
        </w:rPr>
        <w:t xml:space="preserve"> </w:t>
      </w:r>
      <w:hyperlink w:history="1" r:id="rIdzjmtsl7udxstj-s_qkggl">
        <w:r>
          <w:rPr>
            <w:rFonts w:ascii="Times New Roman" w:cs="Times New Roman" w:eastAsia="Times New Roman" w:hAnsi="Times New Roman"/>
            <w:b w:val="false"/>
            <w:bCs w:val="false"/>
            <w:i w:val="false"/>
            <w:iCs w:val="false"/>
            <w:color w:val="1155CC"/>
            <w:sz w:val="24"/>
            <w:szCs w:val="24"/>
            <w:u w:val="single"/>
          </w:rPr>
          <w:t xml:space="preserve">https://doi.org/10.1097/OPX.0b013e31829962ec</w:t>
        </w:r>
      </w:hyperlink>
    </w:p>
    <w:p>
      <w:pPr>
        <w:spacing w:after="120" w:line="320"/>
        <w:ind w:left="600" w:hanging="600"/>
        <w:jc w:val="both"/>
      </w:pPr>
      <w:r>
        <w:rPr>
          <w:rFonts w:ascii="Times New Roman" w:cs="Times New Roman" w:eastAsia="Times New Roman" w:hAnsi="Times New Roman"/>
          <w:sz w:val="24"/>
          <w:szCs w:val="24"/>
        </w:rPr>
        <w:t xml:space="preserve">30.</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Redondo B, Jiménez R, Vera J, Rosenfield M. The impact of break schedules on digital eye strain symptoms and ocular accommodation during prolonged near work. </w:t>
      </w:r>
      <w:r>
        <w:rPr>
          <w:rFonts w:ascii="Times New Roman" w:cs="Times New Roman" w:eastAsia="Times New Roman" w:hAnsi="Times New Roman"/>
          <w:b w:val="false"/>
          <w:bCs w:val="false"/>
          <w:i/>
          <w:iCs/>
          <w:sz w:val="24"/>
          <w:szCs w:val="24"/>
        </w:rPr>
        <w:t xml:space="preserve">Experimental Eye Research.</w:t>
      </w:r>
      <w:r>
        <w:rPr>
          <w:rFonts w:ascii="Times New Roman" w:cs="Times New Roman" w:eastAsia="Times New Roman" w:hAnsi="Times New Roman"/>
          <w:b w:val="false"/>
          <w:bCs w:val="false"/>
          <w:i w:val="false"/>
          <w:iCs w:val="false"/>
          <w:sz w:val="24"/>
          <w:szCs w:val="24"/>
        </w:rPr>
        <w:t xml:space="preserve"> 2025;258:110463. </w:t>
      </w:r>
      <w:r>
        <w:rPr>
          <w:rFonts w:ascii="Times New Roman" w:cs="Times New Roman" w:eastAsia="Times New Roman" w:hAnsi="Times New Roman"/>
          <w:b w:val="false"/>
          <w:bCs w:val="false"/>
          <w:i/>
          <w:iCs/>
          <w:sz w:val="24"/>
          <w:szCs w:val="24"/>
        </w:rPr>
        <w:t xml:space="preserve">(PubMed; PMID 40466853)</w:t>
      </w:r>
      <w:r>
        <w:rPr>
          <w:rFonts w:ascii="Times New Roman" w:cs="Times New Roman" w:eastAsia="Times New Roman" w:hAnsi="Times New Roman"/>
          <w:b w:val="false"/>
          <w:bCs w:val="false"/>
          <w:i w:val="false"/>
          <w:iCs w:val="false"/>
          <w:sz w:val="24"/>
          <w:szCs w:val="24"/>
        </w:rPr>
        <w:t xml:space="preserve"> </w:t>
      </w:r>
      <w:hyperlink w:history="1" r:id="rIdvewy1obts7tcp71fdwm1m">
        <w:r>
          <w:rPr>
            <w:rFonts w:ascii="Times New Roman" w:cs="Times New Roman" w:eastAsia="Times New Roman" w:hAnsi="Times New Roman"/>
            <w:b w:val="false"/>
            <w:bCs w:val="false"/>
            <w:i w:val="false"/>
            <w:iCs w:val="false"/>
            <w:color w:val="1155CC"/>
            <w:sz w:val="24"/>
            <w:szCs w:val="24"/>
            <w:u w:val="single"/>
          </w:rPr>
          <w:t xml:space="preserve">https://doi.org/10.1016/j.exer.2025.110463</w:t>
        </w:r>
      </w:hyperlink>
    </w:p>
    <w:p>
      <w:pPr>
        <w:spacing w:after="120" w:line="320"/>
        <w:ind w:left="600" w:hanging="600"/>
        <w:jc w:val="both"/>
      </w:pPr>
      <w:r>
        <w:rPr>
          <w:rFonts w:ascii="Times New Roman" w:cs="Times New Roman" w:eastAsia="Times New Roman" w:hAnsi="Times New Roman"/>
          <w:sz w:val="24"/>
          <w:szCs w:val="24"/>
        </w:rPr>
        <w:t xml:space="preserve">31.</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Abe T. PERCLOS-based technologies for detecting drowsiness: current evidence and future directions. </w:t>
      </w:r>
      <w:r>
        <w:rPr>
          <w:rFonts w:ascii="Times New Roman" w:cs="Times New Roman" w:eastAsia="Times New Roman" w:hAnsi="Times New Roman"/>
          <w:b w:val="false"/>
          <w:bCs w:val="false"/>
          <w:i/>
          <w:iCs/>
          <w:sz w:val="24"/>
          <w:szCs w:val="24"/>
        </w:rPr>
        <w:t xml:space="preserve">SLEEP Advances.</w:t>
      </w:r>
      <w:r>
        <w:rPr>
          <w:rFonts w:ascii="Times New Roman" w:cs="Times New Roman" w:eastAsia="Times New Roman" w:hAnsi="Times New Roman"/>
          <w:b w:val="false"/>
          <w:bCs w:val="false"/>
          <w:i w:val="false"/>
          <w:iCs w:val="false"/>
          <w:sz w:val="24"/>
          <w:szCs w:val="24"/>
        </w:rPr>
        <w:t xml:space="preserve"> 2023;4(1):zpad006. </w:t>
      </w:r>
      <w:r>
        <w:rPr>
          <w:rFonts w:ascii="Times New Roman" w:cs="Times New Roman" w:eastAsia="Times New Roman" w:hAnsi="Times New Roman"/>
          <w:b w:val="false"/>
          <w:bCs w:val="false"/>
          <w:i/>
          <w:iCs/>
          <w:sz w:val="24"/>
          <w:szCs w:val="24"/>
        </w:rPr>
        <w:t xml:space="preserve">(PubMed; PMID 37193281)</w:t>
      </w:r>
      <w:r>
        <w:rPr>
          <w:rFonts w:ascii="Times New Roman" w:cs="Times New Roman" w:eastAsia="Times New Roman" w:hAnsi="Times New Roman"/>
          <w:b w:val="false"/>
          <w:bCs w:val="false"/>
          <w:i w:val="false"/>
          <w:iCs w:val="false"/>
          <w:sz w:val="24"/>
          <w:szCs w:val="24"/>
        </w:rPr>
        <w:t xml:space="preserve"> </w:t>
      </w:r>
      <w:hyperlink w:history="1" r:id="rIdjsjwcqzxkhhrwirmawjbj">
        <w:r>
          <w:rPr>
            <w:rFonts w:ascii="Times New Roman" w:cs="Times New Roman" w:eastAsia="Times New Roman" w:hAnsi="Times New Roman"/>
            <w:b w:val="false"/>
            <w:bCs w:val="false"/>
            <w:i w:val="false"/>
            <w:iCs w:val="false"/>
            <w:color w:val="1155CC"/>
            <w:sz w:val="24"/>
            <w:szCs w:val="24"/>
            <w:u w:val="single"/>
          </w:rPr>
          <w:t xml:space="preserve">https://doi.org/10.1093/sleepadvances/zpad006</w:t>
        </w:r>
      </w:hyperlink>
    </w:p>
    <w:p>
      <w:pPr>
        <w:spacing w:after="120" w:line="320"/>
        <w:ind w:left="600" w:hanging="600"/>
        <w:jc w:val="both"/>
      </w:pPr>
      <w:r>
        <w:rPr>
          <w:rFonts w:ascii="Times New Roman" w:cs="Times New Roman" w:eastAsia="Times New Roman" w:hAnsi="Times New Roman"/>
          <w:sz w:val="24"/>
          <w:szCs w:val="24"/>
        </w:rPr>
        <w:t xml:space="preserve">32.</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Jackson ML, Raj S, Croft RJ, Hayley AC, Downey LA, Kennedy GA, Howard ME. Slow eyelid closure as a measure of driver drowsiness and its relationship to performance. </w:t>
      </w:r>
      <w:r>
        <w:rPr>
          <w:rFonts w:ascii="Times New Roman" w:cs="Times New Roman" w:eastAsia="Times New Roman" w:hAnsi="Times New Roman"/>
          <w:b w:val="false"/>
          <w:bCs w:val="false"/>
          <w:i/>
          <w:iCs/>
          <w:sz w:val="24"/>
          <w:szCs w:val="24"/>
        </w:rPr>
        <w:t xml:space="preserve">Traffic Injury Prevention.</w:t>
      </w:r>
      <w:r>
        <w:rPr>
          <w:rFonts w:ascii="Times New Roman" w:cs="Times New Roman" w:eastAsia="Times New Roman" w:hAnsi="Times New Roman"/>
          <w:b w:val="false"/>
          <w:bCs w:val="false"/>
          <w:i w:val="false"/>
          <w:iCs w:val="false"/>
          <w:sz w:val="24"/>
          <w:szCs w:val="24"/>
        </w:rPr>
        <w:t xml:space="preserve"> 2016;17(3):251–257. </w:t>
      </w:r>
      <w:r>
        <w:rPr>
          <w:rFonts w:ascii="Times New Roman" w:cs="Times New Roman" w:eastAsia="Times New Roman" w:hAnsi="Times New Roman"/>
          <w:b w:val="false"/>
          <w:bCs w:val="false"/>
          <w:i/>
          <w:iCs/>
          <w:sz w:val="24"/>
          <w:szCs w:val="24"/>
        </w:rPr>
        <w:t xml:space="preserve">(PubMed; PMID 26065627)</w:t>
      </w:r>
      <w:r>
        <w:rPr>
          <w:rFonts w:ascii="Times New Roman" w:cs="Times New Roman" w:eastAsia="Times New Roman" w:hAnsi="Times New Roman"/>
          <w:b w:val="false"/>
          <w:bCs w:val="false"/>
          <w:i w:val="false"/>
          <w:iCs w:val="false"/>
          <w:sz w:val="24"/>
          <w:szCs w:val="24"/>
        </w:rPr>
        <w:t xml:space="preserve"> </w:t>
      </w:r>
      <w:hyperlink w:history="1" r:id="rIdwcj6iaaulg9pvndmfczsj">
        <w:r>
          <w:rPr>
            <w:rFonts w:ascii="Times New Roman" w:cs="Times New Roman" w:eastAsia="Times New Roman" w:hAnsi="Times New Roman"/>
            <w:b w:val="false"/>
            <w:bCs w:val="false"/>
            <w:i w:val="false"/>
            <w:iCs w:val="false"/>
            <w:color w:val="1155CC"/>
            <w:sz w:val="24"/>
            <w:szCs w:val="24"/>
            <w:u w:val="single"/>
          </w:rPr>
          <w:t xml:space="preserve">https://doi.org/10.1080/15389588.2015.1055327</w:t>
        </w:r>
      </w:hyperlink>
    </w:p>
    <w:p>
      <w:pPr>
        <w:spacing w:after="120" w:line="320"/>
        <w:ind w:left="600" w:hanging="600"/>
        <w:jc w:val="both"/>
      </w:pPr>
      <w:r>
        <w:rPr>
          <w:rFonts w:ascii="Times New Roman" w:cs="Times New Roman" w:eastAsia="Times New Roman" w:hAnsi="Times New Roman"/>
          <w:sz w:val="24"/>
          <w:szCs w:val="24"/>
        </w:rPr>
        <w:t xml:space="preserve">33.</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Klinke T, Hannak W, Böning K, Jakstat H. A Comparative Study of the Sensitivity and Specificity of the Ishihara Test With Various Displays. </w:t>
      </w:r>
      <w:r>
        <w:rPr>
          <w:rFonts w:ascii="Times New Roman" w:cs="Times New Roman" w:eastAsia="Times New Roman" w:hAnsi="Times New Roman"/>
          <w:b w:val="false"/>
          <w:bCs w:val="false"/>
          <w:i/>
          <w:iCs/>
          <w:sz w:val="24"/>
          <w:szCs w:val="24"/>
        </w:rPr>
        <w:t xml:space="preserve">International Dental Journal.</w:t>
      </w:r>
      <w:r>
        <w:rPr>
          <w:rFonts w:ascii="Times New Roman" w:cs="Times New Roman" w:eastAsia="Times New Roman" w:hAnsi="Times New Roman"/>
          <w:b w:val="false"/>
          <w:bCs w:val="false"/>
          <w:i w:val="false"/>
          <w:iCs w:val="false"/>
          <w:sz w:val="24"/>
          <w:szCs w:val="24"/>
        </w:rPr>
        <w:t xml:space="preserve"> 2024;74(4):892–896. </w:t>
      </w:r>
      <w:r>
        <w:rPr>
          <w:rFonts w:ascii="Times New Roman" w:cs="Times New Roman" w:eastAsia="Times New Roman" w:hAnsi="Times New Roman"/>
          <w:b w:val="false"/>
          <w:bCs w:val="false"/>
          <w:i/>
          <w:iCs/>
          <w:sz w:val="24"/>
          <w:szCs w:val="24"/>
        </w:rPr>
        <w:t xml:space="preserve">(PubMed; PMID 38228434)</w:t>
      </w:r>
      <w:r>
        <w:rPr>
          <w:rFonts w:ascii="Times New Roman" w:cs="Times New Roman" w:eastAsia="Times New Roman" w:hAnsi="Times New Roman"/>
          <w:b w:val="false"/>
          <w:bCs w:val="false"/>
          <w:i w:val="false"/>
          <w:iCs w:val="false"/>
          <w:sz w:val="24"/>
          <w:szCs w:val="24"/>
        </w:rPr>
        <w:t xml:space="preserve"> </w:t>
      </w:r>
      <w:hyperlink w:history="1" r:id="rIdugpbb3z3tmyvxz2pujv8f">
        <w:r>
          <w:rPr>
            <w:rFonts w:ascii="Times New Roman" w:cs="Times New Roman" w:eastAsia="Times New Roman" w:hAnsi="Times New Roman"/>
            <w:b w:val="false"/>
            <w:bCs w:val="false"/>
            <w:i w:val="false"/>
            <w:iCs w:val="false"/>
            <w:color w:val="1155CC"/>
            <w:sz w:val="24"/>
            <w:szCs w:val="24"/>
            <w:u w:val="single"/>
          </w:rPr>
          <w:t xml:space="preserve">https://doi.org/10.1016/j.identj.2023.12.009</w:t>
        </w:r>
      </w:hyperlink>
    </w:p>
    <w:p>
      <w:pPr>
        <w:spacing w:after="120" w:line="320"/>
        <w:ind w:left="600" w:hanging="600"/>
        <w:jc w:val="both"/>
      </w:pPr>
      <w:r>
        <w:rPr>
          <w:rFonts w:ascii="Times New Roman" w:cs="Times New Roman" w:eastAsia="Times New Roman" w:hAnsi="Times New Roman"/>
          <w:sz w:val="24"/>
          <w:szCs w:val="24"/>
        </w:rPr>
        <w:t xml:space="preserve">34.</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Pavel IA, Bogdanici CM, Donica VC, Anton N, Savu B, Chiriac CP, Pavel CD, Salavastru SC. Computer Vision Syndrome: An Ophthalmic Pathology of the Modern Era. </w:t>
      </w:r>
      <w:r>
        <w:rPr>
          <w:rFonts w:ascii="Times New Roman" w:cs="Times New Roman" w:eastAsia="Times New Roman" w:hAnsi="Times New Roman"/>
          <w:b w:val="false"/>
          <w:bCs w:val="false"/>
          <w:i/>
          <w:iCs/>
          <w:sz w:val="24"/>
          <w:szCs w:val="24"/>
        </w:rPr>
        <w:t xml:space="preserve">Medicina.</w:t>
      </w:r>
      <w:r>
        <w:rPr>
          <w:rFonts w:ascii="Times New Roman" w:cs="Times New Roman" w:eastAsia="Times New Roman" w:hAnsi="Times New Roman"/>
          <w:b w:val="false"/>
          <w:bCs w:val="false"/>
          <w:i w:val="false"/>
          <w:iCs w:val="false"/>
          <w:sz w:val="24"/>
          <w:szCs w:val="24"/>
        </w:rPr>
        <w:t xml:space="preserve"> 2023;59(2):412. </w:t>
      </w:r>
      <w:r>
        <w:rPr>
          <w:rFonts w:ascii="Times New Roman" w:cs="Times New Roman" w:eastAsia="Times New Roman" w:hAnsi="Times New Roman"/>
          <w:b w:val="false"/>
          <w:bCs w:val="false"/>
          <w:i/>
          <w:iCs/>
          <w:sz w:val="24"/>
          <w:szCs w:val="24"/>
        </w:rPr>
        <w:t xml:space="preserve">(PubMed; PMID 36837613)</w:t>
      </w:r>
      <w:r>
        <w:rPr>
          <w:rFonts w:ascii="Times New Roman" w:cs="Times New Roman" w:eastAsia="Times New Roman" w:hAnsi="Times New Roman"/>
          <w:b w:val="false"/>
          <w:bCs w:val="false"/>
          <w:i w:val="false"/>
          <w:iCs w:val="false"/>
          <w:sz w:val="24"/>
          <w:szCs w:val="24"/>
        </w:rPr>
        <w:t xml:space="preserve"> </w:t>
      </w:r>
      <w:hyperlink w:history="1" r:id="rIdbil75aiqgac60_dgpzgst">
        <w:r>
          <w:rPr>
            <w:rFonts w:ascii="Times New Roman" w:cs="Times New Roman" w:eastAsia="Times New Roman" w:hAnsi="Times New Roman"/>
            <w:b w:val="false"/>
            <w:bCs w:val="false"/>
            <w:i w:val="false"/>
            <w:iCs w:val="false"/>
            <w:color w:val="1155CC"/>
            <w:sz w:val="24"/>
            <w:szCs w:val="24"/>
            <w:u w:val="single"/>
          </w:rPr>
          <w:t xml:space="preserve">https://doi.org/10.3390/medicina59020412</w:t>
        </w:r>
      </w:hyperlink>
    </w:p>
    <w:p>
      <w:pPr>
        <w:spacing w:after="120" w:line="320"/>
        <w:ind w:left="600" w:hanging="600"/>
        <w:jc w:val="both"/>
      </w:pPr>
      <w:r>
        <w:rPr>
          <w:rFonts w:ascii="Times New Roman" w:cs="Times New Roman" w:eastAsia="Times New Roman" w:hAnsi="Times New Roman"/>
          <w:sz w:val="24"/>
          <w:szCs w:val="24"/>
        </w:rPr>
        <w:t xml:space="preserve">35.</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Soukupová T, Čech J. Real-Time Eye Blink Detection using Facial Landmarks. In: </w:t>
      </w:r>
      <w:r>
        <w:rPr>
          <w:rFonts w:ascii="Times New Roman" w:cs="Times New Roman" w:eastAsia="Times New Roman" w:hAnsi="Times New Roman"/>
          <w:b w:val="false"/>
          <w:bCs w:val="false"/>
          <w:i/>
          <w:iCs/>
          <w:sz w:val="24"/>
          <w:szCs w:val="24"/>
        </w:rPr>
        <w:t xml:space="preserve">Proceedings of the 21st Computer Vision Winter Workshop (CVWW).</w:t>
      </w:r>
      <w:r>
        <w:rPr>
          <w:rFonts w:ascii="Times New Roman" w:cs="Times New Roman" w:eastAsia="Times New Roman" w:hAnsi="Times New Roman"/>
          <w:b w:val="false"/>
          <w:bCs w:val="false"/>
          <w:i w:val="false"/>
          <w:iCs w:val="false"/>
          <w:sz w:val="24"/>
          <w:szCs w:val="24"/>
        </w:rPr>
        <w:t xml:space="preserve"> Rimske Toplice, Slovenia; 2016. </w:t>
      </w:r>
      <w:r>
        <w:rPr>
          <w:rFonts w:ascii="Times New Roman" w:cs="Times New Roman" w:eastAsia="Times New Roman" w:hAnsi="Times New Roman"/>
          <w:b w:val="false"/>
          <w:bCs w:val="false"/>
          <w:i/>
          <w:iCs/>
          <w:sz w:val="24"/>
          <w:szCs w:val="24"/>
        </w:rPr>
        <w:t xml:space="preserve">(Peer-reviewed workshop proceedings; no journal DOI. Cited as the methodological origin of the eye-aspect-ratio metric.)</w:t>
      </w:r>
    </w:p>
    <w:p>
      <w:pPr>
        <w:spacing w:after="120" w:line="320"/>
        <w:ind w:left="600" w:hanging="600"/>
        <w:jc w:val="both"/>
      </w:pPr>
      <w:r>
        <w:rPr>
          <w:rFonts w:ascii="Times New Roman" w:cs="Times New Roman" w:eastAsia="Times New Roman" w:hAnsi="Times New Roman"/>
          <w:sz w:val="24"/>
          <w:szCs w:val="24"/>
        </w:rPr>
        <w:t xml:space="preserve">36.</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World Wide Web Consortium (W3C). </w:t>
      </w:r>
      <w:r>
        <w:rPr>
          <w:rFonts w:ascii="Times New Roman" w:cs="Times New Roman" w:eastAsia="Times New Roman" w:hAnsi="Times New Roman"/>
          <w:b w:val="false"/>
          <w:bCs w:val="false"/>
          <w:i/>
          <w:iCs/>
          <w:sz w:val="24"/>
          <w:szCs w:val="24"/>
        </w:rPr>
        <w:t xml:space="preserve">Web Content Accessibility Guidelines (WCAG) 2.1 / 2.2</w:t>
      </w:r>
      <w:r>
        <w:rPr>
          <w:rFonts w:ascii="Times New Roman" w:cs="Times New Roman" w:eastAsia="Times New Roman" w:hAnsi="Times New Roman"/>
          <w:b w:val="false"/>
          <w:bCs w:val="false"/>
          <w:i w:val="false"/>
          <w:iCs w:val="false"/>
          <w:sz w:val="24"/>
          <w:szCs w:val="24"/>
        </w:rPr>
        <w:t xml:space="preserve"> — Success Criterion 1.4.3 (Contrast (Minimum)) and 1.4.6 (Contrast (Enhanced)); definition of contrast ratio and relative luminance. W3C Recommendation. </w:t>
      </w:r>
      <w:hyperlink w:history="1" r:id="rIddufr9lhkop5sknlaf3v_g">
        <w:r>
          <w:rPr>
            <w:rFonts w:ascii="Times New Roman" w:cs="Times New Roman" w:eastAsia="Times New Roman" w:hAnsi="Times New Roman"/>
            <w:b w:val="false"/>
            <w:bCs w:val="false"/>
            <w:i w:val="false"/>
            <w:iCs w:val="false"/>
            <w:color w:val="1155CC"/>
            <w:sz w:val="24"/>
            <w:szCs w:val="24"/>
            <w:u w:val="single"/>
          </w:rPr>
          <w:t xml:space="preserve">https://www.w3.org/TR/WCAG22/</w:t>
        </w:r>
      </w:hyperlink>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(Technical standard, not peer-reviewed research.)</w:t>
      </w:r>
    </w:p>
    <w:p>
      <w:pPr>
        <w:spacing w:after="120" w:line="320"/>
        <w:ind w:left="600" w:hanging="600"/>
        <w:jc w:val="both"/>
      </w:pPr>
      <w:r>
        <w:rPr>
          <w:rFonts w:ascii="Times New Roman" w:cs="Times New Roman" w:eastAsia="Times New Roman" w:hAnsi="Times New Roman"/>
          <w:sz w:val="24"/>
          <w:szCs w:val="24"/>
        </w:rPr>
        <w:t xml:space="preserve">37.</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Advanced Perceptual Contrast Algorithm (APCA) — candidate perceptual contrast method under development for a future generation of the accessibility guidelines, incorporating polarity and typographic parameters. </w:t>
      </w:r>
      <w:hyperlink w:history="1" r:id="rIdvb1njg37ozrgyrqdqysql">
        <w:r>
          <w:rPr>
            <w:rFonts w:ascii="Times New Roman" w:cs="Times New Roman" w:eastAsia="Times New Roman" w:hAnsi="Times New Roman"/>
            <w:b w:val="false"/>
            <w:bCs w:val="false"/>
            <w:i w:val="false"/>
            <w:iCs w:val="false"/>
            <w:color w:val="1155CC"/>
            <w:sz w:val="24"/>
            <w:szCs w:val="24"/>
            <w:u w:val="single"/>
          </w:rPr>
          <w:t xml:space="preserve">https://git.apcacontrast.com/</w:t>
        </w:r>
      </w:hyperlink>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(Draft technical specification, not peer-reviewed research. Cited only to document that limitations of the current contrast standard are formally recognised.)</w:t>
      </w:r>
    </w:p>
    <w:p>
      <w:pPr>
        <w:pBdr>
          <w:bottom w:val="single" w:color="AAAAAA" w:sz="6" w:space="1"/>
        </w:pBdr>
        <w:spacing w:after="200" w:before="120"/>
      </w:pPr>
      <w:r>
        <w:rPr>
          <w:rFonts w:ascii="Times New Roman" w:cs="Times New Roman" w:eastAsia="Times New Roman" w:hAnsi="Times New Roman"/>
          <w:sz w:val="24"/>
          <w:szCs w:val="24"/>
        </w:rPr>
        <w:t xml:space="preserve"/>
      </w:r>
    </w:p>
    <w:p>
      <w:pPr>
        <w:pStyle w:val="Heading2"/>
        <w:keepNext/>
        <w:spacing w:after="160" w:before="280"/>
      </w:pPr>
      <w:r>
        <w:rPr>
          <w:rFonts w:ascii="Times New Roman" w:cs="Times New Roman" w:eastAsia="Times New Roman" w:hAnsi="Times New Roman"/>
          <w:b/>
          <w:bCs/>
          <w:i w:val="false"/>
          <w:iCs w:val="false"/>
          <w:sz w:val="28"/>
          <w:szCs w:val="28"/>
        </w:rPr>
        <w:t xml:space="preserve">Appendix A — Evidence table: display polarity, text colour and contrast</w:t>
      </w:r>
    </w:p>
    <w:tbl>
      <w:tblPr>
        <w:tblW w:type="dxa" w:w="9026"/>
        <w:tblBorders>
          <w:top w:val="single" w:color="8899AA" w:sz="4"/>
          <w:left w:val="single" w:color="8899AA" w:sz="4"/>
          <w:bottom w:val="single" w:color="8899AA" w:sz="4"/>
          <w:right w:val="single" w:color="8899AA" w:sz="4"/>
          <w:insideH w:val="single" w:color="BBC4CC" w:sz="2"/>
          <w:insideV w:val="single" w:color="BBC4CC" w:sz="2"/>
        </w:tblBorders>
      </w:tblPr>
      <w:tblGrid>
        <w:gridCol w:w="965"/>
        <w:gridCol w:w="1383"/>
        <w:gridCol w:w="1983"/>
        <w:gridCol w:w="2348"/>
        <w:gridCol w:w="2347"/>
      </w:tblGrid>
      <w:tr>
        <w:trPr>
          <w:tblHeader/>
        </w:trPr>
        <w:tc>
          <w:tcPr>
            <w:tcW w:type="dxa" w:w="965"/>
            <w:shd w:fill="E8EEF7" w:color="auto" w:val="clear"/>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0"/>
                <w:szCs w:val="20"/>
              </w:rPr>
              <w:t xml:space="preserve">Study</w:t>
            </w:r>
          </w:p>
        </w:tc>
        <w:tc>
          <w:tcPr>
            <w:tcW w:type="dxa" w:w="1383"/>
            <w:shd w:fill="E8EEF7" w:color="auto" w:val="clear"/>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0"/>
                <w:szCs w:val="20"/>
              </w:rPr>
              <w:t xml:space="preserve">Design &amp; sample</w:t>
            </w:r>
          </w:p>
        </w:tc>
        <w:tc>
          <w:tcPr>
            <w:tcW w:type="dxa" w:w="1983"/>
            <w:shd w:fill="E8EEF7" w:color="auto" w:val="clear"/>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0"/>
                <w:szCs w:val="20"/>
              </w:rPr>
              <w:t xml:space="preserve">Manipulation</w:t>
            </w:r>
          </w:p>
        </w:tc>
        <w:tc>
          <w:tcPr>
            <w:tcW w:type="dxa" w:w="2348"/>
            <w:shd w:fill="E8EEF7" w:color="auto" w:val="clear"/>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0"/>
                <w:szCs w:val="20"/>
              </w:rPr>
              <w:t xml:space="preserve">Outcomes</w:t>
            </w:r>
          </w:p>
        </w:tc>
        <w:tc>
          <w:tcPr>
            <w:tcW w:type="dxa" w:w="2347"/>
            <w:shd w:fill="E8EEF7" w:color="auto" w:val="clear"/>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0"/>
                <w:szCs w:val="20"/>
              </w:rPr>
              <w:t xml:space="preserve">Principal finding</w:t>
            </w:r>
          </w:p>
        </w:tc>
      </w:tr>
      <w:tr>
        <w:tc>
          <w:tcPr>
            <w:tcW w:type="dxa" w:w="965"/>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Buchner &amp; Baumgartner 2007 [12]</w:t>
            </w:r>
          </w:p>
        </w:tc>
        <w:tc>
          <w:tcPr>
            <w:tcW w:type="dxa" w:w="1383"/>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Series of experiments</w:t>
            </w:r>
          </w:p>
        </w:tc>
        <w:tc>
          <w:tcPr>
            <w:tcW w:type="dxa" w:w="1983"/>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Polarity × ambient illumination × chromaticity; colour vs luminance contrast</w:t>
            </w:r>
          </w:p>
        </w:tc>
        <w:tc>
          <w:tcPr>
            <w:tcW w:type="dxa" w:w="2348"/>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Proofreading performance; autonomic indices (HR, HRV, respiration, skin conductance); self-reported strain</w:t>
            </w:r>
          </w:p>
        </w:tc>
        <w:tc>
          <w:tcPr>
            <w:tcW w:type="dxa" w:w="2347"/>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Positive polarity advantage, </w:t>
            </w:r>
            <w:r>
              <w:rPr>
                <w:rFonts w:ascii="Times New Roman" w:cs="Times New Roman" w:eastAsia="Times New Roman" w:hAnsi="Times New Roman"/>
                <w:b/>
                <w:bCs/>
                <w:i w:val="false"/>
                <w:iCs w:val="false"/>
                <w:sz w:val="20"/>
                <w:szCs w:val="20"/>
              </w:rPr>
              <w:t xml:space="preserve">independent of ambient lighting and chromaticity</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i w:val="false"/>
                <w:iCs w:val="false"/>
                <w:sz w:val="20"/>
                <w:szCs w:val="20"/>
              </w:rPr>
              <w:t xml:space="preserve">colour contrast cannot compensate for absent luminance contrast</w:t>
            </w:r>
            <w:r>
              <w:rPr>
                <w:rFonts w:ascii="Times New Roman" w:cs="Times New Roman" w:eastAsia="Times New Roman" w:hAnsi="Times New Roman"/>
                <w:b w:val="false"/>
                <w:bCs w:val="false"/>
                <w:i w:val="false"/>
                <w:iCs w:val="false"/>
                <w:sz w:val="20"/>
                <w:szCs w:val="20"/>
              </w:rPr>
              <w:t xml:space="preserve">; no differences in effort/strain indices</w:t>
            </w:r>
          </w:p>
        </w:tc>
      </w:tr>
      <w:tr>
        <w:tc>
          <w:tcPr>
            <w:tcW w:type="dxa" w:w="965"/>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Piepenbrock et al. 2014 [13]</w:t>
            </w:r>
          </w:p>
        </w:tc>
        <w:tc>
          <w:tcPr>
            <w:tcW w:type="dxa" w:w="1383"/>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Experimental, pupillometry</w:t>
            </w:r>
          </w:p>
        </w:tc>
        <w:tc>
          <w:tcPr>
            <w:tcW w:type="dxa" w:w="1983"/>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Polarity</w:t>
            </w:r>
          </w:p>
        </w:tc>
        <w:tc>
          <w:tcPr>
            <w:tcW w:type="dxa" w:w="2348"/>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Pupil size; proofreading</w:t>
            </w:r>
          </w:p>
        </w:tc>
        <w:tc>
          <w:tcPr>
            <w:tcW w:type="dxa" w:w="2347"/>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Smaller pupils </w:t>
            </w:r>
            <w:r>
              <w:rPr>
                <w:rFonts w:ascii="Times New Roman" w:cs="Times New Roman" w:eastAsia="Times New Roman" w:hAnsi="Times New Roman"/>
                <w:b/>
                <w:bCs/>
                <w:i w:val="false"/>
                <w:iCs w:val="false"/>
                <w:sz w:val="20"/>
                <w:szCs w:val="20"/>
              </w:rPr>
              <w:t xml:space="preserve">and</w:t>
            </w:r>
            <w:r>
              <w:rPr>
                <w:rFonts w:ascii="Times New Roman" w:cs="Times New Roman" w:eastAsia="Times New Roman" w:hAnsi="Times New Roman"/>
                <w:b w:val="false"/>
                <w:bCs w:val="false"/>
                <w:i w:val="false"/>
                <w:iCs w:val="false"/>
                <w:sz w:val="20"/>
                <w:szCs w:val="20"/>
              </w:rPr>
              <w:t xml:space="preserve"> better performance with positive polarity — supports display-luminance hypothesis</w:t>
            </w:r>
          </w:p>
        </w:tc>
      </w:tr>
      <w:tr>
        <w:tc>
          <w:tcPr>
            <w:tcW w:type="dxa" w:w="965"/>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Piepenbrock et al. 2014 [14]</w:t>
            </w:r>
          </w:p>
        </w:tc>
        <w:tc>
          <w:tcPr>
            <w:tcW w:type="dxa" w:w="1383"/>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Experimental</w:t>
            </w:r>
          </w:p>
        </w:tc>
        <w:tc>
          <w:tcPr>
            <w:tcW w:type="dxa" w:w="1983"/>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Polarity × character size (8/10/12/14 pt)</w:t>
            </w:r>
          </w:p>
        </w:tc>
        <w:tc>
          <w:tcPr>
            <w:tcW w:type="dxa" w:w="2348"/>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Proofreading</w:t>
            </w:r>
          </w:p>
        </w:tc>
        <w:tc>
          <w:tcPr>
            <w:tcW w:type="dxa" w:w="2347"/>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PPA </w:t>
            </w:r>
            <w:r>
              <w:rPr>
                <w:rFonts w:ascii="Times New Roman" w:cs="Times New Roman" w:eastAsia="Times New Roman" w:hAnsi="Times New Roman"/>
                <w:b/>
                <w:bCs/>
                <w:i w:val="false"/>
                <w:iCs w:val="false"/>
                <w:sz w:val="20"/>
                <w:szCs w:val="20"/>
              </w:rPr>
              <w:t xml:space="preserve">increased linearly as character size decreased</w:t>
            </w:r>
            <w:r>
              <w:rPr>
                <w:rFonts w:ascii="Times New Roman" w:cs="Times New Roman" w:eastAsia="Times New Roman" w:hAnsi="Times New Roman"/>
                <w:b w:val="false"/>
                <w:bCs w:val="false"/>
                <w:i w:val="false"/>
                <w:iCs w:val="false"/>
                <w:sz w:val="20"/>
                <w:szCs w:val="20"/>
              </w:rPr>
              <w:t xml:space="preserve">; avoid negative polarity at small sizes</w:t>
            </w:r>
          </w:p>
        </w:tc>
      </w:tr>
      <w:tr>
        <w:tc>
          <w:tcPr>
            <w:tcW w:type="dxa" w:w="965"/>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Dobres et al. 2017 [15]</w:t>
            </w:r>
          </w:p>
        </w:tc>
        <w:tc>
          <w:tcPr>
            <w:tcW w:type="dxa" w:w="1383"/>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Psychophysical, lexical decision</w:t>
            </w:r>
          </w:p>
        </w:tc>
        <w:tc>
          <w:tcPr>
            <w:tcW w:type="dxa" w:w="1983"/>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Polarity × ambient illumination (near-dark vs daylight-like) × type size</w:t>
            </w:r>
          </w:p>
        </w:tc>
        <w:tc>
          <w:tcPr>
            <w:tcW w:type="dxa" w:w="2348"/>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Legibility threshold (time to read accurately)</w:t>
            </w:r>
          </w:p>
        </w:tc>
        <w:tc>
          <w:tcPr>
            <w:tcW w:type="dxa" w:w="2347"/>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Thresholds </w:t>
            </w:r>
            <w:r>
              <w:rPr>
                <w:rFonts w:ascii="Times New Roman" w:cs="Times New Roman" w:eastAsia="Times New Roman" w:hAnsi="Times New Roman"/>
                <w:b/>
                <w:bCs/>
                <w:i w:val="false"/>
                <w:iCs w:val="false"/>
                <w:sz w:val="20"/>
                <w:szCs w:val="20"/>
              </w:rPr>
              <w:t xml:space="preserve">worst for negative polarity under dark ambient</w:t>
            </w:r>
            <w:r>
              <w:rPr>
                <w:rFonts w:ascii="Times New Roman" w:cs="Times New Roman" w:eastAsia="Times New Roman" w:hAnsi="Times New Roman"/>
                <w:b w:val="false"/>
                <w:bCs w:val="false"/>
                <w:i w:val="false"/>
                <w:iCs w:val="false"/>
                <w:sz w:val="20"/>
                <w:szCs w:val="20"/>
              </w:rPr>
              <w:t xml:space="preserve">; positive polarity or bright ambient both improved legibility</w:t>
            </w:r>
          </w:p>
        </w:tc>
      </w:tr>
      <w:tr>
        <w:tc>
          <w:tcPr>
            <w:tcW w:type="dxa" w:w="965"/>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Dobres et al. 2016 [16]</w:t>
            </w:r>
          </w:p>
        </w:tc>
        <w:tc>
          <w:tcPr>
            <w:tcW w:type="dxa" w:w="1383"/>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Psychophysical, adaptive staircase</w:t>
            </w:r>
          </w:p>
        </w:tc>
        <w:tc>
          <w:tcPr>
            <w:tcW w:type="dxa" w:w="1983"/>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Typeface × polarity (Study I); × size (Study II); age</w:t>
            </w:r>
          </w:p>
        </w:tc>
        <w:tc>
          <w:tcPr>
            <w:tcW w:type="dxa" w:w="2348"/>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Stimulus-duration threshold</w:t>
            </w:r>
          </w:p>
        </w:tc>
        <w:tc>
          <w:tcPr>
            <w:tcW w:type="dxa" w:w="2347"/>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Black-on-white significantly more legible than white-on-black; typeface × age interaction</w:t>
            </w:r>
          </w:p>
        </w:tc>
      </w:tr>
      <w:tr>
        <w:tc>
          <w:tcPr>
            <w:tcW w:type="dxa" w:w="965"/>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Jiménez et al. 2020 [18]</w:t>
            </w:r>
          </w:p>
        </w:tc>
        <w:tc>
          <w:tcPr>
            <w:tcW w:type="dxa" w:w="1383"/>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Within-subjects, N = 20; open-field autorefractometer</w:t>
            </w:r>
          </w:p>
        </w:tc>
        <w:tc>
          <w:tcPr>
            <w:tcW w:type="dxa" w:w="1983"/>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0"/>
                <w:szCs w:val="20"/>
              </w:rPr>
              <w:t xml:space="preserve">14 text–background colour combinations</w:t>
            </w:r>
            <w:r>
              <w:rPr>
                <w:rFonts w:ascii="Times New Roman" w:cs="Times New Roman" w:eastAsia="Times New Roman" w:hAnsi="Times New Roman"/>
                <w:b w:val="false"/>
                <w:bCs w:val="false"/>
                <w:i w:val="false"/>
                <w:iCs w:val="false"/>
                <w:sz w:val="20"/>
                <w:szCs w:val="20"/>
              </w:rPr>
              <w:t xml:space="preserve">, 2-min passages</w:t>
            </w:r>
          </w:p>
        </w:tc>
        <w:tc>
          <w:tcPr>
            <w:tcW w:type="dxa" w:w="2348"/>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Accommodative response &amp; variability; pupil size; perceived legibility; reading speed</w:t>
            </w:r>
          </w:p>
        </w:tc>
        <w:tc>
          <w:tcPr>
            <w:tcW w:type="dxa" w:w="2347"/>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Colour modulates accommodative/pupillary dynamics; blue-on-red raised accommodative response; positive polarity → smaller pupils, more accommodative variability; low-contrast pair rated less legible; </w:t>
            </w:r>
            <w:r>
              <w:rPr>
                <w:rFonts w:ascii="Times New Roman" w:cs="Times New Roman" w:eastAsia="Times New Roman" w:hAnsi="Times New Roman"/>
                <w:b/>
                <w:bCs/>
                <w:i w:val="false"/>
                <w:iCs w:val="false"/>
                <w:sz w:val="20"/>
                <w:szCs w:val="20"/>
              </w:rPr>
              <w:t xml:space="preserve">no effect on reading speed</w:t>
            </w:r>
          </w:p>
        </w:tc>
      </w:tr>
      <w:tr>
        <w:tc>
          <w:tcPr>
            <w:tcW w:type="dxa" w:w="965"/>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Fan et al. 2024 [19]</w:t>
            </w:r>
          </w:p>
        </w:tc>
        <w:tc>
          <w:tcPr>
            <w:tcW w:type="dxa" w:w="1383"/>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Experimental; eye tracker</w:t>
            </w:r>
          </w:p>
        </w:tc>
        <w:tc>
          <w:tcPr>
            <w:tcW w:type="dxa" w:w="1983"/>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Ambient illumination × text colour, </w:t>
            </w:r>
            <w:r>
              <w:rPr>
                <w:rFonts w:ascii="Times New Roman" w:cs="Times New Roman" w:eastAsia="Times New Roman" w:hAnsi="Times New Roman"/>
                <w:b/>
                <w:bCs/>
                <w:i w:val="false"/>
                <w:iCs w:val="false"/>
                <w:sz w:val="20"/>
                <w:szCs w:val="20"/>
              </w:rPr>
              <w:t xml:space="preserve">negative polarity only</w:t>
            </w:r>
          </w:p>
        </w:tc>
        <w:tc>
          <w:tcPr>
            <w:tcW w:type="dxa" w:w="2348"/>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Visual fatigue (pupil accommodation, blink rate); cognitive performance</w:t>
            </w:r>
          </w:p>
        </w:tc>
        <w:tc>
          <w:tcPr>
            <w:tcW w:type="dxa" w:w="2347"/>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0"/>
                <w:szCs w:val="20"/>
              </w:rPr>
              <w:t xml:space="preserve">Red text worst, yellow best</w:t>
            </w:r>
            <w:r>
              <w:rPr>
                <w:rFonts w:ascii="Times New Roman" w:cs="Times New Roman" w:eastAsia="Times New Roman" w:hAnsi="Times New Roman"/>
                <w:b w:val="false"/>
                <w:bCs w:val="false"/>
                <w:i w:val="false"/>
                <w:iCs w:val="false"/>
                <w:sz w:val="20"/>
                <w:szCs w:val="20"/>
              </w:rPr>
              <w:t xml:space="preserve"> for visual fatigue; better illumination reduced fatigue but </w:t>
            </w:r>
            <w:r>
              <w:rPr>
                <w:rFonts w:ascii="Times New Roman" w:cs="Times New Roman" w:eastAsia="Times New Roman" w:hAnsi="Times New Roman"/>
                <w:b/>
                <w:bCs/>
                <w:i w:val="false"/>
                <w:iCs w:val="false"/>
                <w:sz w:val="20"/>
                <w:szCs w:val="20"/>
              </w:rPr>
              <w:t xml:space="preserve">magnitude depended on text colour</w:t>
            </w:r>
            <w:r>
              <w:rPr>
                <w:rFonts w:ascii="Times New Roman" w:cs="Times New Roman" w:eastAsia="Times New Roman" w:hAnsi="Times New Roman"/>
                <w:b w:val="false"/>
                <w:bCs w:val="false"/>
                <w:i w:val="false"/>
                <w:iCs w:val="false"/>
                <w:sz w:val="20"/>
                <w:szCs w:val="20"/>
              </w:rPr>
              <w:t xml:space="preserve">; performance better with yellow/white, worse with red</w:t>
            </w:r>
          </w:p>
        </w:tc>
      </w:tr>
      <w:tr>
        <w:tc>
          <w:tcPr>
            <w:tcW w:type="dxa" w:w="965"/>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Mixed-reality polarity study 2025 [17]</w:t>
            </w:r>
          </w:p>
        </w:tc>
        <w:tc>
          <w:tcPr>
            <w:tcW w:type="dxa" w:w="1383"/>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Experimental</w:t>
            </w:r>
          </w:p>
        </w:tc>
        <w:tc>
          <w:tcPr>
            <w:tcW w:type="dxa" w:w="1983"/>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Polarity in VR and video see-through MR</w:t>
            </w:r>
          </w:p>
        </w:tc>
        <w:tc>
          <w:tcPr>
            <w:tcW w:type="dxa" w:w="2348"/>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Proofreading; optotype identification</w:t>
            </w:r>
          </w:p>
        </w:tc>
        <w:tc>
          <w:tcPr>
            <w:tcW w:type="dxa" w:w="2347"/>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PPA replicated in mixed reality</w:t>
            </w:r>
          </w:p>
        </w:tc>
      </w:tr>
    </w:tbl>
    <w:p>
      <w:pPr>
        <w:spacing w:after="200"/>
      </w:pPr>
      <w:r>
        <w:rPr>
          <w:sz w:val="12"/>
          <w:szCs w:val="12"/>
        </w:rPr>
        <w:t xml:space="preserve"/>
      </w:r>
    </w:p>
    <w:p>
      <w:pPr>
        <w:pStyle w:val="Heading2"/>
        <w:keepNext/>
        <w:spacing w:after="160" w:before="280"/>
      </w:pPr>
      <w:r>
        <w:rPr>
          <w:rFonts w:ascii="Times New Roman" w:cs="Times New Roman" w:eastAsia="Times New Roman" w:hAnsi="Times New Roman"/>
          <w:b/>
          <w:bCs/>
          <w:i w:val="false"/>
          <w:iCs w:val="false"/>
          <w:sz w:val="28"/>
          <w:szCs w:val="28"/>
        </w:rPr>
        <w:t xml:space="preserve">Appendix B — Evidence table: ocular markers and measurement instruments</w:t>
      </w:r>
    </w:p>
    <w:tbl>
      <w:tblPr>
        <w:tblW w:type="dxa" w:w="9026"/>
        <w:tblBorders>
          <w:top w:val="single" w:color="8899AA" w:sz="4"/>
          <w:left w:val="single" w:color="8899AA" w:sz="4"/>
          <w:bottom w:val="single" w:color="8899AA" w:sz="4"/>
          <w:right w:val="single" w:color="8899AA" w:sz="4"/>
          <w:insideH w:val="single" w:color="BBC4CC" w:sz="2"/>
          <w:insideV w:val="single" w:color="BBC4CC" w:sz="2"/>
        </w:tblBorders>
      </w:tblPr>
      <w:tblGrid>
        <w:gridCol w:w="916"/>
        <w:gridCol w:w="2224"/>
        <w:gridCol w:w="2943"/>
        <w:gridCol w:w="2943"/>
      </w:tblGrid>
      <w:tr>
        <w:trPr>
          <w:tblHeader/>
        </w:trPr>
        <w:tc>
          <w:tcPr>
            <w:tcW w:type="dxa" w:w="916"/>
            <w:shd w:fill="E8EEF7" w:color="auto" w:val="clear"/>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0"/>
                <w:szCs w:val="20"/>
              </w:rPr>
              <w:t xml:space="preserve">Study / source</w:t>
            </w:r>
          </w:p>
        </w:tc>
        <w:tc>
          <w:tcPr>
            <w:tcW w:type="dxa" w:w="2224"/>
            <w:shd w:fill="E8EEF7" w:color="auto" w:val="clear"/>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0"/>
                <w:szCs w:val="20"/>
              </w:rPr>
              <w:t xml:space="preserve">Focus</w:t>
            </w:r>
          </w:p>
        </w:tc>
        <w:tc>
          <w:tcPr>
            <w:tcW w:type="dxa" w:w="2943"/>
            <w:shd w:fill="E8EEF7" w:color="auto" w:val="clear"/>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0"/>
                <w:szCs w:val="20"/>
              </w:rPr>
              <w:t xml:space="preserve">Key quantitative finding</w:t>
            </w:r>
          </w:p>
        </w:tc>
        <w:tc>
          <w:tcPr>
            <w:tcW w:type="dxa" w:w="2943"/>
            <w:shd w:fill="E8EEF7" w:color="auto" w:val="clear"/>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0"/>
                <w:szCs w:val="20"/>
              </w:rPr>
              <w:t xml:space="preserve">Role in the present research</w:t>
            </w:r>
          </w:p>
        </w:tc>
      </w:tr>
      <w:tr>
        <w:tc>
          <w:tcPr>
            <w:tcW w:type="dxa" w:w="916"/>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Portello et al. 2013 [26]</w:t>
            </w:r>
          </w:p>
        </w:tc>
        <w:tc>
          <w:tcPr>
            <w:tcW w:type="dxa" w:w="2224"/>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Blink rate, incomplete blinks, CVS symptoms; 15-min reading at 50 cm</w:t>
            </w:r>
          </w:p>
        </w:tc>
        <w:tc>
          <w:tcPr>
            <w:tcW w:type="dxa" w:w="2943"/>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Blink rate 11.6/min (SD 7.84); incomplete blinks 0.9–56.5% (mean 16.1%, SD 15.7); </w:t>
            </w:r>
            <w:r>
              <w:rPr>
                <w:rFonts w:ascii="Times New Roman" w:cs="Times New Roman" w:eastAsia="Times New Roman" w:hAnsi="Times New Roman"/>
                <w:b/>
                <w:bCs/>
                <w:i w:val="false"/>
                <w:iCs w:val="false"/>
                <w:sz w:val="20"/>
                <w:szCs w:val="20"/>
              </w:rPr>
              <w:t xml:space="preserve">symptom score ↔ % incomplete blinks p = 0.002</w:t>
            </w:r>
            <w:r>
              <w:rPr>
                <w:rFonts w:ascii="Times New Roman" w:cs="Times New Roman" w:eastAsia="Times New Roman" w:hAnsi="Times New Roman"/>
                <w:b w:val="false"/>
                <w:bCs w:val="false"/>
                <w:i w:val="false"/>
                <w:iCs w:val="false"/>
                <w:sz w:val="20"/>
                <w:szCs w:val="20"/>
              </w:rPr>
              <w:t xml:space="preserve">; forcing rate to 23.5/min did </w:t>
            </w:r>
            <w:r>
              <w:rPr>
                <w:rFonts w:ascii="Times New Roman" w:cs="Times New Roman" w:eastAsia="Times New Roman" w:hAnsi="Times New Roman"/>
                <w:b/>
                <w:bCs/>
                <w:i w:val="false"/>
                <w:iCs w:val="false"/>
                <w:sz w:val="20"/>
                <w:szCs w:val="20"/>
              </w:rPr>
              <w:t xml:space="preserve">not</w:t>
            </w:r>
            <w:r>
              <w:rPr>
                <w:rFonts w:ascii="Times New Roman" w:cs="Times New Roman" w:eastAsia="Times New Roman" w:hAnsi="Times New Roman"/>
                <w:b w:val="false"/>
                <w:bCs w:val="false"/>
                <w:i w:val="false"/>
                <w:iCs w:val="false"/>
                <w:sz w:val="20"/>
                <w:szCs w:val="20"/>
              </w:rPr>
              <w:t xml:space="preserve"> reduce symptoms</w:t>
            </w:r>
          </w:p>
        </w:tc>
        <w:tc>
          <w:tcPr>
            <w:tcW w:type="dxa" w:w="2943"/>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Justifies </w:t>
            </w:r>
            <w:r>
              <w:rPr>
                <w:rFonts w:ascii="Times New Roman" w:cs="Times New Roman" w:eastAsia="Times New Roman" w:hAnsi="Times New Roman"/>
                <w:b/>
                <w:bCs/>
                <w:i w:val="false"/>
                <w:iCs w:val="false"/>
                <w:sz w:val="20"/>
                <w:szCs w:val="20"/>
              </w:rPr>
              <w:t xml:space="preserve">incomplete-blink ratio as primary ocular marker</w:t>
            </w:r>
            <w:r>
              <w:rPr>
                <w:rFonts w:ascii="Times New Roman" w:cs="Times New Roman" w:eastAsia="Times New Roman" w:hAnsi="Times New Roman"/>
                <w:b w:val="false"/>
                <w:bCs w:val="false"/>
                <w:i w:val="false"/>
                <w:iCs w:val="false"/>
                <w:sz w:val="20"/>
                <w:szCs w:val="20"/>
              </w:rPr>
              <w:t xml:space="preserve">; warns against treating blink rate as a fatigue thermometer</w:t>
            </w:r>
          </w:p>
        </w:tc>
      </w:tr>
      <w:tr>
        <w:tc>
          <w:tcPr>
            <w:tcW w:type="dxa" w:w="916"/>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Argilés et al. 2015 [27]</w:t>
            </w:r>
          </w:p>
        </w:tc>
        <w:tc>
          <w:tcPr>
            <w:tcW w:type="dxa" w:w="2224"/>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Blink rate &amp; incomplete blinks across 6 reading conditions; N = 50</w:t>
            </w:r>
          </w:p>
        </w:tc>
        <w:tc>
          <w:tcPr>
            <w:tcW w:type="dxa" w:w="2943"/>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All reading reduced blink rate (p &lt; 0.001); </w:t>
            </w:r>
            <w:r>
              <w:rPr>
                <w:rFonts w:ascii="Times New Roman" w:cs="Times New Roman" w:eastAsia="Times New Roman" w:hAnsi="Times New Roman"/>
                <w:b/>
                <w:bCs/>
                <w:i w:val="false"/>
                <w:iCs w:val="false"/>
                <w:sz w:val="20"/>
                <w:szCs w:val="20"/>
              </w:rPr>
              <w:t xml:space="preserve">% incomplete blinks rose only for electronic platforms</w:t>
            </w:r>
          </w:p>
        </w:tc>
        <w:tc>
          <w:tcPr>
            <w:tcW w:type="dxa" w:w="2943"/>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Establishes specificity of incomplete blinking to electronic media</w:t>
            </w:r>
          </w:p>
        </w:tc>
      </w:tr>
      <w:tr>
        <w:tc>
          <w:tcPr>
            <w:tcW w:type="dxa" w:w="916"/>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Hirota et al. 2013 [29]</w:t>
            </w:r>
          </w:p>
        </w:tc>
        <w:tc>
          <w:tcPr>
            <w:tcW w:type="dxa" w:w="2224"/>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Incomplete blinking and tear-film stability; 60-min task</w:t>
            </w:r>
          </w:p>
        </w:tc>
        <w:tc>
          <w:tcPr>
            <w:tcW w:type="dxa" w:w="2943"/>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Non-invasive break-up time 8.62 ± 1.54 s → 4.33 ± 2.57 s at 30 min (p &lt; 0.01); tear film stable if blinks complete</w:t>
            </w:r>
          </w:p>
        </w:tc>
        <w:tc>
          <w:tcPr>
            <w:tcW w:type="dxa" w:w="2943"/>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Mechanistic link: blink </w:t>
            </w:r>
            <w:r>
              <w:rPr>
                <w:rFonts w:ascii="Times New Roman" w:cs="Times New Roman" w:eastAsia="Times New Roman" w:hAnsi="Times New Roman"/>
                <w:b/>
                <w:bCs/>
                <w:i w:val="false"/>
                <w:iCs w:val="false"/>
                <w:sz w:val="20"/>
                <w:szCs w:val="20"/>
              </w:rPr>
              <w:t xml:space="preserve">quality</w:t>
            </w:r>
            <w:r>
              <w:rPr>
                <w:rFonts w:ascii="Times New Roman" w:cs="Times New Roman" w:eastAsia="Times New Roman" w:hAnsi="Times New Roman"/>
                <w:b w:val="false"/>
                <w:bCs w:val="false"/>
                <w:i w:val="false"/>
                <w:iCs w:val="false"/>
                <w:sz w:val="20"/>
                <w:szCs w:val="20"/>
              </w:rPr>
              <w:t xml:space="preserve"> governs tear-film stability</w:t>
            </w:r>
          </w:p>
        </w:tc>
      </w:tr>
      <w:tr>
        <w:tc>
          <w:tcPr>
            <w:tcW w:type="dxa" w:w="916"/>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Cardona et al. 2011 [28]</w:t>
            </w:r>
          </w:p>
        </w:tc>
        <w:tc>
          <w:tcPr>
            <w:tcW w:type="dxa" w:w="2224"/>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Blink rate/amplitude &amp; tear film during dynamic VDT tasks; N = 25</w:t>
            </w:r>
          </w:p>
        </w:tc>
        <w:tc>
          <w:tcPr>
            <w:tcW w:type="dxa" w:w="2943"/>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Blink rate fell to ~⅓ (fast) and ~½ (slow) of baseline; more incomplete blinks in dynamic tasks</w:t>
            </w:r>
          </w:p>
        </w:tc>
        <w:tc>
          <w:tcPr>
            <w:tcW w:type="dxa" w:w="2943"/>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Shows task dynamism, not cognition alone, drives blink change</w:t>
            </w:r>
          </w:p>
        </w:tc>
      </w:tr>
      <w:tr>
        <w:tc>
          <w:tcPr>
            <w:tcW w:type="dxa" w:w="916"/>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Fjaervoll et al. 2022 [11]</w:t>
            </w:r>
          </w:p>
        </w:tc>
        <w:tc>
          <w:tcPr>
            <w:tcW w:type="dxa" w:w="2224"/>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Mechanisms of VDT-associated dry eye; 55 articles</w:t>
            </w:r>
          </w:p>
        </w:tc>
        <w:tc>
          <w:tcPr>
            <w:tcW w:type="dxa" w:w="2943"/>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VDT causes dry eye "mainly through impaired blinking patterns"; parasympathetic/blue-light hypotheses unsupported</w:t>
            </w:r>
          </w:p>
        </w:tc>
        <w:tc>
          <w:tcPr>
            <w:tcW w:type="dxa" w:w="2943"/>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Conceptual framework, ocular-surface pathway</w:t>
            </w:r>
          </w:p>
        </w:tc>
      </w:tr>
      <w:tr>
        <w:tc>
          <w:tcPr>
            <w:tcW w:type="dxa" w:w="916"/>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Redondo et al. 2025 [30]</w:t>
            </w:r>
          </w:p>
        </w:tc>
        <w:tc>
          <w:tcPr>
            <w:tcW w:type="dxa" w:w="2224"/>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Break schedules, 40-min reading; N = 24</w:t>
            </w:r>
          </w:p>
        </w:tc>
        <w:tc>
          <w:tcPr>
            <w:tcW w:type="dxa" w:w="2943"/>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No-break worse than 3-break and self-paced for irritation/burning and eye strain; NITM higher without breaks; accommodative lag unchanged</w:t>
            </w:r>
          </w:p>
        </w:tc>
        <w:tc>
          <w:tcPr>
            <w:tcW w:type="dxa" w:w="2943"/>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Justifies rest-break protocol; accommodative measures require lab autorefractometry</w:t>
            </w:r>
          </w:p>
        </w:tc>
      </w:tr>
      <w:tr>
        <w:tc>
          <w:tcPr>
            <w:tcW w:type="dxa" w:w="916"/>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Seguí et al. 2015 [23]</w:t>
            </w:r>
          </w:p>
        </w:tc>
        <w:tc>
          <w:tcPr>
            <w:tcW w:type="dxa" w:w="2224"/>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CVS-Q development &amp; validation</w:t>
            </w:r>
          </w:p>
        </w:tc>
        <w:tc>
          <w:tcPr>
            <w:tcW w:type="dxa" w:w="2943"/>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16 symptoms, Rasch-fitting; sensitivity &amp; specificity &gt; 70%; ICC 0.802 (0.673–0.884); κ 0.612</w:t>
            </w:r>
          </w:p>
        </w:tc>
        <w:tc>
          <w:tcPr>
            <w:tcW w:type="dxa" w:w="2943"/>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Primary subjective endpoint instrument</w:t>
            </w:r>
          </w:p>
        </w:tc>
      </w:tr>
      <w:tr>
        <w:tc>
          <w:tcPr>
            <w:tcW w:type="dxa" w:w="916"/>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Cantó-Sancho et al. 2024 [24]</w:t>
            </w:r>
          </w:p>
        </w:tc>
        <w:tc>
          <w:tcPr>
            <w:tcW w:type="dxa" w:w="2224"/>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CVS-Q Portuguese validation; N = 280</w:t>
            </w:r>
          </w:p>
        </w:tc>
        <w:tc>
          <w:tcPr>
            <w:tcW w:type="dxa" w:w="2943"/>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α 0.793; ICC 0.847; sens 78.5%, spec 70.7%; AUC 0.832; ρ 0.728 with OSDI; cut-off ≥ 7</w:t>
            </w:r>
          </w:p>
        </w:tc>
        <w:tc>
          <w:tcPr>
            <w:tcW w:type="dxa" w:w="2943"/>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Cross-cultural robustness of CVS-Q</w:t>
            </w:r>
          </w:p>
        </w:tc>
      </w:tr>
      <w:tr>
        <w:tc>
          <w:tcPr>
            <w:tcW w:type="dxa" w:w="916"/>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Ccami-Bernal et al. 2024 [1]</w:t>
            </w:r>
          </w:p>
        </w:tc>
        <w:tc>
          <w:tcPr>
            <w:tcW w:type="dxa" w:w="2224"/>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Prevalence meta-analysis; 103 studies, N = 66,577</w:t>
            </w:r>
          </w:p>
        </w:tc>
        <w:tc>
          <w:tcPr>
            <w:tcW w:type="dxa" w:w="2943"/>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Pooled prevalence 69.0% (62.3–75.3); </w:t>
            </w:r>
            <w:r>
              <w:rPr>
                <w:rFonts w:ascii="Times New Roman" w:cs="Times New Roman" w:eastAsia="Times New Roman" w:hAnsi="Times New Roman"/>
                <w:b/>
                <w:bCs/>
                <w:i w:val="false"/>
                <w:iCs w:val="false"/>
                <w:sz w:val="20"/>
                <w:szCs w:val="20"/>
              </w:rPr>
              <w:t xml:space="preserve">non-CVS-Q studies estimated higher (75.4%)</w:t>
            </w:r>
          </w:p>
        </w:tc>
        <w:tc>
          <w:tcPr>
            <w:tcW w:type="dxa" w:w="2943"/>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Burden justification; argues for validated instrument</w:t>
            </w:r>
          </w:p>
        </w:tc>
      </w:tr>
      <w:tr>
        <w:tc>
          <w:tcPr>
            <w:tcW w:type="dxa" w:w="916"/>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Abe 2023 [31]</w:t>
            </w:r>
          </w:p>
        </w:tc>
        <w:tc>
          <w:tcPr>
            <w:tcW w:type="dxa" w:w="2224"/>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PERCLOS review</w:t>
            </w:r>
          </w:p>
        </w:tc>
        <w:tc>
          <w:tcPr>
            <w:tcW w:type="dxa" w:w="2943"/>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Among the most validated drowsiness indices; fails in moderate drowsiness, older adults, aviation tasks; no single optimal index</w:t>
            </w:r>
          </w:p>
        </w:tc>
        <w:tc>
          <w:tcPr>
            <w:tcW w:type="dxa" w:w="2943"/>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PERCLOS as </w:t>
            </w:r>
            <w:r>
              <w:rPr>
                <w:rFonts w:ascii="Times New Roman" w:cs="Times New Roman" w:eastAsia="Times New Roman" w:hAnsi="Times New Roman"/>
                <w:b/>
                <w:bCs/>
                <w:i w:val="false"/>
                <w:iCs w:val="false"/>
                <w:sz w:val="20"/>
                <w:szCs w:val="20"/>
              </w:rPr>
              <w:t xml:space="preserve">confound covariate</w:t>
            </w:r>
            <w:r>
              <w:rPr>
                <w:rFonts w:ascii="Times New Roman" w:cs="Times New Roman" w:eastAsia="Times New Roman" w:hAnsi="Times New Roman"/>
                <w:b w:val="false"/>
                <w:bCs w:val="false"/>
                <w:i w:val="false"/>
                <w:iCs w:val="false"/>
                <w:sz w:val="20"/>
                <w:szCs w:val="20"/>
              </w:rPr>
              <w:t xml:space="preserve">, not a CVS outcome</w:t>
            </w:r>
          </w:p>
        </w:tc>
      </w:tr>
      <w:tr>
        <w:tc>
          <w:tcPr>
            <w:tcW w:type="dxa" w:w="916"/>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Jackson et al. 2016 [32]</w:t>
            </w:r>
          </w:p>
        </w:tc>
        <w:tc>
          <w:tcPr>
            <w:tcW w:type="dxa" w:w="2224"/>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PERCLOS after 24 h sleep deprivation; N = 12</w:t>
            </w:r>
          </w:p>
        </w:tc>
        <w:tc>
          <w:tcPr>
            <w:tcW w:type="dxa" w:w="2943"/>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More eyelid closure (p&lt;0.05); PERCLOS ↔ vigilance variability r = 0.68; ↔ lane position r = 0.61</w:t>
            </w:r>
          </w:p>
        </w:tc>
        <w:tc>
          <w:tcPr>
            <w:tcW w:type="dxa" w:w="2943"/>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Validity of automated ocular drowsiness measurement</w:t>
            </w:r>
          </w:p>
        </w:tc>
      </w:tr>
      <w:tr>
        <w:tc>
          <w:tcPr>
            <w:tcW w:type="dxa" w:w="916"/>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Singh et al. 2022 [8]</w:t>
            </w:r>
          </w:p>
        </w:tc>
        <w:tc>
          <w:tcPr>
            <w:tcW w:type="dxa" w:w="2224"/>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Interventions SR/MA; 45 RCTs, N = 4,497</w:t>
            </w:r>
          </w:p>
        </w:tc>
        <w:tc>
          <w:tcPr>
            <w:tcW w:type="dxa" w:w="2943"/>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0"/>
                <w:szCs w:val="20"/>
              </w:rPr>
              <w:t xml:space="preserve">No high-certainty evidence for any therapy</w:t>
            </w:r>
            <w:r>
              <w:rPr>
                <w:rFonts w:ascii="Times New Roman" w:cs="Times New Roman" w:eastAsia="Times New Roman" w:hAnsi="Times New Roman"/>
                <w:b w:val="false"/>
                <w:bCs w:val="false"/>
                <w:i w:val="false"/>
                <w:iCs w:val="false"/>
                <w:sz w:val="20"/>
                <w:szCs w:val="20"/>
              </w:rPr>
              <w:t xml:space="preserve">; blue-blocking ineffective; omega-3 low-certainty benefit</w:t>
            </w:r>
          </w:p>
        </w:tc>
        <w:tc>
          <w:tcPr>
            <w:tcW w:type="dxa" w:w="2943"/>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Establishes that display design is an under-exploited lever</w:t>
            </w:r>
          </w:p>
        </w:tc>
      </w:tr>
      <w:tr>
        <w:tc>
          <w:tcPr>
            <w:tcW w:type="dxa" w:w="916"/>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Klinke et al. 2024 [33]</w:t>
            </w:r>
          </w:p>
        </w:tc>
        <w:tc>
          <w:tcPr>
            <w:tcW w:type="dxa" w:w="2224"/>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Ishihara on displays; N = 38 / 18</w:t>
            </w:r>
          </w:p>
        </w:tc>
        <w:tc>
          <w:tcPr>
            <w:tcW w:type="dxa" w:w="2943"/>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PC: sens 94.4%, spec 82.4%; smartphone: sens 96.0%, spec 94.7%; no significant difference (p &gt; 0.05)</w:t>
            </w:r>
          </w:p>
        </w:tc>
        <w:tc>
          <w:tcPr>
            <w:tcW w:type="dxa" w:w="2943"/>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Supports display-based colour-vision screening</w:t>
            </w:r>
          </w:p>
        </w:tc>
      </w:tr>
      <w:tr>
        <w:tc>
          <w:tcPr>
            <w:tcW w:type="dxa" w:w="916"/>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Soukupová &amp; Čech 2016 [35]</w:t>
            </w:r>
          </w:p>
        </w:tc>
        <w:tc>
          <w:tcPr>
            <w:tcW w:type="dxa" w:w="2224"/>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EAR blink detection</w:t>
            </w:r>
          </w:p>
        </w:tc>
        <w:tc>
          <w:tcPr>
            <w:tcW w:type="dxa" w:w="2943"/>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EAR from facial landmarks + temporal classification</w:t>
            </w:r>
          </w:p>
        </w:tc>
        <w:tc>
          <w:tcPr>
            <w:tcW w:type="dxa" w:w="2943"/>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0"/>
                <w:szCs w:val="20"/>
              </w:rPr>
              <w:t xml:space="preserve">Methodological basis for automated blink metrology</w:t>
            </w:r>
          </w:p>
        </w:tc>
      </w:tr>
    </w:tbl>
    <w:p>
      <w:pPr>
        <w:spacing w:after="200"/>
      </w:pPr>
      <w:r>
        <w:rPr>
          <w:sz w:val="12"/>
          <w:szCs w:val="12"/>
        </w:rPr>
        <w:t xml:space="preserve"/>
      </w:r>
    </w:p>
    <w:p>
      <w:pPr>
        <w:pBdr>
          <w:bottom w:val="single" w:color="AAAAAA" w:sz="6" w:space="1"/>
        </w:pBdr>
        <w:spacing w:after="200" w:before="120"/>
      </w:pPr>
      <w:r>
        <w:rPr>
          <w:rFonts w:ascii="Times New Roman" w:cs="Times New Roman" w:eastAsia="Times New Roman" w:hAnsi="Times New Roman"/>
          <w:sz w:val="24"/>
          <w:szCs w:val="24"/>
        </w:rPr>
        <w:t xml:space="preserve"/>
      </w:r>
    </w:p>
    <w:p>
      <w:pPr>
        <w:spacing w:after="140" w:line="340"/>
        <w:jc w:val="center"/>
      </w:pPr>
      <w:r>
        <w:rPr>
          <w:rFonts w:ascii="Times New Roman" w:cs="Times New Roman" w:eastAsia="Times New Roman" w:hAnsi="Times New Roman"/>
          <w:b w:val="false"/>
          <w:bCs w:val="false"/>
          <w:i/>
          <w:iCs/>
          <w:sz w:val="24"/>
          <w:szCs w:val="24"/>
        </w:rPr>
        <w:t xml:space="preserve">End of document.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4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Times New Roman" w:cs="Times New Roman" w:eastAsia="Times New Roman" w:hAnsi="Times New Roman"/>
      <w:b/>
      <w:bCs/>
      <w:color w:val="1A1A2E"/>
      <w:sz w:val="32"/>
      <w:szCs w:val="32"/>
    </w:rPr>
  </w:style>
  <w:style w:type="paragraph" w:styleId="Heading2">
    <w:name w:val="Heading 2"/>
    <w:basedOn w:val="Normal"/>
    <w:next w:val="Normal"/>
    <w:qFormat/>
    <w:pPr>
      <w:spacing w:after="150" w:before="300"/>
    </w:pPr>
    <w:rPr>
      <w:rFonts w:ascii="Times New Roman" w:cs="Times New Roman" w:eastAsia="Times New Roman" w:hAnsi="Times New Roman"/>
      <w:b/>
      <w:bCs/>
      <w:color w:val="1A1A2E"/>
      <w:sz w:val="28"/>
      <w:szCs w:val="28"/>
    </w:rPr>
  </w:style>
  <w:style w:type="paragraph" w:styleId="Heading3">
    <w:name w:val="Heading 3"/>
    <w:basedOn w:val="Normal"/>
    <w:next w:val="Normal"/>
    <w:qFormat/>
    <w:pPr>
      <w:spacing w:after="130" w:before="260"/>
    </w:pPr>
    <w:rPr>
      <w:rFonts w:ascii="Times New Roman" w:cs="Times New Roman" w:eastAsia="Times New Roman" w:hAnsi="Times New Roman"/>
      <w:b/>
      <w:bCs/>
      <w:color w:val="243B53"/>
      <w:sz w:val="26"/>
      <w:szCs w:val="26"/>
    </w:rPr>
  </w:style>
  <w:style w:type="paragraph" w:styleId="Heading4">
    <w:name w:val="Heading 4"/>
    <w:basedOn w:val="Normal"/>
    <w:next w:val="Normal"/>
    <w:qFormat/>
    <w:pPr>
      <w:spacing w:after="110" w:before="220"/>
    </w:pPr>
    <w:rPr>
      <w:rFonts w:ascii="Times New Roman" w:cs="Times New Roman" w:eastAsia="Times New Roman" w:hAnsi="Times New Roman"/>
      <w:b/>
      <w:bCs/>
      <w:i/>
      <w:iCs/>
      <w:color w:val="243B53"/>
      <w:sz w:val="24"/>
      <w:szCs w:val="24"/>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3pzdal0hjdpe1uukboymh" Type="http://schemas.openxmlformats.org/officeDocument/2006/relationships/hyperlink" Target="https://doi.org/10.1016/j.optom.2023.100482" TargetMode="External"/><Relationship Id="rId3dms-mvrbefh5fn6kn6dy" Type="http://schemas.openxmlformats.org/officeDocument/2006/relationships/hyperlink" Target="https://doi.org/10.1007/s40123-022-00540-9" TargetMode="External"/><Relationship Id="rIdycerxc5xiexgyykq21ewe" Type="http://schemas.openxmlformats.org/officeDocument/2006/relationships/hyperlink" Target="https://doi.org/10.1136/bmjophth-2018-000146" TargetMode="External"/><Relationship Id="rIdfyxrti3hwbnclqlj1meso" Type="http://schemas.openxmlformats.org/officeDocument/2006/relationships/hyperlink" Target="https://doi.org/10.2147/OPTO.S412382" TargetMode="External"/><Relationship Id="rId2nw4hruqmqwhxkrowmzxn" Type="http://schemas.openxmlformats.org/officeDocument/2006/relationships/hyperlink" Target="https://doi.org/10.1080/20565623.2025.2476923" TargetMode="External"/><Relationship Id="rId_1o1qxiwbp40do3wguqew" Type="http://schemas.openxmlformats.org/officeDocument/2006/relationships/hyperlink" Target="https://doi.org/10.1016/j.jfo.2020.10.002" TargetMode="External"/><Relationship Id="rIdpgwyibcwps9j41d4vgwq_" Type="http://schemas.openxmlformats.org/officeDocument/2006/relationships/hyperlink" Target="https://doi.org/10.1111/cxo.12798" TargetMode="External"/><Relationship Id="rIdbc9dclck9llhnuksg9trd" Type="http://schemas.openxmlformats.org/officeDocument/2006/relationships/hyperlink" Target="https://doi.org/10.1016/j.ophtha.2022.05.009" TargetMode="External"/><Relationship Id="rIdbgpzhzq0wkndeys8ejpf-" Type="http://schemas.openxmlformats.org/officeDocument/2006/relationships/hyperlink" Target="https://doi.org/10.1016/j.ypmed.2023.107493" TargetMode="External"/><Relationship Id="rIdicsk4h4ncsi89guwbb2vp" Type="http://schemas.openxmlformats.org/officeDocument/2006/relationships/hyperlink" Target="https://doi.org/10.1111/aos.15105" TargetMode="External"/><Relationship Id="rIdmvlclsurmsotfdqwjlpy0" Type="http://schemas.openxmlformats.org/officeDocument/2006/relationships/hyperlink" Target="https://doi.org/10.1111/aos.15150" TargetMode="External"/><Relationship Id="rIdr160jwjdi1v6hlnnwyon-" Type="http://schemas.openxmlformats.org/officeDocument/2006/relationships/hyperlink" Target="https://doi.org/10.1080/00140130701306413" TargetMode="External"/><Relationship Id="rIdp8x3w2rml27auv3tqm3tj" Type="http://schemas.openxmlformats.org/officeDocument/2006/relationships/hyperlink" Target="https://doi.org/10.1080/00140139.2014.948496" TargetMode="External"/><Relationship Id="rIdra4phdcyzg8mozsehyhj8" Type="http://schemas.openxmlformats.org/officeDocument/2006/relationships/hyperlink" Target="https://doi.org/10.1177/0018720813515509" TargetMode="External"/><Relationship Id="rIduxk8f9fpw80c7jrfjukwg" Type="http://schemas.openxmlformats.org/officeDocument/2006/relationships/hyperlink" Target="https://doi.org/10.1016/j.apergo.2016.11.001" TargetMode="External"/><Relationship Id="rIdvez--kj3peebwziivbkxb" Type="http://schemas.openxmlformats.org/officeDocument/2006/relationships/hyperlink" Target="https://doi.org/10.1080/00140139.2015.1137637" TargetMode="External"/><Relationship Id="rId_zap1-aeuwpy0aj2gqrh2" Type="http://schemas.openxmlformats.org/officeDocument/2006/relationships/hyperlink" Target="https://doi.org/10.1080/00140139.2025.2457470" TargetMode="External"/><Relationship Id="rIdm10wmlcb_kz2um1dmxp59" Type="http://schemas.openxmlformats.org/officeDocument/2006/relationships/hyperlink" Target="https://doi.org/10.1016/j.visres.2019.11.006" TargetMode="External"/><Relationship Id="rIdrvnjdjdtuslads0uwrgwz" Type="http://schemas.openxmlformats.org/officeDocument/2006/relationships/hyperlink" Target="https://doi.org/10.3390/s24113516" TargetMode="External"/><Relationship Id="rIdohmhquvy_0nicx2jcsmvi" Type="http://schemas.openxmlformats.org/officeDocument/2006/relationships/hyperlink" Target="https://doi.org/10.1016/j.edurev.2018.09.003" TargetMode="External"/><Relationship Id="rIdxe0ti3qtn-nj4kxhaf6wr" Type="http://schemas.openxmlformats.org/officeDocument/2006/relationships/hyperlink" Target="https://doi.org/10.1518/001872008X312152" TargetMode="External"/><Relationship Id="rIdcjnj2atrdjcz28djnipag" Type="http://schemas.openxmlformats.org/officeDocument/2006/relationships/hyperlink" Target="https://doi.org/10.1111/sbr.12067" TargetMode="External"/><Relationship Id="rIdy3dj2nvlyb2w_rivmodlo" Type="http://schemas.openxmlformats.org/officeDocument/2006/relationships/hyperlink" Target="https://doi.org/10.1016/j.jclinepi.2015.01.015" TargetMode="External"/><Relationship Id="rId-dtcynfc9p0kaj6wshfp_" Type="http://schemas.openxmlformats.org/officeDocument/2006/relationships/hyperlink" Target="https://doi.org/10.5935/0004-2749.2022-0256" TargetMode="External"/><Relationship Id="rIdoxate13kw5kdkrdgiwhub" Type="http://schemas.openxmlformats.org/officeDocument/2006/relationships/hyperlink" Target="https://doi.org/10.23749/mdl.v110i1.7499" TargetMode="External"/><Relationship Id="rIde3t6dhfxepwqzojeqnsqm" Type="http://schemas.openxmlformats.org/officeDocument/2006/relationships/hyperlink" Target="https://doi.org/10.1097/OPX.0b013e31828f09a7" TargetMode="External"/><Relationship Id="rId-frjup4kalev0wlizjbei" Type="http://schemas.openxmlformats.org/officeDocument/2006/relationships/hyperlink" Target="https://doi.org/10.1167/iovs.15-16967" TargetMode="External"/><Relationship Id="rIdpj-njihddtqwu3v63qlgu" Type="http://schemas.openxmlformats.org/officeDocument/2006/relationships/hyperlink" Target="https://doi.org/10.3109/02713683.2010.544442" TargetMode="External"/><Relationship Id="rIdzjmtsl7udxstj-s_qkggl" Type="http://schemas.openxmlformats.org/officeDocument/2006/relationships/hyperlink" Target="https://doi.org/10.1097/OPX.0b013e31829962ec" TargetMode="External"/><Relationship Id="rIdvewy1obts7tcp71fdwm1m" Type="http://schemas.openxmlformats.org/officeDocument/2006/relationships/hyperlink" Target="https://doi.org/10.1016/j.exer.2025.110463" TargetMode="External"/><Relationship Id="rIdjsjwcqzxkhhrwirmawjbj" Type="http://schemas.openxmlformats.org/officeDocument/2006/relationships/hyperlink" Target="https://doi.org/10.1093/sleepadvances/zpad006" TargetMode="External"/><Relationship Id="rIdwcj6iaaulg9pvndmfczsj" Type="http://schemas.openxmlformats.org/officeDocument/2006/relationships/hyperlink" Target="https://doi.org/10.1080/15389588.2015.1055327" TargetMode="External"/><Relationship Id="rIdugpbb3z3tmyvxz2pujv8f" Type="http://schemas.openxmlformats.org/officeDocument/2006/relationships/hyperlink" Target="https://doi.org/10.1016/j.identj.2023.12.009" TargetMode="External"/><Relationship Id="rIdbil75aiqgac60_dgpzgst" Type="http://schemas.openxmlformats.org/officeDocument/2006/relationships/hyperlink" Target="https://doi.org/10.3390/medicina59020412" TargetMode="External"/><Relationship Id="rIddufr9lhkop5sknlaf3v_g" Type="http://schemas.openxmlformats.org/officeDocument/2006/relationships/hyperlink" Target="https://www.w3.org/TR/WCAG22/" TargetMode="External"/><Relationship Id="rIdvb1njg37ozrgyrqdqysql" Type="http://schemas.openxmlformats.org/officeDocument/2006/relationships/hyperlink" Target="https://git.apcacontrast.com/" TargetMode="External"/><Relationship Id="rId4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of Literature — Display Polarity and Text Colour</dc:title>
  <dc:creator>PhD Synopsis</dc:creator>
  <dc:description>Literature review prepared for PhD synopsis presentation</dc:description>
  <cp:lastModifiedBy>Un-named</cp:lastModifiedBy>
  <cp:revision>1</cp:revision>
  <dcterms:created xsi:type="dcterms:W3CDTF">2026-07-26T07:37:45.526Z</dcterms:created>
  <dcterms:modified xsi:type="dcterms:W3CDTF">2026-07-26T07:37:45.526Z</dcterms:modified>
</cp:coreProperties>
</file>

<file path=docProps/custom.xml><?xml version="1.0" encoding="utf-8"?>
<Properties xmlns="http://schemas.openxmlformats.org/officeDocument/2006/custom-properties" xmlns:vt="http://schemas.openxmlformats.org/officeDocument/2006/docPropsVTypes"/>
</file>