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line="360" w:lineRule="auto"/>
        <w:jc w:val="center"/>
      </w:pPr>
      <w:r>
        <w:rPr>
          <w:rFonts w:ascii="Times New Roman" w:cs="Times New Roman" w:eastAsia="Times New Roman" w:hAnsi="Times New Roman"/>
          <w:b/>
          <w:bCs/>
          <w:i w:val="false"/>
          <w:iCs w:val="false"/>
          <w:sz w:val="28"/>
          <w:szCs w:val="28"/>
        </w:rPr>
        <w:t xml:space="preserve">EFFECTS OF DISPLAY POLARITY AND TEXT COLOUR ON VISUAL FATIGUE, OCULAR BEHAVIOUR AND TASK PERFORMANCE UNDER CONTROLLED AMBIENT ILLUMINATION</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DEGREE OF DOCTOR OF PHILOSOPHY</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in</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OPTOMETRY</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By</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GYANDEEP NATH</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60" w:line="340" w:lineRule="auto"/>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40" w:lineRule="auto"/>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lineRule="auto"/>
        <w:jc w:val="both"/>
      </w:pPr>
      <w:r>
        <w:rPr>
          <w:rFonts w:ascii="Times New Roman" w:cs="Times New Roman" w:eastAsia="Times New Roman" w:hAnsi="Times New Roman"/>
          <w:b/>
          <w:bCs/>
          <w:i w:val="false"/>
          <w:iCs w:val="false"/>
          <w:sz w:val="24"/>
          <w:szCs w:val="24"/>
        </w:rPr>
        <w:t xml:space="preserve">Primary objectives</w:t>
      </w:r>
    </w:p>
    <w:p>
      <w:pPr>
        <w:spacing w:after="120" w:line="32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lineRule="auto"/>
        <w:jc w:val="both"/>
      </w:pPr>
      <w:r>
        <w:rPr>
          <w:rFonts w:ascii="Times New Roman" w:cs="Times New Roman" w:eastAsia="Times New Roman" w:hAnsi="Times New Roman"/>
          <w:b/>
          <w:bCs/>
          <w:i w:val="false"/>
          <w:iCs w:val="false"/>
          <w:sz w:val="24"/>
          <w:szCs w:val="24"/>
        </w:rPr>
        <w:t xml:space="preserve">Methodological objective</w:t>
      </w:r>
    </w:p>
    <w:p>
      <w:pPr>
        <w:spacing w:after="120" w:line="32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lineRule="auto"/>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40" w:lineRule="auto"/>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lineRule="auto"/>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40" w:lineRule="auto"/>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lineRule="auto"/>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40" w:lineRule="auto"/>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1212"/>
        <w:gridCol w:w="1296"/>
        <w:gridCol w:w="1044"/>
        <w:gridCol w:w="1716"/>
        <w:gridCol w:w="1223"/>
        <w:gridCol w:w="1473"/>
        <w:gridCol w:w="1062"/>
      </w:tblGrid>
      <w:tr>
        <w:trPr>
          <w:tblHeader/>
        </w:trPr>
        <w:tc>
          <w:tcPr>
            <w:tcW w:type="dxa" w:w="121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Pathway</w:t>
            </w:r>
          </w:p>
        </w:tc>
        <w:tc>
          <w:tcPr>
            <w:tcW w:type="dxa" w:w="129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Antecedent (independent variable)</w:t>
            </w:r>
          </w:p>
        </w:tc>
        <w:tc>
          <w:tcPr>
            <w:tcW w:type="dxa" w:w="104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Proximal mechanism</w:t>
            </w:r>
          </w:p>
        </w:tc>
        <w:tc>
          <w:tcPr>
            <w:tcW w:type="dxa" w:w="171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Mediating state</w:t>
            </w:r>
          </w:p>
        </w:tc>
        <w:tc>
          <w:tcPr>
            <w:tcW w:type="dxa" w:w="122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Symptom cluster</w:t>
            </w:r>
          </w:p>
        </w:tc>
        <w:tc>
          <w:tcPr>
            <w:tcW w:type="dxa" w:w="147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Measured outcome (P = primary, S = secondary)</w:t>
            </w:r>
          </w:p>
        </w:tc>
        <w:tc>
          <w:tcPr>
            <w:tcW w:type="dxa" w:w="106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Evidence</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Optical / refractive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Display luminance and polarity; ambient illuminance</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Pupil diameter → aberration and depth of focus</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Retinal image quality; accommodative demand</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Accommodative and vergence (blur, focusing difficulty, headache, transient myopia)</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Reading rate (S); comprehension (S); visual search (S); perceived clarity (S)</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(Dobres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2017; Jiménez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2020; Piepenbrock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2014a, 2014b; Redondo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2025)</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Luminance contrast; chromaticity; visual and cognitive demand</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Reduced blink rate; increased incomplete blinking</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Exposed evaporative area; tear-film stability</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 (dryness, burning, irritation)</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Incomplete-blink ratio (P); CVS-Q change (key S); blink rate, inter-blink interval, VAS (S)</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(Argilés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2015; Fjaervoll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Hirota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 Kamøy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Portello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Cross-cutting</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Time on task; sleepiness; disengagement; participant factors</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Resource depletion; arousal state; habituation</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Sustained-attention capacity; response criterion</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RT variability and lapses (S); PERCLOS (covariate); engagement flags (quality control)</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(Abe, 2023; Abe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 Jackson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2016; Warm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lineRule="auto"/>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2095"/>
        <w:gridCol w:w="1839"/>
        <w:gridCol w:w="1728"/>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09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Design and manipulation</w:t>
            </w:r>
          </w:p>
        </w:tc>
        <w:tc>
          <w:tcPr>
            <w:tcW w:type="dxa" w:w="183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728"/>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 21</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lineRule="auto"/>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09"/>
        <w:gridCol w:w="700"/>
        <w:gridCol w:w="700"/>
        <w:gridCol w:w="1986"/>
        <w:gridCol w:w="1622"/>
        <w:gridCol w:w="2109"/>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Sl.</w:t>
            </w:r>
          </w:p>
        </w:tc>
        <w:tc>
          <w:tcPr>
            <w:tcW w:type="dxa" w:w="120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N</w:t>
            </w:r>
          </w:p>
        </w:tc>
        <w:tc>
          <w:tcPr>
            <w:tcW w:type="dxa" w:w="198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Design and manipulation</w:t>
            </w:r>
          </w:p>
        </w:tc>
        <w:tc>
          <w:tcPr>
            <w:tcW w:type="dxa" w:w="162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Principal finding</w:t>
            </w:r>
          </w:p>
        </w:tc>
        <w:tc>
          <w:tcPr>
            <w:tcW w:type="dxa" w:w="210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1</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Proofreading; colour contrast vs luminance contrast (red-on-green)</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contrast cannot compensate for absent luminance contrast</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Single chromatic pair; short task</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Jiménez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Binocular open-field autorefractometry; 14 text–background colour combinations, 2-min passages</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modulated accommodative and pupillary dynamics; low-contrast pairs rated less legible; reading speed unaffected</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2-min exposure; no symptom-level outcome; lab instrumentation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3</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Xie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and Likert scales; 2 colour modes × 6 luminance-contrast ratios at night</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Dark mode raised blink rate and pupil accommodation, yet light mode was rated less fatiguing and preferred</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Objective–subjective dissociation unexplained; 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4</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Tian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tracker and EEG; paradigm colour × screen brightness in a dark environment</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Low screen brightness reduced fatigue; blue preferred to red; no EEG colour effect</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Non-reading paradigm stimuli;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5</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Fan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during reading; ambient illumination × text colour, negative polarity only</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Red most fatiguing, yellow least; performance better with yellow and white</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Negative polarity only; hue confounded with contrast</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lineRule="auto"/>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1712"/>
        <w:gridCol w:w="2297"/>
        <w:gridCol w:w="1653"/>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71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Illumination manipulated</w:t>
            </w:r>
          </w:p>
        </w:tc>
        <w:tc>
          <w:tcPr>
            <w:tcW w:type="dxa" w:w="229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65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Near-dark vs daylight-like</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lineRule="auto"/>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952"/>
        <w:gridCol w:w="700"/>
        <w:gridCol w:w="700"/>
        <w:gridCol w:w="2363"/>
        <w:gridCol w:w="2129"/>
        <w:gridCol w:w="1482"/>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95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36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Measure and task</w:t>
            </w:r>
          </w:p>
        </w:tc>
        <w:tc>
          <w:tcPr>
            <w:tcW w:type="dxa" w:w="212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48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lineRule="auto"/>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lineRule="auto"/>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40" w:lineRule="auto"/>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4313"/>
        <w:gridCol w:w="4313"/>
      </w:tblGrid>
      <w:tr>
        <w:tc>
          <w:tcPr>
            <w:tcW w:type="dxa" w:w="4313"/>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40" w:lineRule="auto"/>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lineRule="auto"/>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53"/>
        <w:gridCol w:w="700"/>
        <w:gridCol w:w="700"/>
        <w:gridCol w:w="1305"/>
        <w:gridCol w:w="1576"/>
        <w:gridCol w:w="1972"/>
        <w:gridCol w:w="1820"/>
      </w:tblGrid>
      <w:tr>
        <w:trPr>
          <w:tblHeader/>
        </w:trPr>
        <w:tc>
          <w:tcPr>
            <w:tcW w:type="dxa" w:w="95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30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Conditions per participant</w:t>
            </w:r>
          </w:p>
        </w:tc>
        <w:tc>
          <w:tcPr>
            <w:tcW w:type="dxa" w:w="157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Total condition-runs</w:t>
            </w:r>
          </w:p>
        </w:tc>
        <w:tc>
          <w:tcPr>
            <w:tcW w:type="dxa" w:w="197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Ocular measure</w:t>
            </w:r>
          </w:p>
        </w:tc>
        <w:tc>
          <w:tcPr>
            <w:tcW w:type="dxa" w:w="182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Display parameter manipulated</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24</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280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Accommodation, pupil</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42</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75</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amplitude</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Task dynamism</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patterns, tear film</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Reading medium</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10</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Incomplete-blink ratio, blink rate, IBI, PERCLOS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lineRule="auto"/>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lineRule="auto"/>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41"/>
        <w:gridCol w:w="700"/>
        <w:gridCol w:w="1484"/>
        <w:gridCol w:w="1079"/>
        <w:gridCol w:w="1355"/>
        <w:gridCol w:w="1327"/>
        <w:gridCol w:w="1070"/>
        <w:gridCol w:w="1070"/>
      </w:tblGrid>
      <w:tr>
        <w:trPr>
          <w:tblHeader/>
        </w:trPr>
        <w:tc>
          <w:tcPr>
            <w:tcW w:type="dxa" w:w="941"/>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Code</w:t>
            </w:r>
          </w:p>
        </w:tc>
        <w:tc>
          <w:tcPr>
            <w:tcW w:type="dxa" w:w="148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colour</w:t>
            </w:r>
          </w:p>
        </w:tc>
        <w:tc>
          <w:tcPr>
            <w:tcW w:type="dxa" w:w="107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hex</w:t>
            </w:r>
          </w:p>
        </w:tc>
        <w:tc>
          <w:tcPr>
            <w:tcW w:type="dxa" w:w="135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Background</w:t>
            </w:r>
          </w:p>
        </w:tc>
        <w:tc>
          <w:tcPr>
            <w:tcW w:type="dxa" w:w="132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WCAG ratio</w:t>
            </w:r>
          </w:p>
        </w:tc>
        <w:tc>
          <w:tcPr>
            <w:tcW w:type="dxa" w:w="107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Level</w:t>
            </w:r>
          </w:p>
        </w:tc>
        <w:tc>
          <w:tcPr>
            <w:tcW w:type="dxa" w:w="107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Below AA</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P1</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P2</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6.70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P3</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5.74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P4</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2.39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Fail</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P5</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N1</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N2</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3.14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N3</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3.66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N4</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8.79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N5</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6.57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lineRule="auto"/>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lineRule="auto"/>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lineRule="auto"/>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00" w:line="340" w:lineRule="auto"/>
        <w:ind w:left="720" w:hanging="72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4b1347afe6c0a286a4b9dc5d82d87f13fbb3f0.png"/><Relationship Id="rId8" Type="http://schemas.openxmlformats.org/officeDocument/2006/relationships/image" Target="media/4e05bb5d022e75b9fcf2fa13458eb392642cb5be.png"/><Relationship Id="rId9" Type="http://schemas.openxmlformats.org/officeDocument/2006/relationships/image" Target="media/6e2c67485f6bac61850bb02cbc179dff28f4e821.png"/><Relationship Id="rId10" Type="http://schemas.openxmlformats.org/officeDocument/2006/relationships/image" Target="media/f94028606598c4ce9da3cdf1223c04f2f0901c0c.png"/><Relationship Id="rId11" Type="http://schemas.openxmlformats.org/officeDocument/2006/relationships/image" Target="media/dccde36574f0563b3f3ebbe33b21a2720f131ba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2026-09-10T22:01:43.362Z</dcterms:created>
  <dcterms:modified xsi:type="dcterms:W3CDTF">2026-09-10T22:01:43.363Z</dcterms:modified>
</cp:coreProperties>
</file>

<file path=docProps/custom.xml><?xml version="1.0" encoding="utf-8"?>
<Properties xmlns="http://schemas.openxmlformats.org/officeDocument/2006/custom-properties" xmlns:vt="http://schemas.openxmlformats.org/officeDocument/2006/docPropsVTypes"/>
</file>