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1.1 Background</w:t>
      </w:r>
    </w:p>
    <w:p>
      <w:pPr>
        <w:spacing w:after="60" w:line="360"/>
        <w:jc w:val="both"/>
      </w:pPr>
      <w:r>
        <w:rPr>
          <w:rFonts w:ascii="Times New Roman" w:cs="Times New Roman" w:eastAsia="Times New Roman" w:hAnsi="Times New Roman"/>
          <w:b w:val="false"/>
          <w:bCs w:val="false"/>
          <w:i w:val="false"/>
          <w:iCs w:val="false"/>
          <w:sz w:val="24"/>
          <w:szCs w:val="24"/>
        </w:rPr>
        <w:t xml:space="preserve">Sustained reading has shifted from print to self-luminous displays, and tablets now mediate much of that reading in education, work and leisure. A printed page reflects ambient light; a display emits its own, and the properties of that emission are set in software. Polarity (whether text is dark on a light field or light on a dark one), chromaticity, luminance and contrast are all configurable, and are configured routinely by designers and by users selecting interface themes, of which the adoption of "dark mode" is the most visible instance. These choices are made at very large scale, yet evidence regarding the effects of combinations of these parameters during prolonged reading remains limited.</w:t>
      </w:r>
    </w:p>
    <w:p>
      <w:pPr>
        <w:spacing w:after="60" w:line="360"/>
        <w:jc w:val="both"/>
      </w:pPr>
      <w:r>
        <w:rPr>
          <w:rFonts w:ascii="Times New Roman" w:cs="Times New Roman" w:eastAsia="Times New Roman" w:hAnsi="Times New Roman"/>
          <w:b w:val="false"/>
          <w:bCs w:val="false"/>
          <w:i w:val="false"/>
          <w:iCs w:val="false"/>
          <w:sz w:val="24"/>
          <w:szCs w:val="24"/>
        </w:rPr>
        <w:t xml:space="preserve">A systematic review and meta-analysis of 103 cross-sectional studies covering 66,577 participants placed the pooled prevalence of computer vision syndrome at 69.0 per cent (95% CI 62.3–75.3), with individual estimates ranging from 12.1 to 97.3 per cent [1]. Prevalence was higher among women (71.4 versus 61.8 per cent) and university students (76.1 per cent), and reviews report a further rise with remote work and study, reaching 50 to 60 per cent among children [2,3].</w:t>
      </w:r>
    </w:p>
    <w:p>
      <w:pPr>
        <w:spacing w:after="60" w:line="360"/>
        <w:jc w:val="both"/>
      </w:pPr>
      <w:r>
        <w:rPr>
          <w:rFonts w:ascii="Times New Roman" w:cs="Times New Roman" w:eastAsia="Times New Roman" w:hAnsi="Times New Roman"/>
          <w:b w:val="false"/>
          <w:bCs w:val="false"/>
          <w:i w:val="false"/>
          <w:iCs w:val="false"/>
          <w:sz w:val="24"/>
          <w:szCs w:val="24"/>
        </w:rPr>
        <w:t xml:space="preserve">The condition is termed either computer vision syndrome or digital eye strain, the labels being used almost interchangeably for the same cluster of complaints: dryness, burning, irritation, watering, blurred vision, difficulty refocusing, headache and photophobia, often with neck and shoulder discomfort [2,3,4]. Case definitions remain unstandardised, and the prevalence synthesis closes by calling for one [1].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1.2 Biophysiological basis</w:t>
      </w:r>
    </w:p>
    <w:p>
      <w:pPr>
        <w:spacing w:after="60" w:line="360"/>
        <w:jc w:val="both"/>
      </w:pPr>
      <w:r>
        <w:rPr>
          <w:rFonts w:ascii="Times New Roman" w:cs="Times New Roman" w:eastAsia="Times New Roman" w:hAnsi="Times New Roman"/>
          <w:b w:val="false"/>
          <w:bCs w:val="false"/>
          <w:i w:val="false"/>
          <w:iCs w:val="false"/>
          <w:sz w:val="24"/>
          <w:szCs w:val="24"/>
        </w:rPr>
        <w:t xml:space="preserve">Symptoms fall into two mechanistically distinct groups [3]. The first arises from accommodative and vergence stress, presenting as difficulty focusing, blurred vision, near-work-induced transient myopia and headache. The second arises at the ocular surface, presenting as dryness, burning and irritation.</w:t>
      </w:r>
    </w:p>
    <w:p>
      <w:pPr>
        <w:spacing w:after="60" w: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Display work suppresses spontaneous blinking and raises the proportion of blinks that fail to close fully; incomplete closure enlarges the exposed evaporative area and impairs the spread of meibomian lipid, so tear-film stability falls and the surface enters the recognised inflammatory cycle of dry eye disease [5,6]. Mechanistic review attributes display-associated dry eye principally to impaired blinking, finding insufficient support for parasympathetic or blue-light contributions [6]. The accommodative route is more heterogeneously evidenced but responds measurably to display parameters [7,8].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Three configurable properties of the reading stimulus bear on retinal illuminance, pupil state and visual effort, and are reviewed in detail in Chapter 2.</w:t>
      </w:r>
    </w:p>
    <w:p>
      <w:pPr>
        <w:spacing w:after="60" w:line="360"/>
        <w:jc w:val="both"/>
      </w:pPr>
      <w:r>
        <w:rPr>
          <w:rFonts w:ascii="Times New Roman" w:cs="Times New Roman" w:eastAsia="Times New Roman" w:hAnsi="Times New Roman"/>
          <w:b w:val="false"/>
          <w:bCs w:val="false"/>
          <w:i w:val="false"/>
          <w:iCs w:val="false"/>
          <w:sz w:val="24"/>
          <w:szCs w:val="24"/>
        </w:rPr>
        <w:t xml:space="preserve">The most reliably replicated is the positive polarity advantage: reading is better for dark text on a light field than for light text on a dark one, attributed to the greater light emitted by positive-polarity displays, which constricts the pupil, reduces optical aberration and sharpens the retinal image [9,10,11]. Text colour has been studied far less and, to the best of the available evidence, no study has comprehensively evaluated it in combination with polarity while measuring fatigue [7,12]. Any manipulation of text colour also manipulates luminance contrast, since chromatic pigments differ intrinsically in relative luminance and chromatic contrast cannot substitute for luminance contrast [9], so an apparent effect of colour may be an effect of contrast unless the two are measured separately. Ambient light adds veiling luminance and drives pupil size independently of the display, interacting with the same mechanism [12,13].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1.4 Statement of the problem</w:t>
      </w:r>
    </w:p>
    <w:p>
      <w:pPr>
        <w:spacing w:after="6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[1],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[15]. A separate review in younger users reached the same conclusion on blue-blocking filters, supporting ergonomic optimisation and shorter exposure instead [16].</w:t>
      </w:r>
    </w:p>
    <w:p>
      <w:pPr>
        <w:spacing w:after="60" w: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[7], or to a single polarity [12].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[17,18,19].</w:t>
      </w:r>
    </w:p>
    <w:p>
      <w:pPr>
        <w:spacing w:after="60" w: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1.5 Rationale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60" w:line="360"/>
        <w:jc w:val="both"/>
      </w:pPr>
      <w:r>
        <w:rPr>
          <w:rFonts w:ascii="Times New Roman" w:cs="Times New Roman" w:eastAsia="Times New Roman" w:hAnsi="Times New Roman"/>
          <w:b w:val="false"/>
          <w:bCs w:val="false"/>
          <w:i w:val="false"/>
          <w:iCs w:val="false"/>
          <w:sz w:val="24"/>
          <w:szCs w:val="24"/>
        </w:rPr>
        <w:t xml:space="preserve">Because chromatic luminance differs by hue, the rank order of luminance contrast reverses between the two polarities in the proposed condition set (Table 3.3). Blue and red are high in contrast on a white field but fall below the accessibility minimum on a black one, while yellow and green behave oppositely.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reported under negative polarity, red worst and yellow best, is precisely what luminance contrast alone would predict for those hues on a black background [12], and a single-polarity design cannot exclude that explanation.</w:t>
      </w:r>
    </w:p>
    <w:p>
      <w:pPr>
        <w:spacing w:after="60" w: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[13]. Validating an automated measure of blink completeness would remove the annotation bottleneck that has kept this literature small. The findings bear on interface design, on accessibility standards whose contrast criterion does not account for polarity [20,21], on public health guidance, and on the advice optometrists give patients, an area in which practitioners are documented to lack quality evidence [3].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1.6 Aim</w:t>
      </w:r>
    </w:p>
    <w:p>
      <w:pPr>
        <w:spacing w:after="6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1.7 Objectives</w:t>
      </w:r>
    </w:p>
    <w:p>
      <w:pPr>
        <w:spacing w:after="60" w:line="360"/>
        <w:jc w:val="both"/>
      </w:pPr>
      <w:r>
        <w:rPr>
          <w:rFonts w:ascii="Times New Roman" w:cs="Times New Roman" w:eastAsia="Times New Roman" w:hAnsi="Times New Roman"/>
          <w:b/>
          <w:bCs/>
          <w:i w:val="false"/>
          <w:iCs w:val="false"/>
          <w:sz w:val="24"/>
          <w:szCs w:val="24"/>
        </w:rPr>
        <w:t xml:space="preserve">Primary objectives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60" w:line="360"/>
        <w:jc w:val="both"/>
      </w:pPr>
      <w:r>
        <w:rPr>
          <w:rFonts w:ascii="Times New Roman" w:cs="Times New Roman" w:eastAsia="Times New Roman" w:hAnsi="Times New Roman"/>
          <w:b/>
          <w:bCs/>
          <w:i w:val="false"/>
          <w:iCs w:val="false"/>
          <w:sz w:val="24"/>
          <w:szCs w:val="24"/>
        </w:rPr>
        <w:t xml:space="preserve">Methodological objective</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1.8 Hypotheses</w:t>
      </w:r>
    </w:p>
    <w:p>
      <w:pPr>
        <w:spacing w:after="6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60" w: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60" w: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60" w: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[13].</w:t>
      </w:r>
    </w:p>
    <w:p>
      <w:pPr>
        <w:spacing w:after="60" w: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3.3), a contrast-mediated effect predicts a corresponding reversal of the colour ordering across polarity, whereas a residual hue-specific effect predicts a consistent ordering, with red the a priori candidate exception [12].</w:t>
      </w:r>
    </w:p>
    <w:p>
      <w:pPr>
        <w:spacing w:after="60" w: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1.9 Conceptual framework</w:t>
      </w:r>
    </w:p>
    <w:p>
      <w:pPr>
        <w:spacing w:after="6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[22,23]; sleepiness, indexed by PERCLOS, and disengagement are treated as measured confounders; participant characteristics modulate susceptibility throughout.</w:t>
      </w:r>
    </w:p>
    <w:p>
      <w:pPr>
        <w:spacing w:after="60" w: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585"/>
        <w:gridCol w:w="1274"/>
        <w:gridCol w:w="1248"/>
        <w:gridCol w:w="2027"/>
        <w:gridCol w:w="2079"/>
        <w:gridCol w:w="208"/>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Pathway</w:t>
            </w:r>
          </w:p>
        </w:tc>
        <w:tc>
          <w:tcPr>
            <w:tcW w:type="dxa" w:w="158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Antecedent (independent variable)</w:t>
            </w:r>
          </w:p>
        </w:tc>
        <w:tc>
          <w:tcPr>
            <w:tcW w:type="dxa" w:w="127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Proximal mechanism</w:t>
            </w:r>
          </w:p>
        </w:tc>
        <w:tc>
          <w:tcPr>
            <w:tcW w:type="dxa" w:w="124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Mediating state</w:t>
            </w:r>
          </w:p>
        </w:tc>
        <w:tc>
          <w:tcPr>
            <w:tcW w:type="dxa" w:w="202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Symptom cluster</w:t>
            </w:r>
          </w:p>
        </w:tc>
        <w:tc>
          <w:tcPr>
            <w:tcW w:type="dxa" w:w="207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Measured outcome (P = primary, S = secondary)</w:t>
            </w:r>
          </w:p>
        </w:tc>
        <w:tc>
          <w:tcPr>
            <w:tcW w:type="dxa" w:w="20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Evidence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Optical / refractive</w:t>
            </w:r>
          </w:p>
        </w:tc>
        <w:tc>
          <w:tcPr>
            <w:tcW w:type="dxa" w:w="158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luminance and polarity; ambient illuminance</w:t>
            </w:r>
          </w:p>
        </w:tc>
        <w:tc>
          <w:tcPr>
            <w:tcW w:type="dxa" w:w="12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 diameter → aberration and depth of focus</w:t>
            </w:r>
          </w:p>
        </w:tc>
        <w:tc>
          <w:tcPr>
            <w:tcW w:type="dxa" w:w="12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Retinal image quality; accommodative demand</w:t>
            </w:r>
          </w:p>
        </w:tc>
        <w:tc>
          <w:tcPr>
            <w:tcW w:type="dxa" w:w="20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Accommodative/vergence (blur, focusing difficulty, headache, transient myopia)</w:t>
            </w:r>
          </w:p>
        </w:tc>
        <w:tc>
          <w:tcPr>
            <w:tcW w:type="dxa" w:w="207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rate (S); comprehension (S); visual search (S); perceived clarity (S)</w:t>
            </w:r>
          </w:p>
        </w:tc>
        <w:tc>
          <w:tcPr>
            <w:tcW w:type="dxa" w:w="20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[7,8,10,11,13]</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w:t>
            </w:r>
          </w:p>
        </w:tc>
        <w:tc>
          <w:tcPr>
            <w:tcW w:type="dxa" w:w="158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Luminance contrast; chromaticity; visual and cognitive demand</w:t>
            </w:r>
          </w:p>
        </w:tc>
        <w:tc>
          <w:tcPr>
            <w:tcW w:type="dxa" w:w="12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Reduced blink rate; increased incomplete blinking</w:t>
            </w:r>
          </w:p>
        </w:tc>
        <w:tc>
          <w:tcPr>
            <w:tcW w:type="dxa" w:w="12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Exposed evaporative area; tear-film stability</w:t>
            </w:r>
          </w:p>
        </w:tc>
        <w:tc>
          <w:tcPr>
            <w:tcW w:type="dxa" w:w="20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 (dryness, burning, irritation)</w:t>
            </w:r>
          </w:p>
        </w:tc>
        <w:tc>
          <w:tcPr>
            <w:tcW w:type="dxa" w:w="207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(P); CVS-Q change (key S); blink rate, inter-blink interval, VAS (S)</w:t>
            </w:r>
          </w:p>
        </w:tc>
        <w:tc>
          <w:tcPr>
            <w:tcW w:type="dxa" w:w="20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[5,6,17,18,19]</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Cross-cutting</w:t>
            </w:r>
          </w:p>
        </w:tc>
        <w:tc>
          <w:tcPr>
            <w:tcW w:type="dxa" w:w="158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Time on task; sleepiness; disengagement; participant factors</w:t>
            </w:r>
          </w:p>
        </w:tc>
        <w:tc>
          <w:tcPr>
            <w:tcW w:type="dxa" w:w="127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Resource depletion; arousal state; habituation</w:t>
            </w:r>
          </w:p>
        </w:tc>
        <w:tc>
          <w:tcPr>
            <w:tcW w:type="dxa" w:w="12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Sustained-attention capacity; response criterion</w:t>
            </w:r>
          </w:p>
        </w:tc>
        <w:tc>
          <w:tcPr>
            <w:tcW w:type="dxa" w:w="20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207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RT variability and lapses (S); PERCLOS (covariate); engagement flags (quality control)</w:t>
            </w:r>
          </w:p>
        </w:tc>
        <w:tc>
          <w:tcPr>
            <w:tcW w:type="dxa" w:w="20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[22,23,27,28]</w:t>
            </w:r>
          </w:p>
        </w:tc>
      </w:tr>
    </w:tbl>
    <w:p>
      <w:pPr>
        <w:spacing w:after="90"/>
      </w:pPr>
      <w:r>
        <w:rPr>
          <w:sz w:val="12"/>
          <w:szCs w:val="12"/>
        </w:rPr>
        <w:t xml:space="preserve"/>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[1]. One finding carries methodological force: prevalence was higher in studies that did not use the Computer Vision Syndrome Questionnaire (75.4 per cent), and meta-regression associated use of that instrument with lower estimates [1],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[1,3,4,16], and note that preventive measures acting at different points of the dry-eye cycle may be complementary [5].</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2.2 Display polarity</w:t>
      </w:r>
    </w:p>
    <w:p>
      <w:pPr>
        <w:spacing w:after="6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60" w: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871"/>
        <w:gridCol w:w="650"/>
        <w:gridCol w:w="650"/>
        <w:gridCol w:w="2903"/>
        <w:gridCol w:w="2903"/>
        <w:gridCol w:w="444"/>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87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90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90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44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illumination × chromaticity</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Polarity advantage independent of lighting and chromaticity; colour contrast cannot replace luminance contrast</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Short task; no ocular or symptom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 [10]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Pupillometry with proofreading; polarity</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Smaller pupils and better performance under positive polarity</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 [11]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character size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Advantage increased linearly as character size decreased</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brief exposure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Adaptive-staircase psychophysics; typeface × polarity × size × age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Black-on-white more legible than white-on-black; typeface interacted with age</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Glance reading only; threshold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Lexical decision; polarity × illumination × size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Thresholds worst for negative polarity under near-dark light</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fatigue or ocular-surface outcomes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Sethi &amp; Ziat [25]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with subjective and affective measures; polarity × environment × age × task</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cognitive load under negative polarity, conditional on age and lighting</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Search and writing tasks;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Lin et al. [14]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Visual-ergonomic optimisation; luminance × polarity at 300 lux</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preferable; optimum display luminance 153 cd/m²</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Desktop head-up display; office lighting only; achromatic</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Ziat's finding that the cognitive cost of negative polarity depended jointly on age and lighting [25] indicates that polarity effects are conditional rather than universal.</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6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60" w: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834"/>
        <w:gridCol w:w="650"/>
        <w:gridCol w:w="650"/>
        <w:gridCol w:w="2780"/>
        <w:gridCol w:w="2780"/>
        <w:gridCol w:w="727"/>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83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72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colour contrast vs luminance contrast (red-on-green)</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contrast cannot compensate for absent luminance contrast</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chromatic pair; short task</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 [7]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Binocular open-field autorefractometry; 14 text–background colour combinations, 2-min passages</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modulated accommodative and pupillary dynamics; low-contrast pairs rated less legible; reading speed unaffected</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2-min exposure; no symptom-level outcome; lab instrumentation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 [36]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and Likert scales; 2 colour modes × 6 luminance-contrast ratios at night</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mode raised blink rate and pupil accommodation, yet light mode was rated less fatiguing and preferred</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Objective–subjective dissociation unexplained; 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 [37]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tracker and EEG; paradigm colour × screen brightness in a dark environment</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reduced fatigue; blue preferred to red; no EEG colour effect</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paradigm stimuli;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 [12]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during reading; ambient illumination × text colour, negative polarity only</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 most fatiguing, yellow least; performance better with yellow and white</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 hue confounded with contrast</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[7] and those finding effects on fatigue and performance [12], which neither was designed to estimate. More consequentially, none separates hue from luminance contrast: because chromatic pigments differ in relative luminance, a fixed colour set rendered on light and dark fields produces unequal, polarity-asymmetric contrasts, so contrast is an inseparable covarying property of any colour manipulation and must be modelled [9]. Xie and colleagues add a complication directly relevant here, their objective and subjective indices pointing in opposite directions, dark mode improving blink measures while light mode was preferred and rated less fatiguing [36].</w:t>
      </w:r>
    </w:p>
    <w:p>
      <w:pPr>
        <w:spacing w:after="60" w: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[20],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[21]. That a polarity-blind criterion governs a domain in which polarity is among the strongest determinants of legibility [9,10,11,13] is a problem to which empirical work can contribute.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[13] and the fatigue cost of coloured text under it [12], consistent with a pupil-mediated account in which room light and display polarity trade against one another (Table 2.3).</w:t>
      </w:r>
    </w:p>
    <w:p>
      <w:pPr>
        <w:spacing w:after="60" w: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32"/>
        <w:gridCol w:w="650"/>
        <w:gridCol w:w="650"/>
        <w:gridCol w:w="2167"/>
        <w:gridCol w:w="2938"/>
        <w:gridCol w:w="584"/>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432"/>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16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Illumination manipulated</w:t>
            </w:r>
          </w:p>
        </w:tc>
        <w:tc>
          <w:tcPr>
            <w:tcW w:type="dxa" w:w="29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58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Darkness vs typical office lighting</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advantage independent of ambient lighting</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coarse levels; proofreading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Near-dark vs daylight-like</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worst under near-dark; raising illumination or switching polarity restored legibility</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 legibility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 [36]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ambient illumination at night, 6 contrast ratios</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mode and contrast jointly affected fatigue under low light</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 [37]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environment, graded screen brightness</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in darkness reduced fatigue; sensitivity most vulnerable at medium-high brightness</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stimuli</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 [12]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Graded ambient illumination, negative polarity</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illumination reduced fatigue, by an amount depending on text colour</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Bright vs dark room × bright vs dark screen, 30-min reading</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four combinations only; polarity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[9] whereas threshold legibility showed a clear interaction [13],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[38].</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6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[3,5,6], and the proportion of blinks that fail to close fully has the strongest claim to specificity (Table 2.4).</w:t>
      </w:r>
    </w:p>
    <w:p>
      <w:pPr>
        <w:spacing w:after="60" w: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361"/>
        <w:gridCol w:w="650"/>
        <w:gridCol w:w="650"/>
        <w:gridCol w:w="2791"/>
        <w:gridCol w:w="2791"/>
        <w:gridCol w:w="178"/>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36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79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 and task</w:t>
            </w:r>
          </w:p>
        </w:tc>
        <w:tc>
          <w:tcPr>
            <w:tcW w:type="dxa" w:w="279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17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 [26]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amplitude, tear film; fast vs slow display task</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fell to one-third (fast) and one-half (slow) of baseline; more incomplete blinks when dynamic</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Game task, not reading; manual video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 [17]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symptom score; 15-min reading</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 blinks 0.9–56.5% (mean 16.1); symptoms correlated with incomplete-blink % (p = 0.002); raising blink rate did not help</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condition; small sample;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 [19]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composition and tear break-up time; 60-min task</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Break-up time fell 8.62→4.33 s at 30 min, recovering as incomplete blinking declined; quality, not frequency, governs stability</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Very small sample; single display condition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 [18]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across 6 hard-copy and electronic reading conditions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All reading reduced blink rate; incomplete blinks rose only on electronic platforms</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parameters not manipulated;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 [28]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driving performance after 24-h sleep deprivation</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correlated with vigilance variability (r = 0.68) and lane position (r = 0.61)</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not visual fatigue; extreme manipulation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Tear-film indices and blink parameters; 30-min reading, 4 lighting–brightness combinations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polarity and text colour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findings together forbid reading blink rate as a simple index of fatigue: it is suppressed by reading irrespective of medium [18] and by task dynamism at matched cognitive load [26]; total rate can remain stable while the complete-to-incomplete composition shifts [19]; and raising blink rate experimentally produced no change in symptom score [17]. The incomplete-blink ratio, referenced to a within-participant baseline, is therefore the better-justified primary marker. Every study in Table 2.4 relied on manual frame-by-frame coding or dedicated hardware, and none manipulated display polarity or text colour.</w:t>
      </w:r>
    </w:p>
    <w:p>
      <w:pPr>
        <w:spacing w:after="60" w: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[27] and correlates with vigilance-performance variability after sleep deprivation [28]. Its documented insensitivity in moderate drowsiness [27] dictates its role here as a covariate for sleepiness rather than a measure of visual fatigue.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6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[29].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[22], with lapses and reaction-time variability its most fatigue-sensitive indices [23]. Attentional and visual-fatigue outcomes therefore share time on task as a driver and must be measured together if they are to be distinguished.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[30]. Cross-cultural validation reports internal consistency of 0.793, sensitivity 78.5 per cent, specificity 70.7 per cent, convergent validity with the Ocular Surface Disease Index of 0.728 and a cut-off of seven [31]. Cognitive workload is conventionally indexed by the NASA Task Load Index across six dimensions [32]. Review notes that correlations between objective and subjective measures are not always apparent [3], a discrepancy treated here as an object of study.</w:t>
      </w:r>
    </w:p>
    <w:p>
      <w:pPr>
        <w:spacing w:after="60" w: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[33]. Being continuous and normalised, it can distinguish partial from complete closure, automating what the clinical literature has done by hand [17,18,19].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2.8 Research gaps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the best of the available evidence the interaction between polarity and text colour on visual fatigue remains unestimated, since the only located text-colour fatigue study held polarity constant [12], and hue has not been separated from luminance contrast in the studies located [7,9,12,36].</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contrast metrics alongside measured display photometry, and the prevailing standard is polarity-blind [20,21]. Three-way effects of polarity, colour and illumination remain uncharacterised, the available two-way findings being in partial conflict [9,12,13].</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[3]; where both have been measured, they have pointed in opposite directions [36].</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display-parameter manipulation despite its specificity [17,18,19,38], and its measurement does not scale, no automated implementation having been validated against manual annotation in the literature located.</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 Study design</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60" w: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 — Preparation: ethics approval; instrument development and pilot; photometric characterisation of the tablet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 (Figure 3.2)</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III — Session 1: 10 display conditions under illumination level A, in Williams order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IV — Session 2 after 48–72 h: the same 10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 — Data processing: automated ocular metrics, quality-control gating, manual-annotation validation sub-study</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VI — Mixed-effects analysis, design recommendations, thesis</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60" w: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60" w:line="360"/>
        <w:jc w:val="both"/>
      </w:pPr>
      <w:r>
        <w:rPr>
          <w:rFonts w:ascii="Times New Roman" w:cs="Times New Roman" w:eastAsia="Times New Roman" w:hAnsi="Times New Roman"/>
          <w:b w:val="false"/>
          <w:bCs w:val="false"/>
          <w:i w:val="false"/>
          <w:iCs w:val="false"/>
          <w:sz w:val="24"/>
          <w:szCs w:val="24"/>
        </w:rPr>
        <w:t xml:space="preserve">The target is 100 participants aged 18 to 35, with 110 enrolled to allow for attrition across the two sessions. Three considerations fix this number. It is a multiple of the ten display conditions, which the Williams counterbalancing scheme requires for complete balance (§3.8). Within-subject power for the polarity, colour and illumination contrasts is high, since each participant contributes twenty condition-runs, and will be confirmed by an a priori simulation-based power analysis under the planned mixed-effects model rather than by a formula that assumes independent observations. The binding constraint is instead Objective 3, because moderation by participant characteristics is a between-participant comparison and requires adequate numbers in each subgroup; a sample of 100 supports subgroups of roughly 40 to 50 for a binary moderator such as habitual dark-mode preference. Published studies in this area have used substantially smaller samples, as Table 3.1 shows, so the proposed size is generous for the primary contrasts and appropriate for the moderation analysis.</w:t>
      </w:r>
    </w:p>
    <w:p>
      <w:pPr>
        <w:spacing w:after="60" w:line="360"/>
        <w:jc w:val="both"/>
      </w:pPr>
      <w:r>
        <w:rPr>
          <w:rFonts w:ascii="Times New Roman" w:cs="Times New Roman" w:eastAsia="Times New Roman" w:hAnsi="Times New Roman"/>
          <w:b/>
          <w:bCs/>
          <w:i w:val="false"/>
          <w:iCs w:val="false"/>
          <w:sz w:val="24"/>
          <w:szCs w:val="24"/>
        </w:rPr>
        <w:t xml:space="preserve">Table 3.1 — Sample sizes in comparable published studies, and the basis for the proposed sample.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48"/>
        <w:gridCol w:w="650"/>
        <w:gridCol w:w="3780"/>
        <w:gridCol w:w="1693"/>
      </w:tblGrid>
      <w:tr>
        <w:trPr>
          <w:tblHeader/>
        </w:trPr>
        <w:tc>
          <w:tcPr>
            <w:tcW w:type="dxa" w:w="294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3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w:t>
            </w:r>
          </w:p>
        </w:tc>
        <w:tc>
          <w:tcPr>
            <w:tcW w:type="dxa" w:w="169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Observations per participant</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 [19]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condition, 60-min task</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 [28]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conditions (rested, sleep-deprived)</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 [17]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conditions (with and without blink cue)</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 [7]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14 colour combinations, 2-min each</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14</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 [26]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Three conditions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 [18]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Six reading conditions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Four lighting–brightness combinations, 30-min each</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Proposed study</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100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10 display conditions × 2 illumination levels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20</w:t>
            </w:r>
          </w:p>
        </w:tc>
      </w:tr>
    </w:tbl>
    <w:p>
      <w:pPr>
        <w:spacing w:after="90"/>
      </w:pPr>
      <w:r>
        <w:rPr>
          <w:sz w:val="12"/>
          <w:szCs w:val="12"/>
        </w:rPr>
        <w:t xml:space="preserve"/>
      </w:r>
    </w:p>
    <w:p>
      <w:pPr>
        <w:spacing w:after="60" w: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60" w:line="360"/>
        <w:jc w:val="both"/>
      </w:pPr>
      <w:r>
        <w:rPr>
          <w:rFonts w:ascii="Times New Roman" w:cs="Times New Roman" w:eastAsia="Times New Roman" w:hAnsi="Times New Roman"/>
          <w:b/>
          <w:bCs/>
          <w:i w:val="false"/>
          <w:iCs w:val="false"/>
          <w:sz w:val="24"/>
          <w:szCs w:val="24"/>
        </w:rPr>
        <w:t xml:space="preserve">Table 3.2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Inclusion</w:t>
            </w:r>
          </w:p>
        </w:tc>
        <w:tc>
          <w:tcPr>
            <w:tcW w:type="dxa" w:w="453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Exclusion</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Age 18 to 35 years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Refractive error beyond ±3.00 D</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Distance visual acuity 6/6 or better, with or without correction</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Manifest binocular vision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Habitual screen use of at least four hours daily</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Colour-vision deficiency on screening</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known ocular, systemic or neurological illness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History of photosensitivity or migraine</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Able to give written informed consent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Medication affecting vision, accommodation or tear film</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Available for two sessions 48 to 72 hours apart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Diagnosed learning or psychiatric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Contact-lens wear on test days; ocular surgery within six months</w:t>
            </w:r>
          </w:p>
        </w:tc>
      </w:tr>
    </w:tbl>
    <w:p>
      <w:pPr>
        <w:spacing w:after="90"/>
      </w:pPr>
      <w:r>
        <w:rPr>
          <w:sz w:val="12"/>
          <w:szCs w:val="12"/>
        </w:rPr>
        <w:t xml:space="preserve"/>
      </w:r>
    </w:p>
    <w:p>
      <w:pPr>
        <w:spacing w:after="60" w: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[34].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60" w: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140)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Screening: visual acuity, refraction, binocular status, colour vision</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Excluded: criteria not met, or declined to participate</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Enrolled and consented (n = 110), assigned a sequential enrolment number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Allocated to a Williams row and to an illumination order (dim-first or moderate-first)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1: 10 display conditions under illumination level A</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2 (48–72 h later): 10 display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Withdrawal, non-attendance or data-quality exclusion recorded and reported</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Analysed (target n = 100; 20 condition-runs each, 2,000 condition-runs in total)</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6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[14]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[20]. The five text colours were retained from the locked condition set used earlier in this programme, with green added so that the number of sub-AA conditions is balanced across the two polarities, at two per polarity, which is what permits the contrast ordering to reverse symmetrically between polarities.</w:t>
      </w:r>
    </w:p>
    <w:p>
      <w:pPr>
        <w:spacing w:after="60" w:line="36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47"/>
        <w:gridCol w:w="650"/>
        <w:gridCol w:w="1330"/>
        <w:gridCol w:w="968"/>
        <w:gridCol w:w="1209"/>
        <w:gridCol w:w="1209"/>
        <w:gridCol w:w="968"/>
        <w:gridCol w:w="1089"/>
        <w:gridCol w:w="801"/>
      </w:tblGrid>
      <w:tr>
        <w:trPr>
          <w:tblHeader/>
        </w:trPr>
        <w:tc>
          <w:tcPr>
            <w:tcW w:type="dxa" w:w="8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 No.</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Code</w:t>
            </w:r>
          </w:p>
        </w:tc>
        <w:tc>
          <w:tcPr>
            <w:tcW w:type="dxa" w:w="13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colour</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hex</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Background</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WCAG ratio</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Level</w:t>
            </w:r>
          </w:p>
        </w:tc>
        <w:tc>
          <w:tcPr>
            <w:tcW w:type="dxa" w:w="108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Michelson</w:t>
            </w:r>
          </w:p>
        </w:tc>
        <w:tc>
          <w:tcPr>
            <w:tcW w:type="dxa" w:w="80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Below AA</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6.70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0.807</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5.74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0.765</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2.39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Fail</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0.439</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0.564</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3.66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8.79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6.57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properties of this matrix matter analytically. First, the contrast ordering reverses across polarity, so the polarity-by-colour interaction permits contrast-mediated effects to be modelled and distinguished from residual hue-specific effects, although the two are separated statistically rather than experimentally. Second, conditions falling below the accessibility minimum are balanced two per polarity, so polarity is not systematically confounded with compliance. Third, Michelson contrast is degenerate under negative polarity: with a pure black background the minimum luminance is zero and the metric saturates at 1.000 for every colour, so it cannot discriminate those conditions. This last point is itself a finding, since it requires the accessibility contrast ratio and measured photometry, rather than Michelson contrast, to serve as the analytic contrast variable, and it reinforces the case that a luminance-insensitive metric is inadequate for dark-mode interfaces [20,21].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[12,13]. The moderate level targets approximately 150 lux (range 130–170), representing general indoor domestic lighting and set deliberately below the 300–500 lux specified for offices and classrooms in the Indian interior-illumination code [35] and below the 300 lux reference used in recent display optimisation [14]. Two levels rather than a graded series were chosen so that illumination could be crossed with all ten display conditions within a feasible protocol. The values were selected to fall either side of the range at which negative-polarity penalties have been reported to emerge [12,13]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3.5 Instrumentation</w:t>
      </w:r>
    </w:p>
    <w:p>
      <w:pPr>
        <w:spacing w:after="6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60" w: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60" w: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60" w: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60" w: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and flags for disengagement. Duration-dependent blink metrics are gated automatically on the achieved sampling rate, and every measure is written to storage immediately, so an interruption loses at most the condition in progress. All camera processing occurs on the device, and no video is retained.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3.6 Procedure</w:t>
      </w:r>
    </w:p>
    <w:p>
      <w:pPr>
        <w:spacing w:after="6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60" w: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Adaptation on a neutral grey field, 60 s, extended to 120 s when polarity switches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Reading task: standardised passage in the active condition, self-paced beyond a per-page minimum; exposure window for ocular metrics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Comprehension: multiple-choice items assessing gist, inference and detail</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Display perception: comfort and clarity ratings, captured immediately after reading</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Visual-fatigue VAS: five items, 0–10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 search: tap every occurrence of a target word, fixed time limit</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Go/no-go reaction time: dot at random screen locations on the active background</w:t>
      </w:r>
    </w:p>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60" w: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[23].</w:t>
      </w:r>
    </w:p>
    <w:p>
      <w:pPr>
        <w:spacing w:after="60" w: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pilot of ten participants will precede the main study to assess session tolerability, dropout, data quality and completion time.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6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60" w: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60" w:line="360"/>
        <w:jc w:val="both"/>
      </w:pPr>
      <w:r>
        <w:rPr>
          <w:rFonts w:ascii="Times New Roman" w:cs="Times New Roman" w:eastAsia="Times New Roman" w:hAnsi="Times New Roman"/>
          <w:b/>
          <w:bCs/>
          <w:i w:val="false"/>
          <w:iCs w:val="false"/>
          <w:sz w:val="24"/>
          <w:szCs w:val="24"/>
        </w:rPr>
        <w:t xml:space="preserve">Table 3.4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Domain</w:t>
            </w:r>
          </w:p>
        </w:tc>
        <w:tc>
          <w:tcPr>
            <w:tcW w:type="dxa" w:w="609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behaviour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(primary); blink rate; inter-blink interval and variability; within-condition half bins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and data quality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long-closure events; head pose and stability; face-presence ratio; achieved sampling rate</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Subjective fatigue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CVS-Q score and change from baseline (key secondary) [30]; five-item visual-fatigue VAS (0–10)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Perceived display quality</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comfort and text clarity (0–100)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Cognitive workload</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NASA-TLX, six dimensions, once per session [32]</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Task performance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3.8 Counterbalancing</w:t>
      </w:r>
    </w:p>
    <w:p>
      <w:pPr>
        <w:spacing w:after="6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final sample size will be determined by the power analysis and rounded upward to the nearest multiple of ten to permit balanced allocation. Illumination order is counterbalanced orthogonally.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3.9 Statistical analysis</w:t>
      </w:r>
    </w:p>
    <w:p>
      <w:pPr>
        <w:spacing w:after="6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60" w: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60" w: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3.10 Ethical considerations</w:t>
      </w:r>
    </w:p>
    <w:p>
      <w:pPr>
        <w:spacing w:after="6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with camera-based measurement consented separately and refusable without affecting participation. Participants may withdraw at any time. Camera processing is performed on the device with no video retained, and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60" w: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[insert institutional retention period]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[Insert institutional position on compensation: reimbursement of travel costs only, or no compensation]; any reimbursement will be set at a level that does not constitute undue inducement.</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4.1 Expected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4.2 Significance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60" w: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 Accommodative outcomes, which require open-field autorefractometry, fall outside the scope of this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60" w: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4.4 Concluding remarks</w:t>
      </w:r>
    </w:p>
    <w:p>
      <w:pPr>
        <w:spacing w:after="6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pageBreakBefore/>
        <w:spacing w:after="90" w:before="240" w:line="360"/>
        <w:jc w:val="center"/>
      </w:pPr>
      <w:r>
        <w:rPr>
          <w:rFonts w:ascii="Times New Roman" w:cs="Times New Roman" w:eastAsia="Times New Roman" w:hAnsi="Times New Roman"/>
          <w:b/>
          <w:bCs/>
          <w:i w:val="false"/>
          <w:iCs w:val="false"/>
          <w:sz w:val="30"/>
          <w:szCs w:val="30"/>
        </w:rPr>
        <w:t xml:space="preserve">REFERENCES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Ccami-Bernal F, Soriano-Moreno DR, Romero-Robles MA, Barriga-Chambi F, Tuco KG, Castro-Diaz SD, et al. Prevalence of computer vision syndrome: A systematic review and meta-analysis. Journal of Optometry. 2024;17(1):100482. https://doi.org/10.1016/j.optom.2023.100482</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Kaur K, Gurnani B, Nayak S, Deori N, Kaur S, Jethani J, et al. Digital Eye Strain — A Comprehensive Review. Ophthalmology and Therapy. 2022;11(5):1655–1680. https://doi.org/10.1007/s40123-022-00540-9</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Sheppard AL, Wolffsohn JS. Digital eye strain: prevalence, measurement and amelioration. BMJ Open Ophthalmology. 2018;3(1):e000146. https://doi.org/10.1136/bmjophth-2018-000146</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Pucker AD, Kerr AM, Sanderson J, et al. Digital Eye Strain: Updated Perspectives. Clinical Optometry. 2024;16:233–246. https://doi.org/10.2147/OPTO.S412382</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Kamøy B, Magno M, Nøland ST, et al. Video display terminal use and dry eye: preventive measures and future perspectives. Acta Ophthalmologica. 2022;100(7):723–739. https://doi.org/10.1111/aos.15105</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Fjaervoll K, Fjaervoll H, Magno M, et al. Review on the possible pathophysiological mechanisms underlying visual display terminal-associated dry eye disease. Acta Ophthalmologica. 2022;100(8):861–877. https://doi.org/10.1111/aos.15150</w:t>
      </w:r>
    </w:p>
    <w:p>
      <w:pPr>
        <w:spacing w:after="6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Jiménez R, Redondo B, Molina R, et al. Short-term effects of text-background color combinations on the dynamics of the accommodative response. Vision Research. 2020;166:33–42. https://doi.org/10.1016/j.visres.2019.11.006</w:t>
      </w:r>
    </w:p>
    <w:p>
      <w:pPr>
        <w:spacing w:after="6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Redondo B, Jiménez R, Vera J, et al. The impact of break schedules on digital eye strain symptoms and ocular accommodation during prolonged near work. Experimental Eye Research. 2025;258:110463. https://doi.org/10.1016/j.exer.2025.110463</w:t>
      </w:r>
    </w:p>
    <w:p>
      <w:pPr>
        <w:spacing w:after="6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Buchner A, Baumgartner N. Text — background polarity affects performance irrespective of ambient illumination and colour contrast. Ergonomics. 2007;50(7):1036–1063. https://doi.org/10.1080/00140130701306413</w:t>
      </w:r>
    </w:p>
    <w:p>
      <w:pPr>
        <w:spacing w:after="60" w:line="360"/>
        <w:ind w:left="640" w:hanging="64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Smaller pupil size and better proofreading performance with positive than with negative polarity displays. Ergonomics. 2014;57(11):1670–1677. https://doi.org/10.1080/00140139.2014.948496</w:t>
      </w:r>
    </w:p>
    <w:p>
      <w:pPr>
        <w:spacing w:after="60" w:line="360"/>
        <w:ind w:left="640" w:hanging="64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Positive display polarity is particularly advantageous for small character sizes: implications for display design. Human Factors. 2014;56(5):942–951. https://doi.org/10.1177/0018720813515509</w:t>
      </w:r>
    </w:p>
    <w:p>
      <w:pPr>
        <w:spacing w:after="60" w:line="360"/>
        <w:ind w:left="640" w:hanging="64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Fan Q, Xie J, Dong Z, et al. The Effect of Ambient Illumination and Text Color on Visual Fatigue under Negative Polarity. Sensors. 2024;24(11):3516. https://doi.org/10.3390/s24113516</w:t>
      </w:r>
    </w:p>
    <w:p>
      <w:pPr>
        <w:spacing w:after="60" w:line="360"/>
        <w:ind w:left="640" w:hanging="64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Effects of ambient illumination, contrast polarity, and letter size on text legibility under glance-like reading. Applied Ergonomics. 2017;60:68–73. https://doi.org/10.1016/j.apergo.2016.11.001</w:t>
      </w:r>
    </w:p>
    <w:p>
      <w:pPr>
        <w:spacing w:after="60" w:line="360"/>
        <w:ind w:left="640" w:hanging="64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Lin C, Ji Z, Lin Y. Optimum display luminance and contrast polarity of desktop head-up display under office lighting level based on visual ergonomic study. Ergonomics. 2024;67(11):1491–1503. https://doi.org/10.1080/00140139.2024.2339439</w:t>
      </w:r>
    </w:p>
    <w:p>
      <w:pPr>
        <w:spacing w:after="60" w:line="360"/>
        <w:ind w:left="640" w:hanging="640"/>
        <w:jc w:val="both"/>
      </w:pP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Singh S, McGuinness MB, Anderson AJ, et al. Interventions for the Management of Computer Vision Syndrome: A Systematic Review and Meta-analysis. Ophthalmology. 2022;129(10):1192–1215. https://doi.org/10.1016/j.ophtha.2022.05.009</w:t>
      </w:r>
    </w:p>
    <w:p>
      <w:pPr>
        <w:spacing w:after="60" w:line="360"/>
        <w:ind w:left="640" w:hanging="640"/>
        <w:jc w:val="both"/>
      </w:pP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Mataftsi A, Seliniotaki AK, Moutzouri S, Prousali E, Darusman KR, Adio AO, et al. Digital eye strain in young screen users: A systematic review. Preventive Medicine. 2023;170:107493. https://doi.org/10.1016/j.ypmed.2023.107493</w:t>
      </w:r>
    </w:p>
    <w:p>
      <w:pPr>
        <w:spacing w:after="60" w:line="360"/>
        <w:ind w:left="640" w:hanging="640"/>
        <w:jc w:val="both"/>
      </w:pP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Portello JK, Rosenfield M, Chu CA. Blink rate, incomplete blinks and computer vision syndrome. Optometry and Vision Science. 2013;90(5):482–487. https://doi.org/10.1097/OPX.0b013e31828f09a7</w:t>
      </w:r>
    </w:p>
    <w:p>
      <w:pPr>
        <w:spacing w:after="60" w:line="360"/>
        <w:ind w:left="640" w:hanging="640"/>
        <w:jc w:val="both"/>
      </w:pPr>
      <w:r>
        <w:rPr>
          <w:rFonts w:ascii="Times New Roman" w:cs="Times New Roman" w:eastAsia="Times New Roman" w:hAnsi="Times New Roman"/>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Argilés M, Cardona G, Pérez-Cabré E, et al. Blink Rate and Incomplete Blinks in Six Different Controlled Hard-Copy and Electronic Reading Conditions. Investigative Ophthalmology &amp; Visual Science. 2015;56(11):6679–6685. https://doi.org/10.1167/iovs.15-16967</w:t>
      </w:r>
    </w:p>
    <w:p>
      <w:pPr>
        <w:spacing w:after="60" w:line="360"/>
        <w:ind w:left="640" w:hanging="640"/>
        <w:jc w:val="both"/>
      </w:pP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Hirota M, Uozato H, Kawamorita T, et al. Effect of incomplete blinking on tear film stability. Optometry and Vision Science. 2013;90(7):650–657. https://doi.org/10.1097/OPX.0b013e31829962ec</w:t>
      </w:r>
    </w:p>
    <w:p>
      <w:pPr>
        <w:spacing w:after="60" w:line="360"/>
        <w:ind w:left="640" w:hanging="640"/>
        <w:jc w:val="both"/>
      </w:pP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World Wide Web Consortium (W3C). Web Content Accessibility Guidelines (WCAG) 2.2, Success Criteria 1.4.3 and 1.4.6; definitions of contrast ratio and relative luminance. W3C Recommendation. https://www.w3.org/TR/WCAG22/</w:t>
      </w:r>
    </w:p>
    <w:p>
      <w:pPr>
        <w:spacing w:after="60" w:line="360"/>
        <w:ind w:left="640" w:hanging="640"/>
        <w:jc w:val="both"/>
      </w:pP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Advanced Perceptual Contrast Algorithm (APCA): candidate perceptual contrast method incorporating polarity and typographic parameters, under development for a future generation of the accessibility guidelines. https://git.apcacontrast.com/</w:t>
      </w:r>
    </w:p>
    <w:p>
      <w:pPr>
        <w:spacing w:after="60" w:line="360"/>
        <w:ind w:left="640" w:hanging="640"/>
        <w:jc w:val="both"/>
      </w:pP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Warm JS, Parasuraman R, Matthews G. Vigilance requires hard mental work and is stressful. Human Factors. 2008;50(3):433–441. https://doi.org/10.1518/001872008X312152</w:t>
      </w:r>
    </w:p>
    <w:p>
      <w:pPr>
        <w:spacing w:after="60" w:line="360"/>
        <w:ind w:left="640" w:hanging="640"/>
        <w:jc w:val="both"/>
      </w:pP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Mollicone D, Basner M, et al. Sleepiness and Safety: Where Biology Needs Technology. Sleep and Biological Rhythms. 2014;12(2):74–84. https://doi.org/10.1111/sbr.12067</w:t>
      </w:r>
    </w:p>
    <w:p>
      <w:pPr>
        <w:spacing w:after="60" w:line="360"/>
        <w:ind w:left="640" w:hanging="640"/>
        <w:jc w:val="both"/>
      </w:pP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et al. Utilising psychophysical techniques to investigate the effects of age, typeface design, size and display polarity on glance legibility. Ergonomics. 2016;59(10):1377–1391. https://doi.org/10.1080/00140139.2015.1137637</w:t>
      </w:r>
    </w:p>
    <w:p>
      <w:pPr>
        <w:spacing w:after="60" w:line="360"/>
        <w:ind w:left="640" w:hanging="640"/>
        <w:jc w:val="both"/>
      </w:pP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Sethi T, Ziat M. Dark mode vogue: Do light-on-dark displays have measurable benefits to users? Ergonomics. 2023;66(12):1814–1828. https://doi.org/10.1080/00140139.2022.2160879</w:t>
      </w:r>
    </w:p>
    <w:p>
      <w:pPr>
        <w:spacing w:after="60" w:line="360"/>
        <w:ind w:left="640" w:hanging="640"/>
        <w:jc w:val="both"/>
      </w:pPr>
      <w:r>
        <w:rPr>
          <w:rFonts w:ascii="Times New Roman" w:cs="Times New Roman" w:eastAsia="Times New Roman" w:hAnsi="Times New Roman"/>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Cardona G, García C, Serés C, et al. Blink rate, blink amplitude, and tear film integrity during dynamic visual display terminal tasks. Current Eye Research. 2011;36(3):190–197. https://doi.org/10.3109/02713683.2010.544442</w:t>
      </w:r>
    </w:p>
    <w:p>
      <w:pPr>
        <w:spacing w:after="60" w:line="360"/>
        <w:ind w:left="640" w:hanging="640"/>
        <w:jc w:val="both"/>
      </w:pP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PERCLOS-based technologies for detecting drowsiness: current evidence and future directions. SLEEP Advances. 2023;4(1):zpad006. https://doi.org/10.1093/sleepadvances/zpad006</w:t>
      </w:r>
    </w:p>
    <w:p>
      <w:pPr>
        <w:spacing w:after="60" w:line="360"/>
        <w:ind w:left="640" w:hanging="640"/>
        <w:jc w:val="both"/>
      </w:pP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Jackson ML, Raj S, Croft RJ, et al. Slow eyelid closure as a measure of driver drowsiness and its relationship to performance. Traffic Injury Prevention. 2016;17(3):251–257. https://doi.org/10.1080/15389588.2015.1055327</w:t>
      </w:r>
    </w:p>
    <w:p>
      <w:pPr>
        <w:spacing w:after="60" w:line="360"/>
        <w:ind w:left="640" w:hanging="640"/>
        <w:jc w:val="both"/>
      </w:pP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Delgado P, Vargas C, Ackerman R, et al. Don't throw away your printed books: A meta-analysis on the effects of reading media on reading comprehension. Educational Research Review. 2018;25:23–38. https://doi.org/10.1016/j.edurev.2018.09.003</w:t>
      </w:r>
    </w:p>
    <w:p>
      <w:pPr>
        <w:spacing w:after="60" w:line="360"/>
        <w:ind w:left="640" w:hanging="640"/>
        <w:jc w:val="both"/>
      </w:pP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Seguí MdelM, Cabrero-García J, Crespo A, et al. A reliable and valid questionnaire was developed to measure computer vision syndrome at the workplace. Journal of Clinical Epidemiology. 2015;68(6):662–673. https://doi.org/10.1016/j.jclinepi.2015.01.015</w:t>
      </w:r>
    </w:p>
    <w:p>
      <w:pPr>
        <w:spacing w:after="60" w:line="360"/>
        <w:ind w:left="640" w:hanging="640"/>
        <w:jc w:val="both"/>
      </w:pP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Cantó-Sancho N, Linhares J, Ronda-Pérez E, et al. Cross-cultural validation into Portuguese of a questionnaire to assess computer vision syndrome in workers exposed to digital devices. Arquivos Brasileiros de Oftalmologia. 2024;87(6):e20220256. https://doi.org/10.5935/0004-2749.2022-0256</w:t>
      </w:r>
    </w:p>
    <w:p>
      <w:pPr>
        <w:spacing w:after="60" w:line="360"/>
        <w:ind w:left="640" w:hanging="640"/>
        <w:jc w:val="both"/>
      </w:pP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Hart SG, Staveland LE. Development of NASA-TLX (Task Load Index): Results of empirical and theoretical research. In: Hancock PA, Meshkati N, editors. Human Mental Workload. Advances in Psychology, Vol. 52. Amsterdam: North-Holland; 1988. p. 139–183.</w:t>
      </w:r>
    </w:p>
    <w:p>
      <w:pPr>
        <w:spacing w:after="60" w:line="360"/>
        <w:ind w:left="640" w:hanging="640"/>
        <w:jc w:val="both"/>
      </w:pPr>
      <w:r>
        <w:rPr>
          <w:rFonts w:ascii="Times New Roman" w:cs="Times New Roman" w:eastAsia="Times New Roman" w:hAnsi="Times New Roman"/>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Soukupová T, Čech J. Real-Time Eye Blink Detection using Facial Landmarks. In: Proceedings of the 21st Computer Vision Winter Workshop (CVWW). Rimske Toplice, Slovenia; 2016.</w:t>
      </w:r>
    </w:p>
    <w:p>
      <w:pPr>
        <w:spacing w:after="60" w:line="360"/>
        <w:ind w:left="640" w:hanging="640"/>
        <w:jc w:val="both"/>
      </w:pP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Klinke T, Hannak W, Böning K, et al. A Comparative Study of the Sensitivity and Specificity of the Ishihara Test With Various Displays. International Dental Journal. 2024;74(4):892–896. https://doi.org/10.1016/j.identj.2023.12.009</w:t>
      </w:r>
    </w:p>
    <w:p>
      <w:pPr>
        <w:spacing w:after="60" w:line="360"/>
        <w:ind w:left="640" w:hanging="640"/>
        <w:jc w:val="both"/>
      </w:pPr>
      <w:r>
        <w:rPr>
          <w:rFonts w:ascii="Times New Roman" w:cs="Times New Roman" w:eastAsia="Times New Roman" w:hAnsi="Times New Roman"/>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Bureau of Indian Standards. IS 3646: Code of Practice for Interior Illumination (Part 2: Schedule of Illumination and Glare Index). New Delhi: BIS.</w:t>
      </w:r>
    </w:p>
    <w:p>
      <w:pPr>
        <w:spacing w:after="60" w:line="360"/>
        <w:ind w:left="640" w:hanging="640"/>
        <w:jc w:val="both"/>
      </w:pPr>
      <w:r>
        <w:rPr>
          <w:rFonts w:ascii="Times New Roman" w:cs="Times New Roman" w:eastAsia="Times New Roman" w:hAnsi="Times New Roman"/>
          <w:sz w:val="24"/>
          <w:szCs w:val="24"/>
        </w:rPr>
        <w:t xml:space="preserve">36.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Xie X, Song F, Liu Y, et al. Study on the Effects of Display Color Mode and Luminance Contrast on Visual Fatigue. IEEE Access. 2021;9:35915–35923. https://doi.org/10.1109/ACCESS.2021.3061770</w:t>
      </w:r>
    </w:p>
    <w:p>
      <w:pPr>
        <w:spacing w:after="60" w:line="360"/>
        <w:ind w:left="640" w:hanging="640"/>
        <w:jc w:val="both"/>
      </w:pPr>
      <w:r>
        <w:rPr>
          <w:rFonts w:ascii="Times New Roman" w:cs="Times New Roman" w:eastAsia="Times New Roman" w:hAnsi="Times New Roman"/>
          <w:sz w:val="24"/>
          <w:szCs w:val="24"/>
        </w:rPr>
        <w:t xml:space="preserve">37.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Tian P, Xu G, Han C, et al. Effects of Paradigm Color and Screen Brightness on Visual Fatigue in Light Environment of Night Based on Eye Tracker and EEG Acquisition Equipment. Sensors. 2022;22(11):4082. https://doi.org/10.3390/s22114082</w:t>
      </w:r>
    </w:p>
    <w:p>
      <w:pPr>
        <w:spacing w:after="60" w:line="360"/>
        <w:ind w:left="640" w:hanging="640"/>
        <w:jc w:val="both"/>
      </w:pPr>
      <w:r>
        <w:rPr>
          <w:rFonts w:ascii="Times New Roman" w:cs="Times New Roman" w:eastAsia="Times New Roman" w:hAnsi="Times New Roman"/>
          <w:sz w:val="24"/>
          <w:szCs w:val="24"/>
        </w:rPr>
        <w:t xml:space="preserve">38.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[Author list to be completed from the publisher record.] Effects of ambient illuminance and mobile phone screen brightness on tear film stability, visual fatigue, and blink patterns during reading. Contact Lens and Anterior Eye. 2025. https://doi.org/10.1016/j.clae.2025.102515</w:t>
      </w:r>
    </w:p>
    <w:p>
      <w:pPr>
        <w:pBdr>
          <w:bottom w:val="single" w:color="AAAAAA" w:sz="6" w:space="1"/>
        </w:pBdr>
        <w:spacing w:after="90" w:before="60"/>
      </w:pPr>
      <w:r>
        <w:rPr>
          <w:rFonts w:ascii="Times New Roman" w:cs="Times New Roman" w:eastAsia="Times New Roman" w:hAnsi="Times New Roman"/>
          <w:sz w:val="24"/>
          <w:szCs w:val="24"/>
        </w:rPr>
        <w:t xml:space="preserve"/>
      </w:r>
    </w:p>
    <w:p>
      <w:pPr>
        <w:spacing w:after="240" w:line="36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240" w:line="36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240" w:line="36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90" w:before="18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80" w:before="16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120" w:before="22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2026-08-11T07:32:06.967Z</dcterms:created>
  <dcterms:modified xsi:type="dcterms:W3CDTF">2026-08-11T07:32:06.968Z</dcterms:modified>
</cp:coreProperties>
</file>

<file path=docProps/custom.xml><?xml version="1.0" encoding="utf-8"?>
<Properties xmlns="http://schemas.openxmlformats.org/officeDocument/2006/custom-properties" xmlns:vt="http://schemas.openxmlformats.org/officeDocument/2006/docPropsVTypes"/>
</file>