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1.1 Background</w:t>
      </w:r>
    </w:p>
    <w:p>
      <w:pPr>
        <w:spacing w:after="0" w:line="360"/>
        <w:jc w:val="both"/>
      </w:pPr>
      <w:r>
        <w:rPr>
          <w:rFonts w:ascii="Times New Roman" w:cs="Times New Roman" w:eastAsia="Times New Roman" w:hAnsi="Times New Roman"/>
          <w:b w:val="false"/>
          <w:bCs w:val="false"/>
          <w:i w:val="false"/>
          <w:iCs w:val="false"/>
          <w:sz w:val="24"/>
          <w:szCs w:val="24"/>
        </w:rPr>
        <w:t xml:space="preserve">Reading has moved off paper and onto screens. Tablets in particular now serve for study, work and leisure reading, often for several unbroken hours. A printed page reflects whatever light falls on it and cannot be altered once it leaves the press. A screen emits its own light, and almost every property of what it shows can be changed in software. Three of those properties are manipulated in this study, and a fourth governs all three.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Display polarity describes which of the two elements is lighter. Positive polarity places dark text on a light background, the arrangement of a printed book; negative polarity places light text on a dark background and is known popularly as dark mode. Text colour, or chromaticity, is the hue of the letters, which need not be black or white. Ambient illumination is the light of the room in which the screen is read. Governing all three is luminance contrast, the difference in brightness between letters and background. Luminance contrast determines whether text can be resolved comfortably, and it is not the same thing as colour difference: two hues may look very different from one another and still be difficult to read in combination.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Designers set these properties when they build an application, and users reset them every time they switch a theme. The choices are therefore made at very large scale, yet the evidence on what combinations of them do during prolonged reading is thin.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Prolonged screen reading carries a recognised pattern of discomfort. The eyes feel dry, tired, sore or gritty; vision blurs or takes a moment to refocus after looking up; headache and neck or shoulder ache follow long sessions. Where these complaints occur together and can be attributed to display use, they are grouped under one label. Two names remain in circulation for the same entity, computer vision syndrome and digital eye strain. This document uses digital eye strain for the condition, reserving computer vision syndrome for places where the source literature or a named instrument uses it.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 to 75.3), rising to 76.1 per cent among university students, with individual estimates spanning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That spread is itself informative, since case definitions across the primary studies are not standardised.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1.2 Biophysiological basis</w:t>
      </w:r>
    </w:p>
    <w:p>
      <w:pPr>
        <w:spacing w:after="0" w:line="360"/>
        <w:jc w:val="both"/>
      </w:pPr>
      <w:r>
        <w:rPr>
          <w:rFonts w:ascii="Times New Roman" w:cs="Times New Roman" w:eastAsia="Times New Roman" w:hAnsi="Times New Roman"/>
          <w:b w:val="false"/>
          <w:bCs w:val="false"/>
          <w:i w:val="false"/>
          <w:iCs w:val="false"/>
          <w:sz w:val="24"/>
          <w:szCs w:val="24"/>
        </w:rPr>
        <w:t xml:space="preserve">Not all of these symptoms arise the same way, and separating them is what makes them measurable. Two mechanisms are involved (Sheppard &amp; Wolffsohn, 2018).</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first is a matter of focusing. Reading at arm's length requires the lens of the eye to change shape, which is accommodation, while both eyes turn inward so that the two images fuse, which is vergence. Sustaining either for long is effortful. The accumulated effort shows up as difficulty focusing, blurred vision, near-work-induced transient myopia and headache.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concerns the ocular surface, kept smooth by a thin tear film that is renewed whenever the eyelids close fully. Where that renewal is interrupted the surface dries, producing dryness, burning and irritation. This second mechanism is the one the present study measures most directly.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blink spreads fresh tear fluid across the surface and draws an oily secretion from the lid margins over the top of it, slowing evaporation. Concentrated screen work interferes with both actions. It lowers how often people blink, and it raises the proportion of blinks in which the lids approach one another without meeting. Blinks of that kind are termed incomplete. An incomplete blink leaves part of the surface unwetted, so the tear film breaks up sooner and the surface enters the inflammatory cycle of dry eye disease (K.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For that reason the completeness of blinking, rather than its frequency, is the ocular measure treated here as primary. A review of the candidate mechanisms attributes display-associated dry eye principally to impaired blinking and finds insufficient support for parasympathetic or blue-light contributions (K.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accommodative route does respond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the present study does not measure accommodative responses directly. That pathway is reviewed as mechanistic context and is not tested.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1.3 The three display properties under study</w:t>
      </w:r>
    </w:p>
    <w:p>
      <w:pPr>
        <w:spacing w:after="0" w:line="360"/>
        <w:jc w:val="both"/>
      </w:pPr>
      <w:r>
        <w:rPr>
          <w:rFonts w:ascii="Times New Roman" w:cs="Times New Roman" w:eastAsia="Times New Roman" w:hAnsi="Times New Roman"/>
          <w:b w:val="false"/>
          <w:bCs w:val="false"/>
          <w:i w:val="false"/>
          <w:iCs w:val="false"/>
          <w:sz w:val="24"/>
          <w:szCs w:val="24"/>
        </w:rPr>
        <w:t xml:space="preserve">Having defined the display properties in Section 1.1 and the two symptom mechanisms in Section 1.2, the question that follows is how the former act on the latter. Chapter 2 examines the evidence for each in turn; what follows here is the shape of the argument.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positive polarity advantage: reading is better for dark text on a light field than for light text on a dark one. The accepted explanation runs through the pupil. A positive-polarity screen is mostly white and so emits more light; the pupil constricts in response; a smaller pupil admits light through the optically cleaner centre of the lens and holds a wider range of distances in focus; and the retinal image is sharper as a result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On this account the advantage is a matter of how much light the screen puts out, not of colour preference.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Text colour has attracted far less attention, and no located study has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is also a manipulation of luminance contrast, because chromatic pigments differ intrinsically in relative luminance and because chromatic contrast cannot substitute for luminance contrast (Buchner &amp; Baumgartner, 2007). An apparent effect of colour may therefore be an effect of contrast unless the two are measured apart. Ambient light adds veiling luminance and drives pupil size independently of the display, so it acts on the same mechanism from the other side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pooled prevalence of 69.0 per cent quoted in Chapter 1 conceals considerable heterogeneity, part of which is traceable to inconsistent case definition. Prevalence was higher in studies that did not use the Computer Vision Syndrome Questionnaire, at 75.4 per cent, which suggests that ad hoc symptom checklists inflate the figure and that a validated instrument with a defined cut-off is the safer choice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Among display users specifically, definite or probable dry eye disease has been reported between 26 and 70 per cent, with as little as one to two hours of daily exposure already showing an association (H.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comprehensive review covering the same period records pre-pandemic estimates spanning 5 to 65 per cent and reports that prevalence among children rose to 50 to 60 per cent once digital learning became the norm, with recent-onset esotropia and vergence anomalies entering the symptom spectrum alongside the established ocular complaints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Reviews converge on a familiar list of risk factors: exposure beyond four to five hours daily, uncorrected refractive error, accommodative and vergence anomalies, altered blinking, close working distance, small font size, adverse lighting and contact-lens wear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Preventive measures that act at different points of the dry-eye cycle may be complementary rather than competing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2.2 Display polarity, text colour and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The three properties manipulated in this study have been investigated to very unequal depths. Table 2.1 sets out the studies that manipulated at least one of them, and four statements can be drawn from that body of work. In the table, findings are marked primary where they bear directly on the question posed here, and secondary where they supply supporting or contextual evidence.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positive polarity advantage is consistent across paradigms, tasks and display technologies. Proofreading, pupillometry, adaptive-staircase psychophysics, lexical decision, eye tracking and visual-ergonomic optimisation all favour dark text on a light field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2017; C.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Sethi &amp; Ziat,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That corpus is nevertheless narrow in precisely the way this study is broad. Its paradigms are short and threshold-limited, its stimuli almost entirely achromatic, and none of the studies measures blinking, validated symptoms or fatigue accumulated over an hour. An advantage in legibility does not license an inference about visual fatigue, although popular argument about dark mode routinely makes that inference in both directions.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Third, the literature manipulating text chromaticity is small, and no located study has crossed colour with polarity while measuring fatigue. Exposure in these studies is brief, so duration is a plausible moderator of the discrepancy between one study that found no effect on reading speed over two-minute passages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another that found clear effects on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More consequentially, none of them separates hue from luminance contrast. Because chromatic pigments differ in relative luminance, a fixed colour set rendered on light and on dark fields produces unequal and polarity-asymmetric contrasts, so contrast is an inseparable covarying property of any colour manipulation and has to be modelled (Buchner &amp; Baumgartner, 2007). Xie and colleagues (2021) add a complication that bears directly on the present design: their objective and subjective indices pointed in opposite directions, dark mode improving blink measures while light mode was preferred and rated less fatiguing.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Fourth, ambient illumination modulates both the legibility cost of negative polarity and the fatigue cost of coloured text under it, which is consistent with a pupil-mediated account in which room light and display polarity trade against one another. The evidence is not uniform. The proofreading advantage was independent of ambient lighting in one experiment (Buchner &amp; Baumgartner, 2007) whereas threshold legibility showed a clear interaction in another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 pattern more suggestive of a threshold-like relationship than of smooth scaling, and one that requires illumination to be measured rather than described. The same trade appears from the display side, since lowering screen brightness in a dark room reduced fatigue (Tian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which implicates the ratio of display to ambient luminance rather than either term alone. The most directly relevant study found that reading in a dark room from a bright screen produced the greatest tear-film destabilisation, the highest incomplete-blink rate and the highest subjective fatigue score, with incomplete blinking rising over time in every condition (M.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0" w:line="360"/>
        <w:ind w:firstLine="360"/>
        <w:jc w:val="both"/>
      </w:pPr>
      <w:r>
        <w:rPr>
          <w:rFonts w:ascii="Times New Roman" w:cs="Times New Roman" w:eastAsia="Times New Roman" w:hAnsi="Times New Roman"/>
          <w:b/>
          <w:bCs/>
          <w:i w:val="false"/>
          <w:iCs w:val="false"/>
          <w:sz w:val="24"/>
          <w:szCs w:val="24"/>
        </w:rPr>
        <w:t xml:space="preserve">Table 2.1.</w:t>
      </w:r>
      <w:r>
        <w:rPr>
          <w:rFonts w:ascii="Times New Roman" w:cs="Times New Roman" w:eastAsia="Times New Roman" w:hAnsi="Times New Roman"/>
          <w:b w:val="false"/>
          <w:bCs w:val="false"/>
          <w:i w:val="false"/>
          <w:iCs w:val="false"/>
          <w:sz w:val="24"/>
          <w:szCs w:val="24"/>
        </w:rPr>
        <w:t xml:space="preserve"> Studies manipulating display polarity, text colour or ambient illumination.** N denotes reported sample size; NR = not reported in the retrieved record. Finding type indicates relevance to the present research question.</w:t>
      </w:r>
    </w:p>
    <w:p>
      <w:pPr>
        <w:sectPr>
          <w:pgSz w:w="11906" w:h="16838" w:orient="portrait"/>
          <w:pgMar w:top="1440" w:right="1134" w:bottom="1440" w:left="1701" w:header="708" w:footer="708" w:gutter="0"/>
          <w:pgNumType/>
          <w:docGrid w:linePitch="360"/>
        </w:sectPr>
      </w:pPr>
    </w:p>
    <w:tbl>
      <w:tblPr>
        <w:tblW w:type="dxa" w:w="14003"/>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170"/>
        <w:gridCol w:w="698"/>
        <w:gridCol w:w="650"/>
        <w:gridCol w:w="2801"/>
        <w:gridCol w:w="4272"/>
        <w:gridCol w:w="698"/>
        <w:gridCol w:w="3064"/>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17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80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Parameter manipulated</w:t>
            </w:r>
          </w:p>
        </w:tc>
        <w:tc>
          <w:tcPr>
            <w:tcW w:type="dxa" w:w="427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6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Finding type</w:t>
            </w:r>
          </w:p>
        </w:tc>
        <w:tc>
          <w:tcPr>
            <w:tcW w:type="dxa" w:w="306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illumination, chromaticity</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advantage held irrespective of ambient lighting; colour contrast could not compensate for absent luminance contrast</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only; no ocular or symptom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2014a, 2014b</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pupil size; character size</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Smaller pupils and better proofreading under positive polarity; the advantage grew linearly as characters shrank</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text; brief exposure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Typeface, polarity, size, age</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Black-on-white more legible than white-on-black; typeface interacted with age</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Glance reading; threshold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illumination, letter size</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Thresholds worst for negative polarity under near-dark light; raising illumination or switching polarity restored legibility</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fatigue or ocular-surface outcomes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 text-background colour pairs</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modulated accommodative and pupillary dynamics; reading speed unaffected; low-contrast pairs rated least legible</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Two-minute exposure; no symptom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mode and luminance contrast at night</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mode raised blink rate, yet light mode was preferred and rated less fatiguing</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Objective-subjective dissociation unexplained</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Stimulus colour and screen brightness in darkness</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reduced subjective fatigue; blue preferred to red; no colour effect on EEG indices</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stimuli; below 3 lux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Sethi &amp; Ziat</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environment, age, task</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cognitive load under negative polarity, conditional on age and lighting</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Illumination and text colour under negative polarity</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 most fatiguing and yellow least; higher illumination reduced fatigue, by an amount that varied with text colour</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polarity; hue confounded with contrast</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 Lin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luminance and polarity at 300 lux</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preferable; optimum luminance 153 cd/m²</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Desktop head-up display; achromatic; office lighting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17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 Lin </w:t>
            </w:r>
            <w:r>
              <w:rPr>
                <w:rFonts w:ascii="Times New Roman" w:cs="Times New Roman" w:eastAsia="Times New Roman" w:hAnsi="Times New Roman"/>
                <w:b w:val="false"/>
                <w:bCs w:val="false"/>
                <w:i/>
                <w:iCs/>
                <w:sz w:val="15"/>
                <w:szCs w:val="15"/>
              </w:rPr>
              <w:t xml:space="preserve">et al.</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2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Room and screen brightness, 30-minute reading</w:t>
            </w:r>
          </w:p>
        </w:tc>
        <w:tc>
          <w:tcPr>
            <w:tcW w:type="dxa" w:w="4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and raised incomplete blinking; incomplete-blink frequency correlated with fatigue score</w:t>
            </w:r>
          </w:p>
        </w:tc>
        <w:tc>
          <w:tcPr>
            <w:tcW w:type="dxa" w:w="6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306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polarity not manipulated</w:t>
            </w:r>
          </w:p>
        </w:tc>
      </w:tr>
    </w:tbl>
    <w:p>
      <w:pPr>
        <w:spacing w:after="40" w:line="120"/>
      </w:pPr>
      <w:r>
        <w:rPr>
          <w:sz w:val="8"/>
          <w:szCs w:val="8"/>
        </w:rPr>
        <w:t xml:space="preserve"/>
      </w:r>
    </w:p>
    <w:p>
      <w:pPr>
        <w:sectPr>
          <w:pgSz w:w="16838" w:h="11906" w:orient="portrait"/>
          <w:pgMar w:top="1440" w:right="1134" w:bottom="1440" w:left="1701" w:header="708" w:footer="708" w:gutter="0"/>
          <w:pgNumType/>
          <w:docGrid w:linePitch="360"/>
        </w:sectPr>
      </w:pP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2.3 Ocular behaviour as an objective marker</w:t>
      </w:r>
    </w:p>
    <w:p>
      <w:pPr>
        <w:spacing w:after="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this field (H.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of the available blink indices the proportion that fail to close fully has the strongest claim to specificity. Three findings summarised in Table 2.2 together forbid reading blink rate as a simple index of fatigue.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Rate falls during reading irrespective of the medium, and only electronic reading raises the proportion of incomplete blinks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it also falls with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with non-invasive break-up time dropping from 8.62 to 4.33 seconds at thirty minutes and recovering as incomplete blinking declined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Raising blink rate experimentally from 11.6 to 23.5 blinks per minute produced no change in symptom score, whereas the percentage of incomplete blinks correlated with symptoms at p = 0.002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further observations follow from the same table. Every study in it relied on manual frame-by-frame coding or on dedicated hardware, which is why the samples run from eleven to fifty. And none of them manipulated display polarity or text colour, so the marker with the strongest claim to specificity has never been used as the outcome of the manipulation most likely to move it.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PERCLOS, the proportion of time for which the eyes are more than 80 per cent closed, is among the most validated indices for passive detection of drowsiness (Abe, 2023) and correlates with vigilance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under moderate drowsiness dictates its role here as a covariate for sleepiness rather than as a measure of visual fatigue.</w:t>
      </w:r>
    </w:p>
    <w:p>
      <w:pPr>
        <w:spacing w:after="0" w:line="360"/>
        <w:ind w:firstLine="360"/>
        <w:jc w:val="both"/>
      </w:pPr>
      <w:r>
        <w:rPr>
          <w:rFonts w:ascii="Times New Roman" w:cs="Times New Roman" w:eastAsia="Times New Roman" w:hAnsi="Times New Roman"/>
          <w:b/>
          <w:bCs/>
          <w:i w:val="false"/>
          <w:iCs w:val="false"/>
          <w:sz w:val="24"/>
          <w:szCs w:val="24"/>
        </w:rPr>
        <w:t xml:space="preserve">Table 2.2.</w:t>
      </w:r>
      <w:r>
        <w:rPr>
          <w:rFonts w:ascii="Times New Roman" w:cs="Times New Roman" w:eastAsia="Times New Roman" w:hAnsi="Times New Roman"/>
          <w:b w:val="false"/>
          <w:bCs w:val="false"/>
          <w:i w:val="false"/>
          <w:iCs w:val="false"/>
          <w:sz w:val="24"/>
          <w:szCs w:val="24"/>
        </w:rPr>
        <w:t xml:space="preserve"> Studies of ocular behaviour as an objective marker.**</w:t>
      </w:r>
    </w:p>
    <w:p>
      <w:pPr>
        <w:sectPr>
          <w:pgSz w:w="11906" w:h="16838" w:orient="portrait"/>
          <w:pgMar w:top="1440" w:right="1134" w:bottom="1440" w:left="1701" w:header="708" w:footer="708" w:gutter="0"/>
          <w:pgNumType/>
          <w:docGrid w:linePitch="360"/>
        </w:sectPr>
      </w:pPr>
    </w:p>
    <w:tbl>
      <w:tblPr>
        <w:tblW w:type="dxa" w:w="14003"/>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922"/>
        <w:gridCol w:w="650"/>
        <w:gridCol w:w="650"/>
        <w:gridCol w:w="3311"/>
        <w:gridCol w:w="4533"/>
        <w:gridCol w:w="755"/>
        <w:gridCol w:w="2532"/>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92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331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 and task</w:t>
            </w:r>
          </w:p>
        </w:tc>
        <w:tc>
          <w:tcPr>
            <w:tcW w:type="dxa" w:w="453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75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Finding type</w:t>
            </w:r>
          </w:p>
        </w:tc>
        <w:tc>
          <w:tcPr>
            <w:tcW w:type="dxa" w:w="253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amplitude; fast against slow display task</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Rate fell to one-third of baseline in the fast task and one-half in the slow task, with more incomplete blinks when dynamic</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Game task rather than reading;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15-minute reading</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 blinks 0.9 to 56.5 per cent (mean 16.1); symptom score correlated with the incomplete percentage at p = 0.002</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condition; small sample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and tear break-up; 60-minute task</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Break-up time fell 8.62 to 4.33 s by 30 min and recovered as incomplete blinking declined</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Very small sample; single condition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completeness; six print and screen conditions</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All reading lowered blink rate; incomplete blinks rose only on electronic platforms</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parameters held fixed</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simulated driving after 24-hour sleep deprivation</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correlated with vigilance variability (r = 0.68)</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Secondary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rather than visual fatigue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 Lin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331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Tear-film indices and blink parameters; 30-minute reading</w:t>
            </w:r>
          </w:p>
        </w:tc>
        <w:tc>
          <w:tcPr>
            <w:tcW w:type="dxa" w:w="453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rate rose over time in every group</w:t>
            </w:r>
          </w:p>
        </w:tc>
        <w:tc>
          <w:tcPr>
            <w:tcW w:type="dxa" w:w="75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Primary</w:t>
            </w:r>
          </w:p>
        </w:tc>
        <w:tc>
          <w:tcPr>
            <w:tcW w:type="dxa" w:w="253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not manipulated</w:t>
            </w:r>
          </w:p>
        </w:tc>
      </w:tr>
    </w:tbl>
    <w:p>
      <w:pPr>
        <w:spacing w:after="40" w:line="120"/>
      </w:pPr>
      <w:r>
        <w:rPr>
          <w:sz w:val="8"/>
          <w:szCs w:val="8"/>
        </w:rPr>
        <w:t xml:space="preserve"/>
      </w:r>
    </w:p>
    <w:p>
      <w:pPr>
        <w:sectPr>
          <w:pgSz w:w="16838" w:h="11906" w:orient="portrait"/>
          <w:pgMar w:top="1440" w:right="1134" w:bottom="1440" w:left="1701" w:header="708" w:footer="708" w:gutter="0"/>
          <w:pgNumType/>
          <w:docGrid w:linePitch="360"/>
        </w:sectPr>
      </w:pP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2.4 Performance, subjective instruments and scalability</w:t>
      </w:r>
    </w:p>
    <w:p>
      <w:pPr>
        <w:spacing w:after="0" w:line="360"/>
        <w:jc w:val="both"/>
      </w:pPr>
      <w:r>
        <w:rPr>
          <w:rFonts w:ascii="Times New Roman" w:cs="Times New Roman" w:eastAsia="Times New Roman" w:hAnsi="Times New Roman"/>
          <w:b w:val="false"/>
          <w:bCs w:val="false"/>
          <w:i w:val="false"/>
          <w:iCs w:val="false"/>
          <w:sz w:val="24"/>
          <w:szCs w:val="24"/>
        </w:rPr>
        <w:t xml:space="preserve">Print retains an advantage over screen for comprehension, moderated by genre and by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That constrains how comprehension ought to be measured, since genre, difficulty and pacing must be held constant, but it does not bear on the hypothesis under test, because a design that stays within one medium removes the medium confound altogether. Prolonged monotonous tasks also produce a vigilance decrement, best accounted for by resource depletion rather than by understimulation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and lapses of attention are among the indices most sensitive to sleep loss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share time on task as a driver and have to be measured together if they are to be told apart.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subjective measurement the Computer Vision Syndrome Questionnaire assesses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in a sample of 280 workers reported internal consistency of 0.793, temporal stability of 0.847, sensitivity of 78.5 per cent and specificity of 70.7 per cent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(Hart &amp; Staveland, 1988). Review notes that correlations between objective and subjective measures are not always apparent (Sheppard &amp; Wolffsohn, 2018), a discrepancy treated here as an object of study rather than as a nuisance.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the measure can distinguish partial from complete closure, which automates what the clinical literature has done by hand. Validity differs by target. Camera-based gaze estimation is defensible only for coarse zone classification, whereas blink proportions need temporal rather than spatial precision and stay robust where duration-based metrics fail below roughly 25 frames per second. No published study has validated a camera-based incomplete-blink measure against manual annotation.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2.5 Research gaps</w:t>
      </w:r>
    </w:p>
    <w:p>
      <w:pPr>
        <w:spacing w:after="0" w:line="360"/>
        <w:jc w:val="both"/>
      </w:pPr>
      <w:r>
        <w:rPr>
          <w:rFonts w:ascii="Times New Roman" w:cs="Times New Roman" w:eastAsia="Times New Roman" w:hAnsi="Times New Roman"/>
          <w:b w:val="false"/>
          <w:bCs w:val="false"/>
          <w:i w:val="false"/>
          <w:iCs w:val="false"/>
          <w:sz w:val="24"/>
          <w:szCs w:val="24"/>
        </w:rPr>
        <w:t xml:space="preserve">Six gaps follow from the foregoing and together define the study. The positive polarity advantage is established for brief achromatic legibility tasks but untested for prolonged reading with fatigue accumulation and ocular-surface outcomes. The interaction of polarity with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hue has nowhere been separated from luminance contrast. No located study reports contrast metrics alongside measured display photometry; the prevailing accessibility standard is polarity-blind (Somers, n.d.; World Wide Web Consortium, 2023); and three-way effects of polarity, colour and illumination remain uncharacterised. Few studies co-register a validated symptom instrument with objective markers in the same condition, and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The incomplete-blink ratio has not been tested as the outcome of a display manipulation despite its specificity, and no automated implementation has been validated against manual annotation, so the measure does not scale. Individual differences in habitual display preference, exposure and lighting environment are seldom modelled as moderators, and tablet-specific protocols of any ecological validity are scarce.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3: RATIONALE AND RESEARCH QUESTION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 Statement of the problem</w:t>
      </w:r>
    </w:p>
    <w:p>
      <w:pPr>
        <w:spacing w:after="0" w:line="360"/>
        <w:jc w:val="both"/>
      </w:pPr>
      <w:r>
        <w:rPr>
          <w:rFonts w:ascii="Times New Roman" w:cs="Times New Roman" w:eastAsia="Times New Roman" w:hAnsi="Times New Roman"/>
          <w:b w:val="false"/>
          <w:bCs w:val="false"/>
          <w:i w:val="false"/>
          <w:iCs w:val="false"/>
          <w:sz w:val="24"/>
          <w:szCs w:val="24"/>
        </w:rPr>
        <w:t xml:space="preserve">The gaps set out at the close of Chapter 2 converge on a single practical difficulty. 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promoted most heavily for it lack trial support. A meta-analysis of 45 randomised controlled trials involving 4,497 participants found no high-certainty evidence for any therapy examined, blue-blocking lenses included, and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review restricted to younger users reached the same conclusion on blue-blocking filters and recommended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properties of the displayed stimulus sit upstream of the visual load, cost nothing to change and can be deployed universally, yet they remain the least investigated part of the problem. Work on polarity is confined to brief, threshold-limited tasks using achromatic text; work on text colour is limited either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estimated how polarity and text colour interact, separated hue from luminance contrast, crossed either with ambient illumination, or measured a validated symptom instrument alongside the ocular marker most specific to the condition. Because blink completeness has been scored by hand, frame by frame, the literature is confined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clinician, a designer or a standards body therefore has no evidence base from which to advise how a tablet should be configured for prolonged reading, or how that configuration ought to change with the light in which it is used.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3.2 Rationale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study takes up a determinant of visual health that is common, freely modifiable and poorly evidenced, and it does so with a design capable of answering a question the existing literature cannot.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design turns on an arithmetical property of contrast. Because the accessibility contrast ratio on a white field falls as the relative luminance of the text rises, while the ratio on a black field rises with it, the rank order of the chromatic conditions is exactly inverted between the two polarities, as Table 4.4 shows. Blue and red sit high in contrast on white but fall below the accessibility minimum on black, and yellow and green behave in the opposite way. The achromatic pair is the anchor: black on white and white on black both yield 21.00:1, so that one pair varies polarity while holding luminance contrast constant. The polarity-by-colour interaction can therefore be used to model contrast-mediated effects and to distinguish them from residual, hue-specific ones. The separation is statistical rather than experimental, since hue and luminance contrast cannot be orthogonalised within a fixed colour set, and it is interpreted with that limit in view.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reported red as most fatiguing and yellow as least under negative polarity, which is precisely what luminance contrast alone would predict for those hues on a black background; a single-polarity design cannot tell the two explanations apart.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Manipulating ambient light between sessions tests the polarity effect where it matters behaviourally, because devices are used extensively at night and in dim domestic settings, and it is there that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M.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Validating an automated measure of blink completeness would lift the annotation bottleneck that has kept this literature small. The findings bear on interface design, on accessibility standards whose contrast criterion takes no account of polarity (Somers, n.d.; World Wide Web Consortium, 2023), on public health guidance, and on the advice optometrists give patients in an area where practitioners are documented to lack quality evidence (Sheppard &amp; Wolffsohn, 2018).</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3.3 Aim</w:t>
      </w:r>
    </w:p>
    <w:p>
      <w:pPr>
        <w:spacing w:after="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aim, to evaluate the validity and feasibility of camera-based blink assessment as an objective measure of ocular response.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3.4 Objectives</w:t>
      </w:r>
    </w:p>
    <w:p>
      <w:pPr>
        <w:spacing w:after="0" w:line="360"/>
        <w:jc w:val="both"/>
      </w:pPr>
      <w:r>
        <w:rPr>
          <w:rFonts w:ascii="Times New Roman" w:cs="Times New Roman" w:eastAsia="Times New Roman" w:hAnsi="Times New Roman"/>
          <w:b w:val="false"/>
          <w:bCs w:val="false"/>
          <w:i w:val="false"/>
          <w:iCs w:val="false"/>
          <w:sz w:val="24"/>
          <w:szCs w:val="24"/>
        </w:rPr>
        <w:t xml:space="preserve">Primary objectives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Methodological objective</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3.5 Hypotheses</w:t>
      </w:r>
    </w:p>
    <w:p>
      <w:pPr>
        <w:spacing w:after="0" w:line="360"/>
        <w:jc w:val="both"/>
      </w:pPr>
      <w:r>
        <w:rPr>
          <w:rFonts w:ascii="Times New Roman" w:cs="Times New Roman" w:eastAsia="Times New Roman" w:hAnsi="Times New Roman"/>
          <w:b w:val="false"/>
          <w:bCs w:val="false"/>
          <w:i w:val="false"/>
          <w:iCs w:val="false"/>
          <w:sz w:val="24"/>
          <w:szCs w:val="24"/>
        </w:rPr>
        <w:t xml:space="preserve">Null hypothesis (H0). Display polarity, text colour and ambient illumination, individually or in combination, have no significant effect on visual fatigue, ocular behaviour or visual task performance during prolonged tablet reading.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Alternative hypothesis (H1). At least one of these factors, individually or in combination, significantly affects these outcomes. Four directional hypotheses follow from the objectives.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H1a, main effects (Objective 1). Positive polarity, higher luminance contrast and higher ambient illumination are each associated with a lower incomplete-blink ratio, lower subjective visual fatigue and better task performance.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H1b, interactions (Objective 1). The effect of text colour depends on polarity, and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H1c, contrast mediation (Objective 2). Colour-related variance is largely accounted for by luminance contrast. Because the computed contrast ordering reverses between the two polarities, a contrast-mediated effect predicts a corresponding reversal of the colour ordering across polarity, whereas a residual hue-specific effect predicts a consistent ordering, with red the candidate exception identified in advance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H1d, moderation (Objective 3). Habitual display-mode preference, habitual screen exposure, typical ambient-lighting environment and digital literacy moderate the magnitude of these effects.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3.6 Conceptual framework</w:t>
      </w:r>
    </w:p>
    <w:p>
      <w:pPr>
        <w:spacing w:after="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on the measured outcomes through two proximal mechanisms, shown in Figure 3.1.</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Along the optical route, display and room luminance together determine pupil diameter, which governs aberration and depth of focus and so sets retinal image quality and accommodative demand. This route is expressed in accommodative and vergence symptoms and is measured through reading rate, comprehension, visual search and perceived clarity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Along the ocular-surface route, visual and cognitive demand suppress blink rate and raise incomplete blinking, which exposes evaporative area and destabilises the tear film. This route is expressed in dryness, burning and irritation, and is measured by the incomplete-blink ratio, the primary outcome, together with change in the Computer Vision Syndrome Questionnaire score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K.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Cutting across both routes, time on task depletes sustained-attention capacity and is counterbalanced and modelled rather than eliminated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(Abe, 2023;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and participant characteristics modulate susceptibility throughout.</w:t>
      </w:r>
    </w:p>
    <w:p>
      <w:pPr>
        <w:spacing w:after="0" w:line="360"/>
        <w:ind w:firstLine="360"/>
        <w:jc w:val="both"/>
      </w:pPr>
      <w:r>
        <w:rPr>
          <w:rFonts w:ascii="Times New Roman" w:cs="Times New Roman" w:eastAsia="Times New Roman" w:hAnsi="Times New Roman"/>
          <w:b/>
          <w:bCs/>
          <w:i w:val="false"/>
          <w:iCs w:val="false"/>
          <w:sz w:val="24"/>
          <w:szCs w:val="24"/>
        </w:rPr>
        <w:t xml:space="preserve">Figure 3.1.</w:t>
      </w:r>
      <w:r>
        <w:rPr>
          <w:rFonts w:ascii="Times New Roman" w:cs="Times New Roman" w:eastAsia="Times New Roman" w:hAnsi="Times New Roman"/>
          <w:b w:val="false"/>
          <w:bCs w:val="false"/>
          <w:i w:val="false"/>
          <w:iCs w:val="false"/>
          <w:sz w:val="24"/>
          <w:szCs w:val="24"/>
        </w:rPr>
        <w:t xml:space="preserve"> Conceptual model of the two pathways from display configuration to measured outcome.**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3023"/>
        <w:gridCol w:w="3023"/>
        <w:gridCol w:w="3025"/>
      </w:tblGrid>
      <w:tr>
        <w:tc>
          <w:tcPr>
            <w:tcW w:type="dxa" w:w="3023"/>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Display polarity</w:t>
            </w:r>
          </w:p>
        </w:tc>
        <w:tc>
          <w:tcPr>
            <w:tcW w:type="dxa" w:w="3023"/>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Text colour</w:t>
            </w:r>
          </w:p>
        </w:tc>
        <w:tc>
          <w:tcPr>
            <w:tcW w:type="dxa" w:w="3025"/>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Ambient illumination</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Luminance contrast and total light reaching the eye</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5"/>
        <w:gridCol w:w="4536"/>
      </w:tblGrid>
      <w:tr>
        <w:tc>
          <w:tcPr>
            <w:tcW w:type="dxa" w:w="4535"/>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Optical route: pupil size, depth of focus, retinal image quality</w:t>
            </w:r>
          </w:p>
        </w:tc>
        <w:tc>
          <w:tcPr>
            <w:tcW w:type="dxa" w:w="4536"/>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Ocular-surface route: blink rate and blink completeness</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5"/>
        <w:gridCol w:w="4536"/>
      </w:tblGrid>
      <w:tr>
        <w:tc>
          <w:tcPr>
            <w:tcW w:type="dxa" w:w="4535"/>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Reading rate, comprehension, visual search, perceived clarity (secondary outcomes)</w:t>
            </w:r>
          </w:p>
        </w:tc>
        <w:tc>
          <w:tcPr>
            <w:tcW w:type="dxa" w:w="4536"/>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Incomplete-blink ratio (primary outcome) and CVS-Q change (key secondary)</w:t>
            </w:r>
          </w:p>
        </w:tc>
      </w:tr>
    </w:tbl>
    <w:p>
      <w:pPr>
        <w:spacing w:after="60" w:line="120"/>
      </w:pPr>
      <w:r>
        <w:rPr>
          <w:sz w:val="8"/>
          <w:szCs w:val="8"/>
        </w:rPr>
        <w:t xml:space="preserve"/>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4: MATERIALS AND METHODS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 Study design</w:t>
      </w:r>
    </w:p>
    <w:p>
      <w:pPr>
        <w:spacing w:after="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design of the split-plot type. Display polarity, at two levels, and text colour, at five, are manipulated within session; ambient illumination, at two levels, is manipulated at session level, each participant receiving both levels in counterbalanced order. All three factors are therefore within-participant, with illumination acting as the whole-plot factor and polarity and text colour as sub-plot factors.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Polarity and colour together give ten display conditions. Each is administered under both illumination levels, so every participant contributes twenty condition-runs. Illumination is varied between sessions rather than within, because a fully crossed within-session design would be unmanageable in one sitting and because room light cannot be switched without re-adaptation. The two sessions are separated by 48 to 72 hours. Figure 4.1 sets out the sequence of phases.</w:t>
      </w:r>
    </w:p>
    <w:p>
      <w:pPr>
        <w:spacing w:after="0" w:line="360"/>
        <w:ind w:firstLine="360"/>
        <w:jc w:val="both"/>
      </w:pPr>
      <w:r>
        <w:rPr>
          <w:rFonts w:ascii="Times New Roman" w:cs="Times New Roman" w:eastAsia="Times New Roman" w:hAnsi="Times New Roman"/>
          <w:b/>
          <w:bCs/>
          <w:i w:val="false"/>
          <w:iCs w:val="false"/>
          <w:sz w:val="24"/>
          <w:szCs w:val="24"/>
        </w:rPr>
        <w:t xml:space="preserve">Figure 4.1.</w:t>
      </w:r>
      <w:r>
        <w:rPr>
          <w:rFonts w:ascii="Times New Roman" w:cs="Times New Roman" w:eastAsia="Times New Roman" w:hAnsi="Times New Roman"/>
          <w:b w:val="false"/>
          <w:bCs w:val="false"/>
          <w:i w:val="false"/>
          <w:iCs w:val="false"/>
          <w:sz w:val="24"/>
          <w:szCs w:val="24"/>
        </w:rPr>
        <w:t xml:space="preserve"> Flow of the proposed study.**</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 Ethics approval, instrument development and pilot, photometric characterisation of the tablet</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II. Recruitment (about 180 approached), screening, consent (n = 145), baseline profiling</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III. Session 1: ten display conditions under illumination level A, in Williams order</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IV. Session 2 after 48 to 72 hours: the same ten conditions under illumination level B</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V. Automated ocular metrics, quality-control gating, manual-annotation validation sub-study</w:t>
            </w:r>
          </w:p>
        </w:tc>
      </w:tr>
    </w:tbl>
    <w:p>
      <w:pPr>
        <w:spacing w:after="0" w:before="0" w:line="60"/>
      </w:pPr>
      <w:r>
        <w:rPr>
          <w:sz w:val="4"/>
          <w:szCs w:val="4"/>
        </w:rPr>
        <w:t xml:space="preserve"/>
      </w:r>
    </w:p>
    <w:p>
      <w:pPr>
        <w:keepNext/>
        <w:spacing w:after="0" w:before="0" w:line="180"/>
        <w:jc w:val="center"/>
      </w:pPr>
      <w:r>
        <w:rPr>
          <w:rFonts w:ascii="Times New Roman" w:cs="Times New Roman" w:eastAsia="Times New Roman" w:hAnsi="Times New Roman"/>
          <w:sz w:val="18"/>
          <w:szCs w:val="18"/>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9071"/>
      </w:tblGrid>
      <w:tr>
        <w:tc>
          <w:tcPr>
            <w:tcW w:type="dxa" w:w="9071"/>
            <w:tcBorders>
              <w:top w:val="single" w:color="5B6B7C" w:sz="6"/>
              <w:left w:val="single" w:color="5B6B7C" w:sz="6"/>
              <w:bottom w:val="single" w:color="5B6B7C" w:sz="6"/>
              <w:right w:val="single" w:color="5B6B7C" w:sz="6"/>
            </w:tcBorders>
            <w:shd w:fill="EDF2F9" w:color="auto"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17"/>
                <w:szCs w:val="17"/>
              </w:rPr>
              <w:t xml:space="preserve">Phase VI. Mixed-effects analysis (target n = 130, 2,600 condition-runs) and design recommendations</w:t>
            </w:r>
          </w:p>
        </w:tc>
      </w:tr>
    </w:tbl>
    <w:p>
      <w:pPr>
        <w:spacing w:after="6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4.2 Setting, participants and sampling</w:t>
      </w:r>
    </w:p>
    <w:p>
      <w:pPr>
        <w:spacing w:after="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excluded. Data collection is expected to run for approximately 24 months following ethics approval and piloting.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Recruitment uses non-probability purposive sampling, with consecutive enrolment of eligible volunteers from the university and its associated institutions, so that cognitive, visual and digital-exposure characteristics stay reasonably homogeneous and the within-subject contrasts are not diluted by uncontrolled heterogeneity. The findings are accordingly not intended to estimate population prevalence, and generalisation beyond comparable young-adult screen users is made with caution. Infinite-population formulae of the form n = Z²pq/e² do not apply, since this is a controlled repeated-measures experiment in which each participant serves as their own control.</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target is 130 participants aged 18 to 35 for analysis, with 145 enrolled to allow for attrition. The figure is a multiple of ten, which the counterbalancing scheme described in Section 4.7 requires for complete balance, and it follows from a simulation-based power analysis conducted by the investigator rather than from a formula that assumes independent observations. The design has two units of replication. Within-participant contrasts, which carry Objectives 1 and 2 and both the primary and key secondary outcomes, are efficient because each participant contributes twenty condition-runs. Between-participant moderation, which is Objective 3, is far more demanding. Table 4.1 gives the simulated power. The binding constraint is the polarity-by-colour interaction central to Objective 2: reaching 80 per cent power for that interaction at a within-participant effect size (dz) of 0.25 requires approximately 128 participants, and moderate between-participant moderation of 0.50 SD requires approximately 127, so a sample of 130 satisfies both while giving better than 90 per cent power for the polarity main effect. Detecting small moderation of 0.40 SD would require approximately 200 participants, so moderation of that magnitude is declared exploratory in advance and will be reported with confidence intervals rather than as a confirmatory test.</w:t>
      </w:r>
    </w:p>
    <w:p>
      <w:pPr>
        <w:spacing w:after="0" w:line="360"/>
        <w:ind w:firstLine="360"/>
        <w:jc w:val="both"/>
      </w:pPr>
      <w:r>
        <w:rPr>
          <w:rFonts w:ascii="Times New Roman" w:cs="Times New Roman" w:eastAsia="Times New Roman" w:hAnsi="Times New Roman"/>
          <w:b/>
          <w:bCs/>
          <w:i w:val="false"/>
          <w:iCs w:val="false"/>
          <w:sz w:val="24"/>
          <w:szCs w:val="24"/>
        </w:rPr>
        <w:t xml:space="preserve">Table 4.1.</w:t>
      </w:r>
      <w:r>
        <w:rPr>
          <w:rFonts w:ascii="Times New Roman" w:cs="Times New Roman" w:eastAsia="Times New Roman" w:hAnsi="Times New Roman"/>
          <w:b w:val="false"/>
          <w:bCs w:val="false"/>
          <w:i w:val="false"/>
          <w:iCs w:val="false"/>
          <w:sz w:val="24"/>
          <w:szCs w:val="24"/>
        </w:rPr>
        <w:t xml:space="preserve"> Simulation-based power (20,000 replications per cell, two-sided alpha of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7"/>
        <w:gridCol w:w="1313"/>
        <w:gridCol w:w="716"/>
        <w:gridCol w:w="835"/>
        <w:gridCol w:w="835"/>
        <w:gridCol w:w="835"/>
      </w:tblGrid>
      <w:tr>
        <w:trPr>
          <w:tblHeader/>
        </w:trPr>
        <w:tc>
          <w:tcPr>
            <w:tcW w:type="dxa" w:w="45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Analysis</w:t>
            </w:r>
          </w:p>
        </w:tc>
        <w:tc>
          <w:tcPr>
            <w:tcW w:type="dxa" w:w="131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Effect size</w:t>
            </w:r>
          </w:p>
        </w:tc>
        <w:tc>
          <w:tcPr>
            <w:tcW w:type="dxa" w:w="71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60</w:t>
            </w:r>
          </w:p>
        </w:tc>
        <w:tc>
          <w:tcPr>
            <w:tcW w:type="dxa" w:w="8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100</w:t>
            </w:r>
          </w:p>
        </w:tc>
        <w:tc>
          <w:tcPr>
            <w:tcW w:type="dxa" w:w="8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130</w:t>
            </w:r>
          </w:p>
        </w:tc>
        <w:tc>
          <w:tcPr>
            <w:tcW w:type="dxa" w:w="8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200</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dz = 0.40</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86%</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98%</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dz = 0.30</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by colour interaction</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dz = 0.25</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47%</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large</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0.60 SD</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moderate</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0.50 SD</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48%</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70%</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5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small</w:t>
            </w:r>
          </w:p>
        </w:tc>
        <w:tc>
          <w:tcPr>
            <w:tcW w:type="dxa" w:w="13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0.40 SD</w:t>
            </w:r>
          </w:p>
        </w:tc>
        <w:tc>
          <w:tcPr>
            <w:tcW w:type="dxa" w:w="71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34%</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51%</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80%</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sample of 130 is smaller than those typical of between-participant survey research, but the quantity governing precision here is the number of condition-runs rather than the number of participants, and on that quantity the proposed design is substantially larger than the studies from which its measures are drawn. Those studies, set against the present design in Table 4.2, enrolled between 11 and 50 participants and obtained between 11 and 300 condition-runs in total, the largest being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at 300 and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at 280. The proposed 130 participants at 20 runs each yield 2,600 condition-runs, roughly nine times the largest comparable study. None of these studies combined a sample of this size with per-condition ocular measurement under a manipulated display parameter, and none manipulated polarity, text colour and ambient illumination together: where a display parameter was manipulated at all it was a single one, and the studies that measured blink composition most carefully manipulated no display property whatever.</w:t>
      </w:r>
    </w:p>
    <w:p>
      <w:pPr>
        <w:spacing w:after="0" w:line="360"/>
        <w:ind w:firstLine="360"/>
        <w:jc w:val="both"/>
      </w:pPr>
      <w:r>
        <w:rPr>
          <w:rFonts w:ascii="Times New Roman" w:cs="Times New Roman" w:eastAsia="Times New Roman" w:hAnsi="Times New Roman"/>
          <w:b/>
          <w:bCs/>
          <w:i w:val="false"/>
          <w:iCs w:val="false"/>
          <w:sz w:val="24"/>
          <w:szCs w:val="24"/>
        </w:rPr>
        <w:t xml:space="preserve">Table 4.2.</w:t>
      </w:r>
      <w:r>
        <w:rPr>
          <w:rFonts w:ascii="Times New Roman" w:cs="Times New Roman" w:eastAsia="Times New Roman" w:hAnsi="Times New Roman"/>
          <w:b w:val="false"/>
          <w:bCs w:val="false"/>
          <w:i w:val="false"/>
          <w:iCs w:val="false"/>
          <w:sz w:val="24"/>
          <w:szCs w:val="24"/>
        </w:rPr>
        <w:t xml:space="preserve">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772"/>
        <w:gridCol w:w="650"/>
        <w:gridCol w:w="650"/>
        <w:gridCol w:w="1272"/>
        <w:gridCol w:w="999"/>
        <w:gridCol w:w="3046"/>
        <w:gridCol w:w="1682"/>
      </w:tblGrid>
      <w:tr>
        <w:trPr>
          <w:tblHeader/>
        </w:trPr>
        <w:tc>
          <w:tcPr>
            <w:tcW w:type="dxa" w:w="77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27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Conditions per participant</w:t>
            </w:r>
          </w:p>
        </w:tc>
        <w:tc>
          <w:tcPr>
            <w:tcW w:type="dxa" w:w="9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Total condition-runs</w:t>
            </w:r>
          </w:p>
        </w:tc>
        <w:tc>
          <w:tcPr>
            <w:tcW w:type="dxa" w:w="304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Ocular measure</w:t>
            </w:r>
          </w:p>
        </w:tc>
        <w:tc>
          <w:tcPr>
            <w:tcW w:type="dxa" w:w="168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Display parameter manipulated</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tear break-up</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24</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280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Accommodation, pupil</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Text-background colour</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42</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75</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amplitude</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dynamism</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 Lin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patterns, tear film</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Ambient light and screen brightness</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medium</w:t>
            </w:r>
          </w:p>
        </w:tc>
      </w:tr>
      <w:tr>
        <w:tc>
          <w:tcPr>
            <w:tcW w:type="dxa" w:w="772"/>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Proposed study</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Proposed</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130</w:t>
            </w:r>
          </w:p>
        </w:tc>
        <w:tc>
          <w:tcPr>
            <w:tcW w:type="dxa" w:w="1272"/>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20</w:t>
            </w:r>
          </w:p>
        </w:tc>
        <w:tc>
          <w:tcPr>
            <w:tcW w:type="dxa" w:w="999"/>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2,600</w:t>
            </w:r>
          </w:p>
        </w:tc>
        <w:tc>
          <w:tcPr>
            <w:tcW w:type="dxa" w:w="3046"/>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Incomplete-blink ratio, blink rate, inter-blink interval, PERCLOS</w:t>
            </w:r>
          </w:p>
        </w:tc>
        <w:tc>
          <w:tcPr>
            <w:tcW w:type="dxa" w:w="1682"/>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Polarity, colour and illumination</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Participants must be young adults with normal or corrected acuity and substantial habitual screen exposure, and free of any ocular, systemic, neurological or psychiatric condition, medication or optical state that would independently affect the tear film, accommodation, colour discrimination or reading. The criteria are applied at screening in the operational form given in Table 4.3.</w:t>
      </w:r>
    </w:p>
    <w:p>
      <w:pPr>
        <w:spacing w:after="0" w:line="360"/>
        <w:ind w:firstLine="360"/>
        <w:jc w:val="both"/>
      </w:pPr>
      <w:r>
        <w:rPr>
          <w:rFonts w:ascii="Times New Roman" w:cs="Times New Roman" w:eastAsia="Times New Roman" w:hAnsi="Times New Roman"/>
          <w:b/>
          <w:bCs/>
          <w:i w:val="false"/>
          <w:iCs w:val="false"/>
          <w:sz w:val="24"/>
          <w:szCs w:val="24"/>
        </w:rPr>
        <w:t xml:space="preserve">Table 4.3.</w:t>
      </w:r>
      <w:r>
        <w:rPr>
          <w:rFonts w:ascii="Times New Roman" w:cs="Times New Roman" w:eastAsia="Times New Roman" w:hAnsi="Times New Roman"/>
          <w:b w:val="false"/>
          <w:bCs w:val="false"/>
          <w:i w:val="false"/>
          <w:iCs w:val="false"/>
          <w:sz w:val="24"/>
          <w:szCs w:val="24"/>
        </w:rPr>
        <w:t xml:space="preserve">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Inclusion</w:t>
            </w:r>
          </w:p>
        </w:tc>
        <w:tc>
          <w:tcPr>
            <w:tcW w:type="dxa" w:w="45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Exclusion</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Age 18 to 35 years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Refractive error beyond ±3.00 D</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Distance visual acuity 6/6 or better, with or without correction</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Manifest binocular vision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Habitual screen use of at least four hours daily</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Colour-vision deficiency on screening</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known ocular, systemic or neurological illness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History of photosensitivity or migraine</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Able to give written informed consent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Medication affecting vision, accommodation or tear film</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Available for two sessions 48 to 72 hours apart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Diagnosed learning or psychiatric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further inclusion criteria</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Contact-lens wear on test days; ocular surgery within six months</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presented on the study display. Presenting the plates on a display rather than in the booklet is defensible: sensitivity was 94.4 per cent and specificity 82.4 per cent on a calibrated monitor, and 96.0 and 94.7 per cent on a smartphone, with no significant difference between modes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a multicentre evaluation of a display-based colour-vision screener reported sensitivity of 1.00 and specificity of 0.99 against the Colour Assessment and Diagnosis test (Evans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Screening is an aid rather than a diagnosis, and its outcomes are recorded as covariates. A profiling questionnaire covering habitual display-mode preference, screen exposure, lighting environment, digital literacy, hours since waking and recent caffeine intake supplies the moderators for Objective 3 and the sleepiness covariates.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4.3 Display conditions and photometric characterisation</w:t>
      </w:r>
    </w:p>
    <w:p>
      <w:pPr>
        <w:spacing w:after="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That target is informed by the optimum of 153 cd/m² determined under 300 lux (C.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scaled for the lower domestic illuminance used here. Typography, line height and margins are fixed across conditions, so polarity and colour are the only stimulus properties that vary. Contrast is computed from linearised sRGB relative luminance following the accessibility standard (World Wide Web Consortium,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 properties of the resulting matrix, tabulated in Table 4.4, matter for the analysis. The contrast ordering is inverted between the polarities, and this is arithmetic rather than design, since contrast on a white field falls as the text lightens while contrast on a black field rises. The achromatic pair is contrast-matched at 21.00:1 and gives the cleanest test of polarity, being an experimental rather than a statistical control and the one comparison in which a polarity effect cannot be attributed to contrast. Conditions falling below the accessibility minimum are balanced two per polarity, so polarity is not confounded with accessibility compliance. Michelson contrast is uninformative under negative polarity, because a pure black background sets the minimum luminance to zero and the metric saturates at 1.000 for every colour; the accessibility contrast ratio, supported by measured photometry, therefore serves as the analytic contrast variable.</w:t>
      </w:r>
    </w:p>
    <w:p>
      <w:pPr>
        <w:spacing w:after="0" w:line="360"/>
        <w:ind w:firstLine="360"/>
        <w:jc w:val="both"/>
      </w:pPr>
      <w:r>
        <w:rPr>
          <w:rFonts w:ascii="Times New Roman" w:cs="Times New Roman" w:eastAsia="Times New Roman" w:hAnsi="Times New Roman"/>
          <w:b/>
          <w:bCs/>
          <w:i w:val="false"/>
          <w:iCs w:val="false"/>
          <w:sz w:val="24"/>
          <w:szCs w:val="24"/>
        </w:rPr>
        <w:t xml:space="preserve">Table 4.4.</w:t>
      </w:r>
      <w:r>
        <w:rPr>
          <w:rFonts w:ascii="Times New Roman" w:cs="Times New Roman" w:eastAsia="Times New Roman" w:hAnsi="Times New Roman"/>
          <w:b w:val="false"/>
          <w:bCs w:val="false"/>
          <w:i w:val="false"/>
          <w:iCs w:val="false"/>
          <w:sz w:val="24"/>
          <w:szCs w:val="24"/>
        </w:rPr>
        <w:t xml:space="preserve"> The ten display conditions with computed contrast.** Ratios are calculated from linearised sRGB relative luminance (World Wide Web Consortium, 2023) and will be confirmed against measured display photometry.</w:t>
      </w:r>
    </w:p>
    <w:p>
      <w:pPr>
        <w:sectPr>
          <w:pgSz w:w="11906" w:h="16838" w:orient="portrait"/>
          <w:pgMar w:top="1440" w:right="1134" w:bottom="1440" w:left="1701" w:header="708" w:footer="708" w:gutter="0"/>
          <w:pgNumType/>
          <w:docGrid w:linePitch="360"/>
        </w:sectPr>
      </w:pPr>
    </w:p>
    <w:tbl>
      <w:tblPr>
        <w:tblW w:type="dxa" w:w="14003"/>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88"/>
        <w:gridCol w:w="2159"/>
        <w:gridCol w:w="1571"/>
        <w:gridCol w:w="1963"/>
        <w:gridCol w:w="1963"/>
        <w:gridCol w:w="1571"/>
        <w:gridCol w:w="1767"/>
        <w:gridCol w:w="1571"/>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8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Code</w:t>
            </w:r>
          </w:p>
        </w:tc>
        <w:tc>
          <w:tcPr>
            <w:tcW w:type="dxa" w:w="215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colour</w:t>
            </w:r>
          </w:p>
        </w:tc>
        <w:tc>
          <w:tcPr>
            <w:tcW w:type="dxa" w:w="157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hex</w:t>
            </w:r>
          </w:p>
        </w:tc>
        <w:tc>
          <w:tcPr>
            <w:tcW w:type="dxa" w:w="196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Background</w:t>
            </w:r>
          </w:p>
        </w:tc>
        <w:tc>
          <w:tcPr>
            <w:tcW w:type="dxa" w:w="196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WCAG ratio</w:t>
            </w:r>
          </w:p>
        </w:tc>
        <w:tc>
          <w:tcPr>
            <w:tcW w:type="dxa" w:w="157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Level</w:t>
            </w:r>
          </w:p>
        </w:tc>
        <w:tc>
          <w:tcPr>
            <w:tcW w:type="dxa" w:w="176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Michelson</w:t>
            </w:r>
          </w:p>
        </w:tc>
        <w:tc>
          <w:tcPr>
            <w:tcW w:type="dxa" w:w="157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Below AA</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P1</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P2</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6.70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0.807</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P3</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5.74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0.765</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P4</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2.39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Fail</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0.439</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P5</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3.19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0.564</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N1</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N2</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3.14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N3</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3.66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N4</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8.79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7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N5</w:t>
            </w:r>
          </w:p>
        </w:tc>
        <w:tc>
          <w:tcPr>
            <w:tcW w:type="dxa" w:w="215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96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6.57 : 1</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7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15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bl>
    <w:p>
      <w:pPr>
        <w:spacing w:after="40" w:line="120"/>
      </w:pPr>
      <w:r>
        <w:rPr>
          <w:sz w:val="8"/>
          <w:szCs w:val="8"/>
        </w:rPr>
        <w:t xml:space="preserve"/>
      </w:r>
    </w:p>
    <w:p>
      <w:pPr>
        <w:sectPr>
          <w:pgSz w:w="16838" w:h="11906" w:orient="portrait"/>
          <w:pgMar w:top="1440" w:right="1134" w:bottom="1440" w:left="1701" w:header="708" w:footer="708" w:gutter="0"/>
          <w:pgNumType/>
          <w:docGrid w:linePitch="360"/>
        </w:sectPr>
      </w:pP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is logged at the start, middle and end of each session. The dim level targets approximately 10 lux, representing night-time and low-light domestic use. The moderate level targets approximately 150 lux, representing general indoor domestic lighting, and is set deliberately below the 300 to 500 lux specified for offices and classrooms in the Indian interior-illumination code (Bureau of Indian Standards, 2009). Two levels rather than a graded series were chosen so that illumination could be crossed with all ten display conditions within a feasible protocol. The values fall either side of the range at which negative-polarity penalties have been reported to emerge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differ by approximately one log unit, which makes a pupillary difference physiologically plausible. Because display white luminance is held constant, the ratio of display to ambient luminance, the quantity the polarity account implicates, differs by design between sessions. Correlated colour temperature and light-source type are held constant, so illuminance is the only photometric property of the room that varies.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4.5 Instrumentation and outcome measures</w:t>
      </w:r>
    </w:p>
    <w:p>
      <w:pPr>
        <w:spacing w:after="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It presents the ten conditions with locked colour values and a neutral grey adaptation field between them, and runs the tasks with frame-accurate onset timestamping and hardware-timestamped responses.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The eye aspect ratio is computed for each processed frame, and blink events are classified by depth of closure as complete or incomplete against a baseline established for that participant at calibration. A blink is registered when the ratio falls below a fixed fraction of baseline and is classified as incomplete when the lids descend without achieving full apposition. The classification thresholds are provisional and will be finalised against manually annotated video before the main analysis is run. A pre-specified subsample of participants will contribute synchronised video, coded frame by frame by two annotators masked to condition and to algorithm output, so that agreement between the automated classifier and the adjudicated manual standard can be reported. Camera processing runs entirely on the device, and quality-control indices such as achieved sampling rate and face-presence ratio are recorded alongside every measure rather than discarded.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primary outcome is the incomplete-blink ratio during the reading task, analysed per condition. The principal secondary outcome is change in the Computer Vision Syndrome Questionnaire score from session baseline. Remaining measures are secondary or exploratory, and PERCLOS, head pose, face-presence ratio and achieved sampling rate serve as covariates or data-quality indices rather than as outcomes. Confirmatory inference is confined to the primary outcome. Independent variables are display polarity, text colour and ambient illumination; covariates comprise serial position, illumination order, session index, measured ambient illuminance and display luminance, computed contrast metrics, PERCLOS, achieved sampling rate, refractive and binocular status, and the profiling variables. The dependent measures are grouped by domain in Table 4.5.</w:t>
      </w:r>
    </w:p>
    <w:p>
      <w:pPr>
        <w:spacing w:after="0" w:line="360"/>
        <w:ind w:firstLine="360"/>
        <w:jc w:val="both"/>
      </w:pPr>
      <w:r>
        <w:rPr>
          <w:rFonts w:ascii="Times New Roman" w:cs="Times New Roman" w:eastAsia="Times New Roman" w:hAnsi="Times New Roman"/>
          <w:b/>
          <w:bCs/>
          <w:i w:val="false"/>
          <w:iCs w:val="false"/>
          <w:sz w:val="24"/>
          <w:szCs w:val="24"/>
        </w:rPr>
        <w:t xml:space="preserve">Table 4.5.</w:t>
      </w:r>
      <w:r>
        <w:rPr>
          <w:rFonts w:ascii="Times New Roman" w:cs="Times New Roman" w:eastAsia="Times New Roman" w:hAnsi="Times New Roman"/>
          <w:b w:val="false"/>
          <w:bCs w:val="false"/>
          <w:i w:val="false"/>
          <w:iCs w:val="false"/>
          <w:sz w:val="24"/>
          <w:szCs w:val="24"/>
        </w:rPr>
        <w:t xml:space="preserve"> Dependent variables by domain.**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352"/>
        <w:gridCol w:w="6719"/>
      </w:tblGrid>
      <w:tr>
        <w:trPr>
          <w:tblHeader/>
        </w:trPr>
        <w:tc>
          <w:tcPr>
            <w:tcW w:type="dxa" w:w="23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Domain</w:t>
            </w:r>
          </w:p>
        </w:tc>
        <w:tc>
          <w:tcPr>
            <w:tcW w:type="dxa" w:w="671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Measures</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behaviour (objective)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(primary); blink rate; inter-blink interval and its variability</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and data quality</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long-closure events; head pose and stability; face-presence ratio; achieved sampling rate</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Subjective fatigue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CVS-Q score and change from baseline, the key secondary outcome (Seguí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2015); five-item visual-fatigue visual analogue scale per condition</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Perceived display quality</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comfort and text clarity per condition</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Cognitive workload</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NASA Task Load Index, six dimensions, once per session (Hart &amp; Staveland, 1988)</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performance (objective)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rate; comprehension accuracy and response time; visual-search accuracy and efficiency; reaction-time mean, variability, lapse rate, sensitivity (d-prime) and criterion</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4.6 Procedure</w:t>
      </w:r>
    </w:p>
    <w:p>
      <w:pPr>
        <w:spacing w:after="0" w:line="360"/>
        <w:jc w:val="both"/>
      </w:pPr>
      <w:r>
        <w:rPr>
          <w:rFonts w:ascii="Times New Roman" w:cs="Times New Roman" w:eastAsia="Times New Roman" w:hAnsi="Times New Roman"/>
          <w:b w:val="false"/>
          <w:bCs w:val="false"/>
          <w:i w:val="false"/>
          <w:iCs w:val="false"/>
          <w:sz w:val="24"/>
          <w:szCs w:val="24"/>
        </w:rPr>
        <w:t xml:space="preserve">Each session opens with setup, seating and calibration, followed by a baseline CVS-Q and fatigue rating. It closes with the CVS-Q repeated and the NASA Task Load Index administered once, as a session-level index of cumulative workload.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ten conditions within a session follow a fixed internal sequence. A neutral grey adaptation field precedes each condition, extended when polarity switches. The participant then reads a standardised passage in the active condition, which is the exposure window for the ocular metrics, and answers comprehension items on it. Ratings of display comfort, text clarity and visual fatigue are taken immediately afterwards, followed by a timed visual-search task and a go/no-go reaction-time task presented on the active background.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stays orthogonal to display condition. A self-paced rest break follows every two conditions. No performance feedback is given, so effort is not differentially modulated across conditions. The reaction-time target is achromatic and defined relative to the active background, black on light fields and white on dark ones, with the chromatic set serving as distractors; target contrast is therefore maximal and identical in both polarities, and no hue coincides with the text-colour manipulation.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protocol simulation run by the investigator over 2,000 synthetic participants, using reading rates drawn from the published distribution for adult non-fiction reading together with the timing constants of the instrument itself, estimates a median sitting of 97 minutes at the passage length now fixed in the instrument, with a ninety-fifth percentile of 118 minutes and 4.0 per cent of participants exceeding two hours. A pilot of ten participants will nonetheless precede the main study to test tolerability, dropout, data quality and completion time against observed rather than simulated values. If the median session exceeds two hours, or withdrawal or data quality fall short of pre-specified thresholds, each illumination level will be divided into two shorter sittings of five conditions, preserving the counterbalancing scheme and the record of serial position.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4.7 Counterbalancing</w:t>
      </w:r>
    </w:p>
    <w:p>
      <w:pPr>
        <w:spacing w:after="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are driven by the vigilance decrement and by accumulating fatigue, and first-order carryover arises chiefly from the light-adaptation transient that a polarity switch imposes. A balanced Latin square of the Williams type over the ten conditions addresses both, since each condition occupies each serial position equally often across a complete block and precedes and follows every other condition equally often. Participants are assigned to rows by sequential enrolment index, with complete balance achieved in blocks of ten.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illumination block advances the row by one, so that a participant does not meet the conditions in the same serial order twice; reusing the row would allow a position effect to masquerade as a condition effect in the same direction in both sessions. Illumination order is counterbalanced orthogonally to the condition row, which requires care, because assigning the order by the parity of the enrolment number alone would not be orthogonal to a row index that is itself the enrolment number modulo ten. Order is therefore alternated by parity and inverted after each completed block, which splits the two orders evenly within every block and pairs each row with both orders across twenty participants.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4.8 Statistical analysis</w:t>
      </w:r>
    </w:p>
    <w:p>
      <w:pPr>
        <w:spacing w:after="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with fixed effects for polarity, text colour, ambient illumination, their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with a random intercept for participant and one for session nested within participant. The primary contrast is tested at an alpha of 0.05, and the three-way interaction is treated as exploratory given its lower power.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the residual hue terms quantify the contribution of each. Moderation under Objective 3 is tested by entering the profiling variables as between-participant terms with condition-by-moderator interactions. Agreement between automated and manual blink classification under Objective 4 is analysed as set out in Section 4.5. Ordinal models are used for rating-scale outcomes and binomial mixed models for accuracy outcomes. Sensitivity analyses re-fit the models excluding condition-runs flagged for poor data quality, and with PERCLOS entered as a covariate so that visual fatigue can be separated from sleepiness. Effect sizes with 95 per cent confidence intervals, residual diagnostics and multiplicity control within outcome families are reported throughout.</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4.9 Ethical considerations</w:t>
      </w:r>
    </w:p>
    <w:p>
      <w:pPr>
        <w:spacing w:after="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and written informed consent will be taken. Camera-based measurement is consented separately from participation itself and may be refused without affecting it: a participant who declines contributes every non-camera measure and remains fully enrolled. Participants may withdraw at any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By default no image or video leaves the device, since the camera produces numeric measures and the frames are discarded as they are processed. Two purposes require imagery, and each is a further independent grant that defaults to refusal. The first is a photograph at the start and end of a session, documenting seating distance and room lighting so that compliance with the setup is evidenced rather than asserted. The second is a short reading-task video segment from the validation subsample, without which Objective 4 cannot be met, since criterion validity requires material that a human assessor can code frame by frame. Neither grant implies the other, and neither is implied by consent to numeric measurement. The permission in force at capture is stored with each file, and retained media are held apart from the research dataset and can be deleted independently of it.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Identifiable enrolment records are stored separately from the de-identified research dataset and linked only by enrolment code, with access restricted to the researcher and the supervisors. Incidental findings at screening, including reduced acuity, uncorrected refractive error, binocular anomaly or colour-vision deficiency, will be recorded and communicated to the participant with written advice to seek a full optometric or ophthalmological examination. No intervention with therapeutic intent is administered, and exposure durations are comparable to habitual device use.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5: EXPECTED OUTCOMES AND CONCLUSION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5.1 Rationale revisited and expected outcomes</w:t>
      </w:r>
    </w:p>
    <w:p>
      <w:pPr>
        <w:spacing w:after="0" w:line="360"/>
        <w:jc w:val="both"/>
      </w:pPr>
      <w:r>
        <w:rPr>
          <w:rFonts w:ascii="Times New Roman" w:cs="Times New Roman" w:eastAsia="Times New Roman" w:hAnsi="Times New Roman"/>
          <w:b w:val="false"/>
          <w:bCs w:val="false"/>
          <w:i w:val="false"/>
          <w:iCs w:val="false"/>
          <w:sz w:val="24"/>
          <w:szCs w:val="24"/>
        </w:rPr>
        <w:t xml:space="preserve">The rationale set out in Chapter 3 rests on three claims: that display configuration is a determinant of visual health which is ubiquitous and free to change, that the existing evidence cannot separate the effect of hue from the effect of luminance contrast, and that the ocular marker with the best claim to specificity has never been used as the outcome of a display manipulation. What the study is expected to produce follows from each in turn.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study should yield quantified effects, with confidence intervals, of display polarity, text colour and ambient illumination on subjective visual fatigue, ocular behaviour, cognitive workload and task performance. It should provide among the first estimates of the polarity-by-colour interaction on fatigue outcomes, and should establish whether the positive-polarity advantage extends from brief legibility tasks to hour-scale reading.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the contrast ordering of the colours reverses across polarity, the results should indicate how far colour-related effects are mediated by luminance contrast rather than by hue. A crossover interaction would support contrast mediation; a preserved ordering would point to residual hue-specific effects. Contrast is expected to account for most of the colour-related variance, with red the candidate exception. Characterising the polarity-by-illumination interaction should show whether negative polarity is specifically costly under dim domestic lighting, which is where dark mode is most used and most advocated.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study should also identify the configurations that minimise and maximise fatigue, indicate whether a polarity-blind contrast criterion adequately predicts measured readability, and produce both an account of subjective-objective correspondence and an instrument whose agreement with manual annotation has been reported.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5.2 Significance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an empirically grounded specification for text presentation and dark-mode implementation in reading applications, e-readers, e-learning platforms and operating-system themes. They bear on accessibility standards by indicating whether and how polarity must enter a contrast criterion. For occupational and public health, display configuration is a preventive measure that costs nothing and can be deployed at population scale against a condition affecting roughly seven in ten screen users. In education the work informs how tablet-based learning materials should be configured. For optometric practice it supplies actionable device-configuration advice in an area where practitioners are documented to lack quality evidence. Methodologically, a scalable instrument would relieve the annotation bottleneck that has confined this literature to small samples.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5.3 Limitations and delimitations</w:t>
      </w:r>
    </w:p>
    <w:p>
      <w:pPr>
        <w:spacing w:after="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Measuring and modelling contrast mitigates this, and the crossover is exploited deliberately as a test, but the constraint on independent causal attribution remains.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Camera-based measurement is screening-grade. It is lower in spatial accuracy and sampling rate than infrared eye tracking and cannot measure accommodation, so gaze measures are limited to coarse zones, duration-based blink metrics are gated on the achieved frame rate, and accommodative outcomes fall outside the scope of the study. The precision of the primary outcome within a single condition is bounded by the number of blinks that condition captures, and measurement error attenuates observed effect sizes, so the figures in Table 4.1 are upper bounds on what the design can detect.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manipulation cannot be blinded, because polarity and colour are visible, so expectation effects on subjective ratings cannot be excluded; objective markers, the absence of feedback and counterbalancing mitigate but do not remove them. Sessions accumulate generic fatigue and boredom alongside visual fatigue, and these are counterbalanced, measured and modelled rather than eliminated.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the covariates recorded. PERCLOS, while serving as a sleepiness covariate, is itself insensitive to moderate drowsiness.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in whom polarity effects may differ, lie outside the present scope and are identified as future work.</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5.4 Concluding remarks</w:t>
      </w:r>
    </w:p>
    <w:p>
      <w:pPr>
        <w:spacing w:after="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by measuring validated symptoms alongside ocular behaviour, workload and task performance within a single instrumented protocol, it is intended to produce quantified, standards-relevant evidence on how a display should be configured for prolonged reading, and to contribute a measurement approach that may reduce this field's reliance on manual annotation.</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REFERENCES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Bureau of Indian Standards. (2009). </w:t>
      </w:r>
      <w:r>
        <w:rPr>
          <w:rFonts w:ascii="Times New Roman" w:cs="Times New Roman" w:eastAsia="Times New Roman" w:hAnsi="Times New Roman"/>
          <w:b w:val="false"/>
          <w:bCs w:val="false"/>
          <w:i/>
          <w:iCs/>
          <w:sz w:val="24"/>
          <w:szCs w:val="24"/>
        </w:rPr>
        <w:t xml:space="preserve">IS 3646: Code of practice for interior illumination</w:t>
      </w:r>
      <w:r>
        <w:rPr>
          <w:rFonts w:ascii="Times New Roman" w:cs="Times New Roman" w:eastAsia="Times New Roman" w:hAnsi="Times New Roman"/>
          <w:b w:val="false"/>
          <w:bCs w:val="false"/>
          <w:i w:val="false"/>
          <w:iCs w:val="false"/>
          <w:sz w:val="24"/>
          <w:szCs w:val="24"/>
        </w:rPr>
        <w:t xml:space="preserve">. Bureau of Indian Standards.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Evans, B. E. W., Rodriguez-Carmona, M., Rauscher, F. G., Llapashtica, E., Koefoed, V. F., Ziemssen, F., Nitsche, R., Farini, A., Baldanzi, E., Gómez-Robledo, L., Douglass, A., Baker, M., Quast, R., Roelcke, S., Ho, S. C. C., &amp; Barbur, J. L. (2025). Multicenter evaluation of the color vision screener test. </w:t>
      </w:r>
      <w:r>
        <w:rPr>
          <w:rFonts w:ascii="Times New Roman" w:cs="Times New Roman" w:eastAsia="Times New Roman" w:hAnsi="Times New Roman"/>
          <w:b w:val="false"/>
          <w:bCs w:val="false"/>
          <w:i/>
          <w:iCs/>
          <w:sz w:val="24"/>
          <w:szCs w:val="24"/>
        </w:rPr>
        <w:t xml:space="preserve">Journal of the Optical Society of America 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42</w:t>
      </w:r>
      <w:r>
        <w:rPr>
          <w:rFonts w:ascii="Times New Roman" w:cs="Times New Roman" w:eastAsia="Times New Roman" w:hAnsi="Times New Roman"/>
          <w:b w:val="false"/>
          <w:bCs w:val="false"/>
          <w:i w:val="false"/>
          <w:iCs w:val="false"/>
          <w:sz w:val="24"/>
          <w:szCs w:val="24"/>
        </w:rPr>
        <w:t xml:space="preserve">(5), B190–B198. https://doi.org/10.1364/JOSAA.544985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H., Fjaervoll, K., Magno, M., Moschowits, E., Vehof, J., Dartt, D. A., &amp; Utheim, T. P. (2022). The association between visual display terminal use and dry eye: A review.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(4), 357–375. https://doi.org/10.1111/aos.15049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&amp;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Somers, A. (n.d.). </w:t>
      </w:r>
      <w:r>
        <w:rPr>
          <w:rFonts w:ascii="Times New Roman" w:cs="Times New Roman" w:eastAsia="Times New Roman" w:hAnsi="Times New Roman"/>
          <w:b w:val="false"/>
          <w:bCs w:val="false"/>
          <w:i/>
          <w:iCs/>
          <w:sz w:val="24"/>
          <w:szCs w:val="24"/>
        </w:rPr>
        <w:t xml:space="preserve">APCA: The accessible perceptual contrast algorithm</w:t>
      </w:r>
      <w:r>
        <w:rPr>
          <w:rFonts w:ascii="Times New Roman" w:cs="Times New Roman" w:eastAsia="Times New Roman" w:hAnsi="Times New Roman"/>
          <w:b w:val="false"/>
          <w:bCs w:val="false"/>
          <w:i w:val="false"/>
          <w:iCs w:val="false"/>
          <w:sz w:val="24"/>
          <w:szCs w:val="24"/>
        </w:rPr>
        <w:t xml:space="preserve"> [Documentation]. Myndex Research. Retrieved August 24, 2026, from https://git.apcacontrast.com/</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Rimske Toplice, Slovenia.</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World Wide Web Consortium. (2023).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40" w:before="0"/>
      </w:pPr>
      <w:r>
        <w:rPr>
          <w:rFonts w:ascii="Times New Roman" w:cs="Times New Roman" w:eastAsia="Times New Roman" w:hAnsi="Times New Roman"/>
          <w:sz w:val="24"/>
          <w:szCs w:val="24"/>
        </w:rPr>
        <w:t xml:space="preserve"/>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Date: ……………………………                     Signature of Scholar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40" w:before="1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40" w:before="1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40" w:before="10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40" w:before="10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2026-08-27T17:30:52.302Z</dcterms:created>
  <dcterms:modified xsi:type="dcterms:W3CDTF">2026-08-27T17:30:52.302Z</dcterms:modified>
</cp:coreProperties>
</file>

<file path=docProps/custom.xml><?xml version="1.0" encoding="utf-8"?>
<Properties xmlns="http://schemas.openxmlformats.org/officeDocument/2006/custom-properties" xmlns:vt="http://schemas.openxmlformats.org/officeDocument/2006/docPropsVTypes"/>
</file>