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Paramedical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pageBreakBefore/>
        <w:spacing w:after="180" w:before="36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1.1 Background of the subject</w:t>
      </w:r>
    </w:p>
    <w:p>
      <w:pPr>
        <w:spacing w:after="150" w:line="360"/>
        <w:jc w:val="both"/>
      </w:pPr>
      <w:r>
        <w:rPr>
          <w:rFonts w:ascii="Times New Roman" w:cs="Times New Roman" w:eastAsia="Times New Roman" w:hAnsi="Times New Roman"/>
          <w:b w:val="false"/>
          <w:bCs w:val="false"/>
          <w:i w:val="false"/>
          <w:iCs w:val="false"/>
          <w:sz w:val="24"/>
          <w:szCs w:val="24"/>
        </w:rPr>
        <w:t xml:space="preserve">Reading has migrated substantially from reflective print to self-luminous digital displays. Tablets and comparable handheld devices now mediate a large share of sustained reading in education, professional work and leisure. Unlike print, a self-luminous display is an active light source whose </w:t>
      </w:r>
      <w:r>
        <w:rPr>
          <w:rFonts w:ascii="Times New Roman" w:cs="Times New Roman" w:eastAsia="Times New Roman" w:hAnsi="Times New Roman"/>
          <w:b/>
          <w:bCs/>
          <w:i w:val="false"/>
          <w:iCs w:val="false"/>
          <w:sz w:val="24"/>
          <w:szCs w:val="24"/>
        </w:rPr>
        <w:t xml:space="preserve">polarity</w:t>
      </w:r>
      <w:r>
        <w:rPr>
          <w:rFonts w:ascii="Times New Roman" w:cs="Times New Roman" w:eastAsia="Times New Roman" w:hAnsi="Times New Roman"/>
          <w:b w:val="false"/>
          <w:bCs w:val="false"/>
          <w:i w:val="false"/>
          <w:iCs w:val="false"/>
          <w:sz w:val="24"/>
          <w:szCs w:val="24"/>
        </w:rPr>
        <w:t xml:space="preserve"> (whether text is dark-on-light or light-on-dark), </w:t>
      </w:r>
      <w:r>
        <w:rPr>
          <w:rFonts w:ascii="Times New Roman" w:cs="Times New Roman" w:eastAsia="Times New Roman" w:hAnsi="Times New Roman"/>
          <w:b/>
          <w:bCs/>
          <w:i w:val="false"/>
          <w:iCs w:val="false"/>
          <w:sz w:val="24"/>
          <w:szCs w:val="24"/>
        </w:rPr>
        <w:t xml:space="preserve">chromaticity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contrast</w:t>
      </w:r>
      <w:r>
        <w:rPr>
          <w:rFonts w:ascii="Times New Roman" w:cs="Times New Roman" w:eastAsia="Times New Roman" w:hAnsi="Times New Roman"/>
          <w:b w:val="false"/>
          <w:bCs w:val="false"/>
          <w:i w:val="false"/>
          <w:iCs w:val="false"/>
          <w:sz w:val="24"/>
          <w:szCs w:val="24"/>
        </w:rPr>
        <w:t xml:space="preserve"> are software-configurable design parameters. In practice these parameters are set by interface designers and by user-selectable themes — most visibly the now-ubiquitous "dark mode" — largely in the absence of a settled evidence base concerning their consequences for visual health and reading performance.</w:t>
      </w:r>
    </w:p>
    <w:p>
      <w:pPr>
        <w:spacing w:after="150" w:line="360"/>
        <w:jc w:val="both"/>
      </w:pPr>
      <w:r>
        <w:rPr>
          <w:rFonts w:ascii="Times New Roman" w:cs="Times New Roman" w:eastAsia="Times New Roman" w:hAnsi="Times New Roman"/>
          <w:b w:val="false"/>
          <w:bCs w:val="false"/>
          <w:i w:val="false"/>
          <w:iCs w:val="false"/>
          <w:sz w:val="24"/>
          <w:szCs w:val="24"/>
        </w:rPr>
        <w:t xml:space="preserve">The visual and ocular consequences of prolonged display use are neither rare nor trivial. A systematic review and meta-analysis of 103 cross-sectional studies comprising 66,577 participants estimated the pooled prevalence of computer vision syndrome (CVS) at </w:t>
      </w:r>
      <w:r>
        <w:rPr>
          <w:rFonts w:ascii="Times New Roman" w:cs="Times New Roman" w:eastAsia="Times New Roman" w:hAnsi="Times New Roman"/>
          <w:b/>
          <w:bCs/>
          <w:i w:val="false"/>
          <w:iCs w:val="false"/>
          <w:sz w:val="24"/>
          <w:szCs w:val="24"/>
        </w:rPr>
        <w:t xml:space="preserve">69.0% (95% CI 62.3–75.3)</w:t>
      </w:r>
      <w:r>
        <w:rPr>
          <w:rFonts w:ascii="Times New Roman" w:cs="Times New Roman" w:eastAsia="Times New Roman" w:hAnsi="Times New Roman"/>
          <w:b w:val="false"/>
          <w:bCs w:val="false"/>
          <w:i w:val="false"/>
          <w:iCs w:val="false"/>
          <w:sz w:val="24"/>
          <w:szCs w:val="24"/>
        </w:rPr>
        <w:t xml:space="preserve">, with individual study estimates ranging from 12.1% to 97.3% [1]. Prevalence was higher in women than men (71.4% vs 61.8%), higher among university students (76.1%), and higher in contact-lens wearers (73.1% vs 63.8%) [1]. Contemporary reviews converge on a similar order of magnitude and document a further rise associated with pandemic-era remote learning and work, with reported prevalence among children rising to 50–60% [2–5].</w:t>
      </w:r>
    </w:p>
    <w:p>
      <w:pPr>
        <w:spacing w:after="150" w:line="360"/>
        <w:jc w:val="both"/>
      </w:pPr>
      <w:r>
        <w:rPr>
          <w:rFonts w:ascii="Times New Roman" w:cs="Times New Roman" w:eastAsia="Times New Roman" w:hAnsi="Times New Roman"/>
          <w:b w:val="false"/>
          <w:bCs w:val="false"/>
          <w:i w:val="false"/>
          <w:iCs w:val="false"/>
          <w:sz w:val="24"/>
          <w:szCs w:val="24"/>
        </w:rPr>
        <w:t xml:space="preserve">Two labels dominate the literature and are used near-synonymously: </w:t>
      </w:r>
      <w:r>
        <w:rPr>
          <w:rFonts w:ascii="Times New Roman" w:cs="Times New Roman" w:eastAsia="Times New Roman" w:hAnsi="Times New Roman"/>
          <w:b/>
          <w:bCs/>
          <w:i w:val="false"/>
          <w:iCs w:val="false"/>
          <w:sz w:val="24"/>
          <w:szCs w:val="24"/>
        </w:rPr>
        <w:t xml:space="preserve">computer vision syndrome (CVS)</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 (DES)</w:t>
      </w:r>
      <w:r>
        <w:rPr>
          <w:rFonts w:ascii="Times New Roman" w:cs="Times New Roman" w:eastAsia="Times New Roman" w:hAnsi="Times New Roman"/>
          <w:b w:val="false"/>
          <w:bCs w:val="false"/>
          <w:i w:val="false"/>
          <w:iCs w:val="false"/>
          <w:sz w:val="24"/>
          <w:szCs w:val="24"/>
        </w:rPr>
        <w:t xml:space="preserve">. Both denote the constellation of ocular and visual symptoms arising from prolonged digital-device use — dry eye, irritation and burning, foreign-body sensation, watering, blurred vision, difficulty refocusing, headache and photophobia — together with associated musculoskeletal complaints of the neck, shoulder and back [2,3,6,7]. A recognised weakness of the field is the absence of a standardised operational definition; the prevalence meta-analysis closes with an explicit call to "standardize a definition of CVS" [1].</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1.2 Biophysiological basis of display-induced visual fatigue</w:t>
      </w:r>
    </w:p>
    <w:p>
      <w:pPr>
        <w:spacing w:after="150" w:line="360"/>
        <w:jc w:val="both"/>
      </w:pPr>
      <w:r>
        <w:rPr>
          <w:rFonts w:ascii="Times New Roman" w:cs="Times New Roman" w:eastAsia="Times New Roman" w:hAnsi="Times New Roman"/>
          <w:b w:val="false"/>
          <w:bCs w:val="false"/>
          <w:i w:val="false"/>
          <w:iCs w:val="false"/>
          <w:sz w:val="24"/>
          <w:szCs w:val="24"/>
        </w:rPr>
        <w:t xml:space="preserve">The most serviceable organising framework partitions DES symptoms into </w:t>
      </w:r>
      <w:r>
        <w:rPr>
          <w:rFonts w:ascii="Times New Roman" w:cs="Times New Roman" w:eastAsia="Times New Roman" w:hAnsi="Times New Roman"/>
          <w:b/>
          <w:bCs/>
          <w:i w:val="false"/>
          <w:iCs w:val="false"/>
          <w:sz w:val="24"/>
          <w:szCs w:val="24"/>
        </w:rPr>
        <w:t xml:space="preserve">two mechanistically distinct clusters</w:t>
      </w:r>
      <w:r>
        <w:rPr>
          <w:rFonts w:ascii="Times New Roman" w:cs="Times New Roman" w:eastAsia="Times New Roman" w:hAnsi="Times New Roman"/>
          <w:b w:val="false"/>
          <w:bCs w:val="false"/>
          <w:i w:val="false"/>
          <w:iCs w:val="false"/>
          <w:sz w:val="24"/>
          <w:szCs w:val="24"/>
        </w:rPr>
        <w:t xml:space="preserve"> [3]:</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Accommodative and vergence (binocular) stress</w:t>
      </w:r>
      <w:r>
        <w:rPr>
          <w:rFonts w:ascii="Times New Roman" w:cs="Times New Roman" w:eastAsia="Times New Roman" w:hAnsi="Times New Roman"/>
          <w:b w:val="false"/>
          <w:bCs w:val="false"/>
          <w:i w:val="false"/>
          <w:iCs w:val="false"/>
          <w:sz w:val="24"/>
          <w:szCs w:val="24"/>
        </w:rPr>
        <w:t xml:space="preserve"> — difficulty focusing, blurred vision, near-work-induced transient myopia and headache, arising from sustained near-focus demand and the vergence–accommodation load of prolonged display work.</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Ocular-surface (external) symptoms</w:t>
      </w:r>
      <w:r>
        <w:rPr>
          <w:rFonts w:ascii="Times New Roman" w:cs="Times New Roman" w:eastAsia="Times New Roman" w:hAnsi="Times New Roman"/>
          <w:b w:val="false"/>
          <w:bCs w:val="false"/>
          <w:i w:val="false"/>
          <w:iCs w:val="false"/>
          <w:sz w:val="24"/>
          <w:szCs w:val="24"/>
        </w:rPr>
        <w:t xml:space="preserve"> — dryness, burning, irritation and watering, arising principally from altered blinking behaviour and consequent tear-film instability.</w:t>
      </w:r>
    </w:p>
    <w:p>
      <w:pPr>
        <w:spacing w:after="150" w:line="360"/>
        <w:jc w:val="both"/>
      </w:pPr>
      <w:r>
        <w:rPr>
          <w:rFonts w:ascii="Times New Roman" w:cs="Times New Roman" w:eastAsia="Times New Roman" w:hAnsi="Times New Roman"/>
          <w:b w:val="false"/>
          <w:bCs w:val="false"/>
          <w:i w:val="false"/>
          <w:iCs w:val="false"/>
          <w:sz w:val="24"/>
          <w:szCs w:val="24"/>
        </w:rPr>
        <w:t xml:space="preserve">The mechanistic chain for the ocular-surface pathway is comparatively well described. Display use reduces spontaneous blink rate and increases the proportion of </w:t>
      </w:r>
      <w:r>
        <w:rPr>
          <w:rFonts w:ascii="Times New Roman" w:cs="Times New Roman" w:eastAsia="Times New Roman" w:hAnsi="Times New Roman"/>
          <w:b/>
          <w:bCs/>
          <w:i w:val="false"/>
          <w:iCs w:val="false"/>
          <w:sz w:val="24"/>
          <w:szCs w:val="24"/>
        </w:rPr>
        <w:t xml:space="preserve">incomplete</w:t>
      </w:r>
      <w:r>
        <w:rPr>
          <w:rFonts w:ascii="Times New Roman" w:cs="Times New Roman" w:eastAsia="Times New Roman" w:hAnsi="Times New Roman"/>
          <w:b w:val="false"/>
          <w:bCs w:val="false"/>
          <w:i w:val="false"/>
          <w:iCs w:val="false"/>
          <w:sz w:val="24"/>
          <w:szCs w:val="24"/>
        </w:rPr>
        <w:t xml:space="preserve"> blinks; incomplete blinking enlarges the exposed evaporative area of the ocular surface and impairs distribution of meibomian lipid across the tear film; the resulting tear-film instability raises tear osmolarity and initiates ocular-surface inflammation, entering the recognised vicious cycle of dry eye disease [10,11]. A dedicated mechanistic review concluded that visual display terminal (VDT) use causes dry eye disease "mainly through impaired blinking patterns", while noting that proposed contributions from altered parasympathetic signalling and blue-light exposure lack sufficient support at present [11].</w:t>
      </w:r>
    </w:p>
    <w:p>
      <w:pPr>
        <w:spacing w:after="150" w:line="360"/>
        <w:jc w:val="both"/>
      </w:pPr>
      <w:r>
        <w:rPr>
          <w:rFonts w:ascii="Times New Roman" w:cs="Times New Roman" w:eastAsia="Times New Roman" w:hAnsi="Times New Roman"/>
          <w:b w:val="false"/>
          <w:bCs w:val="false"/>
          <w:i w:val="false"/>
          <w:iCs w:val="false"/>
          <w:sz w:val="24"/>
          <w:szCs w:val="24"/>
        </w:rPr>
        <w:t xml:space="preserve">The accommodative pathway is more heterogeneously evidenced but demonstrably sensitive to display parameters. Text–background colour combination modulates accommodative and pupillary dynamics over even a two-minute reading task [18], and break scheduling alters accommodative variability and near-work-induced transient myopia over 40 minutes of near work [30]. This pathway is central to optometric practice and to the present study's disciplinary framing, even though its gold-standard instrumentation (open-field autorefractometry) is not portable.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1.3 Ergonomic determinants: polarity, text colour and ambient illumination</w:t>
      </w:r>
    </w:p>
    <w:p>
      <w:pPr>
        <w:spacing w:after="150" w:line="360"/>
        <w:jc w:val="both"/>
      </w:pPr>
      <w:r>
        <w:rPr>
          <w:rFonts w:ascii="Times New Roman" w:cs="Times New Roman" w:eastAsia="Times New Roman" w:hAnsi="Times New Roman"/>
          <w:b w:val="false"/>
          <w:bCs w:val="false"/>
          <w:i w:val="false"/>
          <w:iCs w:val="false"/>
          <w:sz w:val="24"/>
          <w:szCs w:val="24"/>
        </w:rPr>
        <w:t xml:space="preserve">Digital fatigue is not dictated by exposure duration alone. Three configurable determinants directly alter retinal illuminance, pupil state and cortical effort.</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1.3.1 Display polarity</w:t>
      </w:r>
    </w:p>
    <w:p>
      <w:pPr>
        <w:spacing w:after="150" w:line="360"/>
        <w:jc w:val="both"/>
      </w:pPr>
      <w:r>
        <w:rPr>
          <w:rFonts w:ascii="Times New Roman" w:cs="Times New Roman" w:eastAsia="Times New Roman" w:hAnsi="Times New Roman"/>
          <w:b w:val="false"/>
          <w:bCs w:val="false"/>
          <w:i w:val="false"/>
          <w:iCs w:val="false"/>
          <w:sz w:val="24"/>
          <w:szCs w:val="24"/>
        </w:rPr>
        <w:t xml:space="preserve">The most robust single finding in the display-legibility literature is the </w:t>
      </w:r>
      <w:r>
        <w:rPr>
          <w:rFonts w:ascii="Times New Roman" w:cs="Times New Roman" w:eastAsia="Times New Roman" w:hAnsi="Times New Roman"/>
          <w:b/>
          <w:bCs/>
          <w:i w:val="false"/>
          <w:iCs w:val="false"/>
          <w:sz w:val="24"/>
          <w:szCs w:val="24"/>
        </w:rPr>
        <w:t xml:space="preserve">positive polarity advantage (PPA)</w:t>
      </w:r>
      <w:r>
        <w:rPr>
          <w:rFonts w:ascii="Times New Roman" w:cs="Times New Roman" w:eastAsia="Times New Roman" w:hAnsi="Times New Roman"/>
          <w:b w:val="false"/>
          <w:bCs w:val="false"/>
          <w:i w:val="false"/>
          <w:iCs w:val="false"/>
          <w:sz w:val="24"/>
          <w:szCs w:val="24"/>
        </w:rPr>
        <w:t xml:space="preserve">: reading performance is superior for dark text on a light background than for light text on a dark background. In a systematic series of experiments, proofreading performance was consistently better with positive polarity, independent of ambient lighting and of chromaticity; physiological indices of effort (heart rate, heart-rate variability, respiration, skin conductance) and self-reported strain did not differ across conditions, indicating the performance difference was not an effort–performance trade-off [12]. The dominant explanation is the </w:t>
      </w:r>
      <w:r>
        <w:rPr>
          <w:rFonts w:ascii="Times New Roman" w:cs="Times New Roman" w:eastAsia="Times New Roman" w:hAnsi="Times New Roman"/>
          <w:b/>
          <w:bCs/>
          <w:i w:val="false"/>
          <w:iCs w:val="false"/>
          <w:sz w:val="24"/>
          <w:szCs w:val="24"/>
        </w:rPr>
        <w:t xml:space="preserve">display luminance hypothesis</w:t>
      </w:r>
      <w:r>
        <w:rPr>
          <w:rFonts w:ascii="Times New Roman" w:cs="Times New Roman" w:eastAsia="Times New Roman" w:hAnsi="Times New Roman"/>
          <w:b w:val="false"/>
          <w:bCs w:val="false"/>
          <w:i w:val="false"/>
          <w:iCs w:val="false"/>
          <w:sz w:val="24"/>
          <w:szCs w:val="24"/>
        </w:rPr>
        <w:t xml:space="preserve">: positive-polarity presentations have higher overall luminance, which constricts the pupil, reduces optical aberration, increases depth of focus and sharpens the retinal image. This has direct support — pupil sizes were smaller and proofreading better under positive polarity [13], and the advantage </w:t>
      </w:r>
      <w:r>
        <w:rPr>
          <w:rFonts w:ascii="Times New Roman" w:cs="Times New Roman" w:eastAsia="Times New Roman" w:hAnsi="Times New Roman"/>
          <w:b/>
          <w:bCs/>
          <w:i w:val="false"/>
          <w:iCs w:val="false"/>
          <w:sz w:val="24"/>
          <w:szCs w:val="24"/>
        </w:rPr>
        <w:t xml:space="preserve">increased linearly as character size decreased</w:t>
      </w:r>
      <w:r>
        <w:rPr>
          <w:rFonts w:ascii="Times New Roman" w:cs="Times New Roman" w:eastAsia="Times New Roman" w:hAnsi="Times New Roman"/>
          <w:b w:val="false"/>
          <w:bCs w:val="false"/>
          <w:i w:val="false"/>
          <w:iCs w:val="false"/>
          <w:sz w:val="24"/>
          <w:szCs w:val="24"/>
        </w:rPr>
        <w:t xml:space="preserve"> [14].</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1.3.2 Text colour and luminance contrast</w:t>
      </w:r>
    </w:p>
    <w:p>
      <w:pPr>
        <w:spacing w:after="150" w:line="360"/>
        <w:jc w:val="both"/>
      </w:pPr>
      <w:r>
        <w:rPr>
          <w:rFonts w:ascii="Times New Roman" w:cs="Times New Roman" w:eastAsia="Times New Roman" w:hAnsi="Times New Roman"/>
          <w:b w:val="false"/>
          <w:bCs w:val="false"/>
          <w:i w:val="false"/>
          <w:iCs w:val="false"/>
          <w:sz w:val="24"/>
          <w:szCs w:val="24"/>
        </w:rPr>
        <w:t xml:space="preserve">Only a small number of studies manipulate text chromaticity systematically. Reading fourteen text–background colour combinations under continuous autorefractometry, colour significantly modulated accommodative and pupillary dynamics; blue-on-red heightened the accommodative response; positive polarities showed smaller pupils and greater accommodative variability; low-luminance-contrast pairs were rated less legible; and reading </w:t>
      </w:r>
      <w:r>
        <w:rPr>
          <w:rFonts w:ascii="Times New Roman" w:cs="Times New Roman" w:eastAsia="Times New Roman" w:hAnsi="Times New Roman"/>
          <w:b/>
          <w:bCs/>
          <w:i w:val="false"/>
          <w:iCs w:val="false"/>
          <w:sz w:val="24"/>
          <w:szCs w:val="24"/>
        </w:rPr>
        <w:t xml:space="preserve">speed</w:t>
      </w:r>
      <w:r>
        <w:rPr>
          <w:rFonts w:ascii="Times New Roman" w:cs="Times New Roman" w:eastAsia="Times New Roman" w:hAnsi="Times New Roman"/>
          <w:b w:val="false"/>
          <w:bCs w:val="false"/>
          <w:i w:val="false"/>
          <w:iCs w:val="false"/>
          <w:sz w:val="24"/>
          <w:szCs w:val="24"/>
        </w:rPr>
        <w:t xml:space="preserve"> was unaffected [18]. Under negative polarity only, </w:t>
      </w:r>
      <w:r>
        <w:rPr>
          <w:rFonts w:ascii="Times New Roman" w:cs="Times New Roman" w:eastAsia="Times New Roman" w:hAnsi="Times New Roman"/>
          <w:b/>
          <w:bCs/>
          <w:i w:val="false"/>
          <w:iCs w:val="false"/>
          <w:sz w:val="24"/>
          <w:szCs w:val="24"/>
        </w:rPr>
        <w:t xml:space="preserve">red text produced the highest and yellow text the lowest</w:t>
      </w:r>
      <w:r>
        <w:rPr>
          <w:rFonts w:ascii="Times New Roman" w:cs="Times New Roman" w:eastAsia="Times New Roman" w:hAnsi="Times New Roman"/>
          <w:b w:val="false"/>
          <w:bCs w:val="false"/>
          <w:i w:val="false"/>
          <w:iCs w:val="false"/>
          <w:sz w:val="24"/>
          <w:szCs w:val="24"/>
        </w:rPr>
        <w:t xml:space="preserve"> visual fatigue, and cognitive performance was better with yellow and white and worse with red [19].</w:t>
      </w:r>
    </w:p>
    <w:p>
      <w:pPr>
        <w:spacing w:after="150" w:line="360"/>
        <w:jc w:val="both"/>
      </w:pPr>
      <w:r>
        <w:rPr>
          <w:rFonts w:ascii="Times New Roman" w:cs="Times New Roman" w:eastAsia="Times New Roman" w:hAnsi="Times New Roman"/>
          <w:b w:val="false"/>
          <w:bCs w:val="false"/>
          <w:i w:val="false"/>
          <w:iCs w:val="false"/>
          <w:sz w:val="24"/>
          <w:szCs w:val="24"/>
        </w:rPr>
        <w:t xml:space="preserve">Critically, Buchner and Baumgartner demonstrated that </w:t>
      </w:r>
      <w:r>
        <w:rPr>
          <w:rFonts w:ascii="Times New Roman" w:cs="Times New Roman" w:eastAsia="Times New Roman" w:hAnsi="Times New Roman"/>
          <w:b/>
          <w:bCs/>
          <w:i w:val="false"/>
          <w:iCs w:val="false"/>
          <w:sz w:val="24"/>
          <w:szCs w:val="24"/>
        </w:rPr>
        <w:t xml:space="preserve">colour contrast cannot compensate for a lack of luminance contrast</w:t>
      </w:r>
      <w:r>
        <w:rPr>
          <w:rFonts w:ascii="Times New Roman" w:cs="Times New Roman" w:eastAsia="Times New Roman" w:hAnsi="Times New Roman"/>
          <w:b w:val="false"/>
          <w:bCs w:val="false"/>
          <w:i w:val="false"/>
          <w:iCs w:val="false"/>
          <w:sz w:val="24"/>
          <w:szCs w:val="24"/>
        </w:rPr>
        <w:t xml:space="preserve"> [12]. Because chromatic pigments differ intrinsically in relative luminance, any fixed set of text colours rendered on a light and on a dark background necessarily produces unequal, polarity-asymmetric luminance contrasts. Luminance contrast is therefore an inseparable covarying property of any text-colour manipulation and must be quantified and modelled explicitly rather than ignored.</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1.3.3 Ambient illumination</w:t>
      </w:r>
    </w:p>
    <w:p>
      <w:pPr>
        <w:spacing w:after="150" w:line="360"/>
        <w:jc w:val="both"/>
      </w:pPr>
      <w:r>
        <w:rPr>
          <w:rFonts w:ascii="Times New Roman" w:cs="Times New Roman" w:eastAsia="Times New Roman" w:hAnsi="Times New Roman"/>
          <w:b w:val="false"/>
          <w:bCs w:val="false"/>
          <w:i w:val="false"/>
          <w:iCs w:val="false"/>
          <w:sz w:val="24"/>
          <w:szCs w:val="24"/>
        </w:rPr>
        <w:t xml:space="preserve">Ambient illumination enters the causal picture at three points: it adds veiling luminance and glare, thereby altering effective display contrast; it modulates pupil size independently of the display, interacting with the very mechanism that produces the PPA; and it is a documented DES risk factor [7,9]. Empirically, legibility thresholds under glance-like reading were </w:t>
      </w:r>
      <w:r>
        <w:rPr>
          <w:rFonts w:ascii="Times New Roman" w:cs="Times New Roman" w:eastAsia="Times New Roman" w:hAnsi="Times New Roman"/>
          <w:b/>
          <w:bCs/>
          <w:i w:val="false"/>
          <w:iCs w:val="false"/>
          <w:sz w:val="24"/>
          <w:szCs w:val="24"/>
        </w:rPr>
        <w:t xml:space="preserve">worst for negative polarity under near-dark ambient illumination</w:t>
      </w:r>
      <w:r>
        <w:rPr>
          <w:rFonts w:ascii="Times New Roman" w:cs="Times New Roman" w:eastAsia="Times New Roman" w:hAnsi="Times New Roman"/>
          <w:b w:val="false"/>
          <w:bCs w:val="false"/>
          <w:i w:val="false"/>
          <w:iCs w:val="false"/>
          <w:sz w:val="24"/>
          <w:szCs w:val="24"/>
        </w:rPr>
        <w:t xml:space="preserve">, improving either by switching to positive polarity or by raising ambient illumination [15]. Independently, raising ambient illumination reduced visual fatigue under negative polarity, but by an amount that </w:t>
      </w:r>
      <w:r>
        <w:rPr>
          <w:rFonts w:ascii="Times New Roman" w:cs="Times New Roman" w:eastAsia="Times New Roman" w:hAnsi="Times New Roman"/>
          <w:b/>
          <w:bCs/>
          <w:i w:val="false"/>
          <w:iCs w:val="false"/>
          <w:sz w:val="24"/>
          <w:szCs w:val="24"/>
        </w:rPr>
        <w:t xml:space="preserve">depended on text colour</w:t>
      </w:r>
      <w:r>
        <w:rPr>
          <w:rFonts w:ascii="Times New Roman" w:cs="Times New Roman" w:eastAsia="Times New Roman" w:hAnsi="Times New Roman"/>
          <w:b w:val="false"/>
          <w:bCs w:val="false"/>
          <w:i w:val="false"/>
          <w:iCs w:val="false"/>
          <w:sz w:val="24"/>
          <w:szCs w:val="24"/>
        </w:rPr>
        <w:t xml:space="preserve"> [19]. Against this, the proofreading PPA was reported as independent of ambient lighting across darkness and typical office illumination [12], suggesting the interaction may be threshold-like rather than smoothly scaling. In a recent visual-ergonomic optimisation study, positive polarity was again advantageous for visual fatigue and discomfort, with an optimum display luminance of 153 cd/m² determined under 300 lx office lighting [39].</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1.4 Measurement paradigms</w:t>
      </w:r>
    </w:p>
    <w:p>
      <w:pPr>
        <w:spacing w:after="150" w:line="360"/>
        <w:jc w:val="both"/>
      </w:pPr>
      <w:r>
        <w:rPr>
          <w:rFonts w:ascii="Times New Roman" w:cs="Times New Roman" w:eastAsia="Times New Roman" w:hAnsi="Times New Roman"/>
          <w:b w:val="false"/>
          <w:bCs w:val="false"/>
          <w:i w:val="false"/>
          <w:iCs w:val="false"/>
          <w:sz w:val="24"/>
          <w:szCs w:val="24"/>
        </w:rPr>
        <w:t xml:space="preserve">Hybrid protocols that combine </w:t>
      </w:r>
      <w:r>
        <w:rPr>
          <w:rFonts w:ascii="Times New Roman" w:cs="Times New Roman" w:eastAsia="Times New Roman" w:hAnsi="Times New Roman"/>
          <w:b/>
          <w:bCs/>
          <w:i w:val="false"/>
          <w:iCs w:val="false"/>
          <w:sz w:val="24"/>
          <w:szCs w:val="24"/>
        </w:rPr>
        <w:t xml:space="preserve">validated subjective instruments</w:t>
      </w:r>
      <w:r>
        <w:rPr>
          <w:rFonts w:ascii="Times New Roman" w:cs="Times New Roman" w:eastAsia="Times New Roman" w:hAnsi="Times New Roman"/>
          <w:b w:val="false"/>
          <w:bCs w:val="false"/>
          <w:i w:val="false"/>
          <w:iCs w:val="false"/>
          <w:sz w:val="24"/>
          <w:szCs w:val="24"/>
        </w:rPr>
        <w:t xml:space="preserve"> with </w:t>
      </w:r>
      <w:r>
        <w:rPr>
          <w:rFonts w:ascii="Times New Roman" w:cs="Times New Roman" w:eastAsia="Times New Roman" w:hAnsi="Times New Roman"/>
          <w:b/>
          <w:bCs/>
          <w:i w:val="false"/>
          <w:iCs w:val="false"/>
          <w:sz w:val="24"/>
          <w:szCs w:val="24"/>
        </w:rPr>
        <w:t xml:space="preserve">objective ocular and performance markers</w:t>
      </w:r>
      <w:r>
        <w:rPr>
          <w:rFonts w:ascii="Times New Roman" w:cs="Times New Roman" w:eastAsia="Times New Roman" w:hAnsi="Times New Roman"/>
          <w:b w:val="false"/>
          <w:bCs w:val="false"/>
          <w:i w:val="false"/>
          <w:iCs w:val="false"/>
          <w:sz w:val="24"/>
          <w:szCs w:val="24"/>
        </w:rPr>
        <w:t xml:space="preserve"> offer the most ecologically valid account of digital fatigue. Two validated DES questionnaires are recognised: the Computer Vision Syndrome Questionnaire (CVS-Q) and the Computer Vision Symptom Scale [4]. The CVS-Q assesses frequency and intensity of 16 symptoms on a Rasch-fitting scale, with sensitivity and specificity above 70% and test–retest ICC 0.802 [23]. Objectively, blink rate, </w:t>
      </w:r>
      <w:r>
        <w:rPr>
          <w:rFonts w:ascii="Times New Roman" w:cs="Times New Roman" w:eastAsia="Times New Roman" w:hAnsi="Times New Roman"/>
          <w:b/>
          <w:bCs/>
          <w:i w:val="false"/>
          <w:iCs w:val="false"/>
          <w:sz w:val="24"/>
          <w:szCs w:val="24"/>
        </w:rPr>
        <w:t xml:space="preserve">blink completeness</w:t>
      </w:r>
      <w:r>
        <w:rPr>
          <w:rFonts w:ascii="Times New Roman" w:cs="Times New Roman" w:eastAsia="Times New Roman" w:hAnsi="Times New Roman"/>
          <w:b w:val="false"/>
          <w:bCs w:val="false"/>
          <w:i w:val="false"/>
          <w:iCs w:val="false"/>
          <w:sz w:val="24"/>
          <w:szCs w:val="24"/>
        </w:rPr>
        <w:t xml:space="preserve">, accommodative function, pupil characteristics and critical flicker-fusion frequency are used as fatigue indices — though authoritative review notes that "correlations between objective and subjective measures are not always apparent" [3], an unresolved metrological problem that motivates concurrent measurement of both.</w:t>
      </w:r>
    </w:p>
    <w:p>
      <w:pPr>
        <w:spacing w:after="150" w:line="360"/>
        <w:jc w:val="both"/>
      </w:pPr>
      <w:r>
        <w:rPr>
          <w:rFonts w:ascii="Times New Roman" w:cs="Times New Roman" w:eastAsia="Times New Roman" w:hAnsi="Times New Roman"/>
          <w:b w:val="false"/>
          <w:bCs w:val="false"/>
          <w:i w:val="false"/>
          <w:iCs w:val="false"/>
          <w:sz w:val="24"/>
          <w:szCs w:val="24"/>
        </w:rPr>
        <w:t xml:space="preserve">A decisive practical constraint is that the best-justified ocular marker — the proportion of incomplete blinks — has historically required frame-by-frame manual annotation of video, restricting the literature to small samples of 11–50 participants [26–29]. Automated facial-landmark methods based on the </w:t>
      </w:r>
      <w:r>
        <w:rPr>
          <w:rFonts w:ascii="Times New Roman" w:cs="Times New Roman" w:eastAsia="Times New Roman" w:hAnsi="Times New Roman"/>
          <w:b/>
          <w:bCs/>
          <w:i w:val="false"/>
          <w:iCs w:val="false"/>
          <w:sz w:val="24"/>
          <w:szCs w:val="24"/>
        </w:rPr>
        <w:t xml:space="preserve">eye aspect ratio (EAR)</w:t>
      </w:r>
      <w:r>
        <w:rPr>
          <w:rFonts w:ascii="Times New Roman" w:cs="Times New Roman" w:eastAsia="Times New Roman" w:hAnsi="Times New Roman"/>
          <w:b w:val="false"/>
          <w:bCs w:val="false"/>
          <w:i w:val="false"/>
          <w:iCs w:val="false"/>
          <w:sz w:val="24"/>
          <w:szCs w:val="24"/>
        </w:rPr>
        <w:t xml:space="preserve"> [35] make this measurement scalable using only a consumer RGB camera, and thereby make adequately powered studies of display parameters feasible for the first time.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1.5 Statement of the problem</w:t>
      </w:r>
    </w:p>
    <w:p>
      <w:pPr>
        <w:spacing w:after="150" w:line="360"/>
        <w:jc w:val="both"/>
      </w:pPr>
      <w:r>
        <w:rPr>
          <w:rFonts w:ascii="Times New Roman" w:cs="Times New Roman" w:eastAsia="Times New Roman" w:hAnsi="Times New Roman"/>
          <w:b w:val="false"/>
          <w:bCs w:val="false"/>
          <w:i w:val="false"/>
          <w:iCs w:val="false"/>
          <w:sz w:val="24"/>
          <w:szCs w:val="24"/>
        </w:rPr>
        <w:t xml:space="preserve">Digital eye strain affects approximately seven in ten screen users [1], yet the interventions most heavily promoted to mitigate it lack high-certainty supporting evidence: a systematic review and meta-analysis of 45 randomised controlled trials involving 4,497 participants found </w:t>
      </w:r>
      <w:r>
        <w:rPr>
          <w:rFonts w:ascii="Times New Roman" w:cs="Times New Roman" w:eastAsia="Times New Roman" w:hAnsi="Times New Roman"/>
          <w:b/>
          <w:bCs/>
          <w:i w:val="false"/>
          <w:iCs w:val="false"/>
          <w:sz w:val="24"/>
          <w:szCs w:val="24"/>
        </w:rPr>
        <w:t xml:space="preserve">no high-certainty evidence supporting any analysed therapy</w:t>
      </w:r>
      <w:r>
        <w:rPr>
          <w:rFonts w:ascii="Times New Roman" w:cs="Times New Roman" w:eastAsia="Times New Roman" w:hAnsi="Times New Roman"/>
          <w:b w:val="false"/>
          <w:bCs w:val="false"/>
          <w:i w:val="false"/>
          <w:iCs w:val="false"/>
          <w:sz w:val="24"/>
          <w:szCs w:val="24"/>
        </w:rPr>
        <w:t xml:space="preserve">, with blue-blocking spectacle lenses ineffective and only low-certainty benefit for oral omega-3 in dry-eye symptoms [8]. An independent systematic review in young users likewise found </w:t>
      </w:r>
      <w:r>
        <w:rPr>
          <w:rFonts w:ascii="Times New Roman" w:cs="Times New Roman" w:eastAsia="Times New Roman" w:hAnsi="Times New Roman"/>
          <w:b/>
          <w:bCs/>
          <w:i w:val="false"/>
          <w:iCs w:val="false"/>
          <w:sz w:val="24"/>
          <w:szCs w:val="24"/>
        </w:rPr>
        <w:t xml:space="preserve">no evidence for blue-blocking filters</w:t>
      </w:r>
      <w:r>
        <w:rPr>
          <w:rFonts w:ascii="Times New Roman" w:cs="Times New Roman" w:eastAsia="Times New Roman" w:hAnsi="Times New Roman"/>
          <w:b w:val="false"/>
          <w:bCs w:val="false"/>
          <w:i w:val="false"/>
          <w:iCs w:val="false"/>
          <w:sz w:val="24"/>
          <w:szCs w:val="24"/>
        </w:rPr>
        <w:t xml:space="preserve">, while supporting ergonomic optimisation and restriction of exposure duration [9].</w:t>
      </w:r>
    </w:p>
    <w:p>
      <w:pPr>
        <w:spacing w:after="150" w:line="360"/>
        <w:jc w:val="both"/>
      </w:pPr>
      <w:r>
        <w:rPr>
          <w:rFonts w:ascii="Times New Roman" w:cs="Times New Roman" w:eastAsia="Times New Roman" w:hAnsi="Times New Roman"/>
          <w:b w:val="false"/>
          <w:bCs w:val="false"/>
          <w:i w:val="false"/>
          <w:iCs w:val="false"/>
          <w:sz w:val="24"/>
          <w:szCs w:val="24"/>
        </w:rPr>
        <w:t xml:space="preserve">Against this, the class of determinants that is simultaneously upstream of the visual load, free to modify, and already being altered at global scale — </w:t>
      </w:r>
      <w:r>
        <w:rPr>
          <w:rFonts w:ascii="Times New Roman" w:cs="Times New Roman" w:eastAsia="Times New Roman" w:hAnsi="Times New Roman"/>
          <w:b/>
          <w:bCs/>
          <w:i w:val="false"/>
          <w:iCs w:val="false"/>
          <w:sz w:val="24"/>
          <w:szCs w:val="24"/>
        </w:rPr>
        <w:t xml:space="preserve">the configuration of the displayed stimulus itself</w:t>
      </w:r>
      <w:r>
        <w:rPr>
          <w:rFonts w:ascii="Times New Roman" w:cs="Times New Roman" w:eastAsia="Times New Roman" w:hAnsi="Times New Roman"/>
          <w:b w:val="false"/>
          <w:bCs w:val="false"/>
          <w:i w:val="false"/>
          <w:iCs w:val="false"/>
          <w:sz w:val="24"/>
          <w:szCs w:val="24"/>
        </w:rPr>
        <w:t xml:space="preserve"> — remains inadequately evidenced. The legibility literature establishes a robust positive polarity advantage for brief, detail-limited tasks [12–17] but is silent on prolonged reading and on ocular-surface outcomes. Studies manipulating text colour are each incomplete: one measures ocular physiology across many colour pairs but neither symptom-level fatigue nor performance beyond two minutes [18]; the other measures visual fatigue but </w:t>
      </w:r>
      <w:r>
        <w:rPr>
          <w:rFonts w:ascii="Times New Roman" w:cs="Times New Roman" w:eastAsia="Times New Roman" w:hAnsi="Times New Roman"/>
          <w:b/>
          <w:bCs/>
          <w:i w:val="false"/>
          <w:iCs w:val="false"/>
          <w:sz w:val="24"/>
          <w:szCs w:val="24"/>
        </w:rPr>
        <w:t xml:space="preserve">only under negative polarity</w:t>
      </w:r>
      <w:r>
        <w:rPr>
          <w:rFonts w:ascii="Times New Roman" w:cs="Times New Roman" w:eastAsia="Times New Roman" w:hAnsi="Times New Roman"/>
          <w:b w:val="false"/>
          <w:bCs w:val="false"/>
          <w:i w:val="false"/>
          <w:iCs w:val="false"/>
          <w:sz w:val="24"/>
          <w:szCs w:val="24"/>
        </w:rPr>
        <w:t xml:space="preserve">, precluding any statement about a polarity × colour interaction [19]. No study to date has (i) estimated the polarity × text-colour interaction on visual fatigue, (ii) disentangled hue from luminance contrast, (iii) crossed both with ambient illumination, or (iv) co-registered a validated symptom instrument with the objective ocular marker — the incomplete-blink ratio — that has the strongest mechanistic and empirical claim to specificity for this condition [26,27,29]. Progress is further constrained by a metrological bottleneck: blink-completeness measurement has depended on manual video annotation.</w:t>
      </w:r>
    </w:p>
    <w:p>
      <w:pPr>
        <w:spacing w:after="150" w:line="360"/>
        <w:jc w:val="both"/>
      </w:pPr>
      <w:r>
        <w:rPr>
          <w:rFonts w:ascii="Times New Roman" w:cs="Times New Roman" w:eastAsia="Times New Roman" w:hAnsi="Times New Roman"/>
          <w:b w:val="false"/>
          <w:bCs w:val="false"/>
          <w:i w:val="false"/>
          <w:iCs w:val="false"/>
          <w:sz w:val="24"/>
          <w:szCs w:val="24"/>
        </w:rPr>
        <w:t xml:space="preserve">Consequently, evidence-based guidance cannot currently be given to a user, clinician, designer or standards body on how a tablet display should be configured for prolonged reading, or on how that configuration should change with the ambient light in which the device is used.</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1.6 Rationale of the study</w:t>
      </w:r>
    </w:p>
    <w:p>
      <w:pPr>
        <w:spacing w:after="150" w:line="360"/>
        <w:jc w:val="both"/>
      </w:pPr>
      <w:r>
        <w:rPr>
          <w:rFonts w:ascii="Times New Roman" w:cs="Times New Roman" w:eastAsia="Times New Roman" w:hAnsi="Times New Roman"/>
          <w:b w:val="false"/>
          <w:bCs w:val="false"/>
          <w:i w:val="false"/>
          <w:iCs w:val="false"/>
          <w:sz w:val="24"/>
          <w:szCs w:val="24"/>
        </w:rPr>
        <w:t xml:space="preserve">The study is justified on five grounds.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Magnitude and modifiability.</w:t>
      </w:r>
      <w:r>
        <w:rPr>
          <w:rFonts w:ascii="Times New Roman" w:cs="Times New Roman" w:eastAsia="Times New Roman" w:hAnsi="Times New Roman"/>
          <w:b w:val="false"/>
          <w:bCs w:val="false"/>
          <w:i w:val="false"/>
          <w:iCs w:val="false"/>
          <w:sz w:val="24"/>
          <w:szCs w:val="24"/>
        </w:rPr>
        <w:t xml:space="preserve"> A condition affecting roughly 70% of screen users [1] whose principal marketed remedies are unsupported [8,9] warrants investigation of a determinant that is zero-cost, software-configurable and universally deployable.</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 designed dissociation of hue from contrast.</w:t>
      </w:r>
      <w:r>
        <w:rPr>
          <w:rFonts w:ascii="Times New Roman" w:cs="Times New Roman" w:eastAsia="Times New Roman" w:hAnsi="Times New Roman"/>
          <w:b w:val="false"/>
          <w:bCs w:val="false"/>
          <w:i w:val="false"/>
          <w:iCs w:val="false"/>
          <w:sz w:val="24"/>
          <w:szCs w:val="24"/>
        </w:rPr>
        <w:t xml:space="preserve"> Because chromatic luminance differs by hue, the rank order of luminance contrast </w:t>
      </w:r>
      <w:r>
        <w:rPr>
          <w:rFonts w:ascii="Times New Roman" w:cs="Times New Roman" w:eastAsia="Times New Roman" w:hAnsi="Times New Roman"/>
          <w:b/>
          <w:bCs/>
          <w:i w:val="false"/>
          <w:iCs w:val="false"/>
          <w:sz w:val="24"/>
          <w:szCs w:val="24"/>
        </w:rPr>
        <w:t xml:space="preserve">reverses</w:t>
      </w:r>
      <w:r>
        <w:rPr>
          <w:rFonts w:ascii="Times New Roman" w:cs="Times New Roman" w:eastAsia="Times New Roman" w:hAnsi="Times New Roman"/>
          <w:b w:val="false"/>
          <w:bCs w:val="false"/>
          <w:i w:val="false"/>
          <w:iCs w:val="false"/>
          <w:sz w:val="24"/>
          <w:szCs w:val="24"/>
        </w:rPr>
        <w:t xml:space="preserve"> between polarities in the proposed condition set (Table 3.2): blue and red are high-contrast on white but fall below the accessibility minimum on black, while yellow and green show the converse. The polarity × colour interaction therefore constitutes a direct empirical test of whether observed "colour effects" are hue effects or luminance-contrast effects — a question the existing single-polarity evidence [19] cannot answer.</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Ecological validity of the ambient-light manipulation.</w:t>
      </w:r>
      <w:r>
        <w:rPr>
          <w:rFonts w:ascii="Times New Roman" w:cs="Times New Roman" w:eastAsia="Times New Roman" w:hAnsi="Times New Roman"/>
          <w:b w:val="false"/>
          <w:bCs w:val="false"/>
          <w:i w:val="false"/>
          <w:iCs w:val="false"/>
          <w:sz w:val="24"/>
          <w:szCs w:val="24"/>
        </w:rPr>
        <w:t xml:space="preserve"> Devices are extensively used in dim domestic and night-time conditions, precisely where negative polarity is predicted to be most costly [15]. Manipulating illumination across sessions tests this where it matters behaviourally.</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Methodological contribution.</w:t>
      </w:r>
      <w:r>
        <w:rPr>
          <w:rFonts w:ascii="Times New Roman" w:cs="Times New Roman" w:eastAsia="Times New Roman" w:hAnsi="Times New Roman"/>
          <w:b w:val="false"/>
          <w:bCs w:val="false"/>
          <w:i w:val="false"/>
          <w:iCs w:val="false"/>
          <w:sz w:val="24"/>
          <w:szCs w:val="24"/>
        </w:rPr>
        <w:t xml:space="preserve"> Validating a scalable, offline-capable, webcam-based instrument for blink-completeness and related ocular markers relieves the manual-annotation bottleneck that has limited this literature to small samples [26–29], and yields a reusable research tool.</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Translational value.</w:t>
      </w:r>
      <w:r>
        <w:rPr>
          <w:rFonts w:ascii="Times New Roman" w:cs="Times New Roman" w:eastAsia="Times New Roman" w:hAnsi="Times New Roman"/>
          <w:b w:val="false"/>
          <w:bCs w:val="false"/>
          <w:i w:val="false"/>
          <w:iCs w:val="false"/>
          <w:sz w:val="24"/>
          <w:szCs w:val="24"/>
        </w:rPr>
        <w:t xml:space="preserve"> Findings map directly onto interface and product design, accessibility standards (whose current contrast criterion is polarity-blind [36,37]), occupational and public-health guidance, and clinical advice — an area in which practitioners are explicitly said to require quality research evidence [3].</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1.7 Aim</w:t>
      </w:r>
    </w:p>
    <w:p>
      <w:pPr>
        <w:spacing w:after="150" w:line="360"/>
        <w:jc w:val="both"/>
      </w:pPr>
      <w:r>
        <w:rPr>
          <w:rFonts w:ascii="Times New Roman" w:cs="Times New Roman" w:eastAsia="Times New Roman" w:hAnsi="Times New Roman"/>
          <w:b w:val="false"/>
          <w:bCs w:val="false"/>
          <w:i w:val="false"/>
          <w:iCs w:val="false"/>
          <w:sz w:val="24"/>
          <w:szCs w:val="24"/>
        </w:rPr>
        <w:t xml:space="preserve">To determine how display polarity, text colour and ambient illumination — individually and interactively — affect visual fatigue, ocular behaviour and task performance during prolonged tablet reading; and to establish and validate a scalable, instrumented protocol for objective ocular measurement of digital eye strain outside the specialist laboratory.</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1.8 Objectives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w:t>
      </w:r>
      <w:r>
        <w:rPr>
          <w:rFonts w:ascii="Times New Roman" w:cs="Times New Roman" w:eastAsia="Times New Roman" w:hAnsi="Times New Roman"/>
          <w:b/>
          <w:bCs/>
          <w:i w:val="false"/>
          <w:iCs w:val="false"/>
          <w:sz w:val="24"/>
          <w:szCs w:val="24"/>
        </w:rPr>
        <w:t xml:space="preserve">individual (main) effects</w:t>
      </w:r>
      <w:r>
        <w:rPr>
          <w:rFonts w:ascii="Times New Roman" w:cs="Times New Roman" w:eastAsia="Times New Roman" w:hAnsi="Times New Roman"/>
          <w:b w:val="false"/>
          <w:bCs w:val="false"/>
          <w:i w:val="false"/>
          <w:iCs w:val="false"/>
          <w:sz w:val="24"/>
          <w:szCs w:val="24"/>
        </w:rPr>
        <w:t xml:space="preserve"> of display polarity, text colour and ambient illumination on subjective visual fatigue, objective ocular behaviour (blink rate, incomplete-blink ratio, inter-blink interval), cognitive workload and task performance (reading rate, comprehension, visual-search accuracy, reaction time and accuracy).</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examine the </w:t>
      </w:r>
      <w:r>
        <w:rPr>
          <w:rFonts w:ascii="Times New Roman" w:cs="Times New Roman" w:eastAsia="Times New Roman" w:hAnsi="Times New Roman"/>
          <w:b/>
          <w:bCs/>
          <w:i w:val="false"/>
          <w:iCs w:val="false"/>
          <w:sz w:val="24"/>
          <w:szCs w:val="24"/>
        </w:rPr>
        <w:t xml:space="preserve">interaction effects</w:t>
      </w:r>
      <w:r>
        <w:rPr>
          <w:rFonts w:ascii="Times New Roman" w:cs="Times New Roman" w:eastAsia="Times New Roman" w:hAnsi="Times New Roman"/>
          <w:b w:val="false"/>
          <w:bCs w:val="false"/>
          <w:i w:val="false"/>
          <w:iCs w:val="false"/>
          <w:sz w:val="24"/>
          <w:szCs w:val="24"/>
        </w:rPr>
        <w:t xml:space="preserve"> among display polarity, text colour and ambient illumination on the same subjective and objective indicators.</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w:t>
      </w:r>
      <w:r>
        <w:rPr>
          <w:rFonts w:ascii="Times New Roman" w:cs="Times New Roman" w:eastAsia="Times New Roman" w:hAnsi="Times New Roman"/>
          <w:b/>
          <w:bCs/>
          <w:i w:val="false"/>
          <w:iCs w:val="false"/>
          <w:sz w:val="24"/>
          <w:szCs w:val="24"/>
        </w:rPr>
        <w:t xml:space="preserve">dissociate the contribution of luminance contrast from that of hue</w:t>
      </w:r>
      <w:r>
        <w:rPr>
          <w:rFonts w:ascii="Times New Roman" w:cs="Times New Roman" w:eastAsia="Times New Roman" w:hAnsi="Times New Roman"/>
          <w:b w:val="false"/>
          <w:bCs w:val="false"/>
          <w:i w:val="false"/>
          <w:iCs w:val="false"/>
          <w:sz w:val="24"/>
          <w:szCs w:val="24"/>
        </w:rPr>
        <w:t xml:space="preserve">, by computing photometric and standards-based contrast metrics for every condition and modelling contrast explicitly as a covariate and as a polarity × contrast interaction.</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w:t>
      </w:r>
      <w:r>
        <w:rPr>
          <w:rFonts w:ascii="Times New Roman" w:cs="Times New Roman" w:eastAsia="Times New Roman" w:hAnsi="Times New Roman"/>
          <w:b/>
          <w:bCs/>
          <w:i w:val="false"/>
          <w:iCs w:val="false"/>
          <w:sz w:val="24"/>
          <w:szCs w:val="24"/>
        </w:rPr>
        <w:t xml:space="preserve">optimal configuration(s)</w:t>
      </w:r>
      <w:r>
        <w:rPr>
          <w:rFonts w:ascii="Times New Roman" w:cs="Times New Roman" w:eastAsia="Times New Roman" w:hAnsi="Times New Roman"/>
          <w:b w:val="false"/>
          <w:bCs w:val="false"/>
          <w:i w:val="false"/>
          <w:iCs w:val="false"/>
          <w:sz w:val="24"/>
          <w:szCs w:val="24"/>
        </w:rPr>
        <w:t xml:space="preserve"> of polarity, text colour and ambient illumination that minimise visual fatigue and maximise task performance during prolonged tablet reading.</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explore how </w:t>
      </w:r>
      <w:r>
        <w:rPr>
          <w:rFonts w:ascii="Times New Roman" w:cs="Times New Roman" w:eastAsia="Times New Roman" w:hAnsi="Times New Roman"/>
          <w:b/>
          <w:bCs/>
          <w:i w:val="false"/>
          <w:iCs w:val="false"/>
          <w:sz w:val="24"/>
          <w:szCs w:val="24"/>
        </w:rPr>
        <w:t xml:space="preserve">participant-specific factors</w:t>
      </w:r>
      <w:r>
        <w:rPr>
          <w:rFonts w:ascii="Times New Roman" w:cs="Times New Roman" w:eastAsia="Times New Roman" w:hAnsi="Times New Roman"/>
          <w:b w:val="false"/>
          <w:bCs w:val="false"/>
          <w:i w:val="false"/>
          <w:iCs w:val="false"/>
          <w:sz w:val="24"/>
          <w:szCs w:val="24"/>
        </w:rPr>
        <w:t xml:space="preserve"> — habitual display-mode preference, habitual screen exposure, typical ambient-lighting environment and digital literacy — moderate the effects of display configuration.</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characterise the </w:t>
      </w:r>
      <w:r>
        <w:rPr>
          <w:rFonts w:ascii="Times New Roman" w:cs="Times New Roman" w:eastAsia="Times New Roman" w:hAnsi="Times New Roman"/>
          <w:b/>
          <w:bCs/>
          <w:i w:val="false"/>
          <w:iCs w:val="false"/>
          <w:sz w:val="24"/>
          <w:szCs w:val="24"/>
        </w:rPr>
        <w:t xml:space="preserve">correspondence between subjective and objective</w:t>
      </w:r>
      <w:r>
        <w:rPr>
          <w:rFonts w:ascii="Times New Roman" w:cs="Times New Roman" w:eastAsia="Times New Roman" w:hAnsi="Times New Roman"/>
          <w:b w:val="false"/>
          <w:bCs w:val="false"/>
          <w:i w:val="false"/>
          <w:iCs w:val="false"/>
          <w:sz w:val="24"/>
          <w:szCs w:val="24"/>
        </w:rPr>
        <w:t xml:space="preserve"> indices of visual fatigue measured concurrently within the same condition and session.</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w:t>
      </w:r>
      <w:r>
        <w:rPr>
          <w:rFonts w:ascii="Times New Roman" w:cs="Times New Roman" w:eastAsia="Times New Roman" w:hAnsi="Times New Roman"/>
          <w:b/>
          <w:bCs/>
          <w:i w:val="false"/>
          <w:iCs w:val="false"/>
          <w:sz w:val="24"/>
          <w:szCs w:val="24"/>
        </w:rPr>
        <w:t xml:space="preserve">feasibility, data quality and criterion validity</w:t>
      </w:r>
      <w:r>
        <w:rPr>
          <w:rFonts w:ascii="Times New Roman" w:cs="Times New Roman" w:eastAsia="Times New Roman" w:hAnsi="Times New Roman"/>
          <w:b w:val="false"/>
          <w:bCs w:val="false"/>
          <w:i w:val="false"/>
          <w:iCs w:val="false"/>
          <w:sz w:val="24"/>
          <w:szCs w:val="24"/>
        </w:rPr>
        <w:t xml:space="preserve"> of tablet-based webcam ocular metrology for digital-eye-strain research, including agreement of automated incomplete-blink detection against manual video annotation.</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1.9 Hypotheses</w:t>
      </w:r>
    </w:p>
    <w:p>
      <w:pPr>
        <w:spacing w:after="15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There is no statistically significant effect of display polarity, text colour or ambient illumination — individually or in combination — on visual fatigue, ocular behaviour, cognitive workload or task performance.</w:t>
      </w:r>
    </w:p>
    <w:p>
      <w:pPr>
        <w:spacing w:after="150" w:line="360"/>
        <w:jc w:val="both"/>
      </w:pPr>
      <w:r>
        <w:rPr>
          <w:rFonts w:ascii="Times New Roman" w:cs="Times New Roman" w:eastAsia="Times New Roman" w:hAnsi="Times New Roman"/>
          <w:b/>
          <w:bCs/>
          <w:i w:val="false"/>
          <w:iCs w:val="false"/>
          <w:sz w:val="24"/>
          <w:szCs w:val="24"/>
        </w:rPr>
        <w:t xml:space="preserve">Alternative hypotheses.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H₁ (Main effects).</w:t>
      </w:r>
      <w:r>
        <w:rPr>
          <w:rFonts w:ascii="Times New Roman" w:cs="Times New Roman" w:eastAsia="Times New Roman" w:hAnsi="Times New Roman"/>
          <w:b w:val="false"/>
          <w:bCs w:val="false"/>
          <w:i w:val="false"/>
          <w:iCs w:val="false"/>
          <w:sz w:val="24"/>
          <w:szCs w:val="24"/>
        </w:rPr>
        <w:t xml:space="preserve"> Display polarity, text colour and ambient illumination each exert significant independent effects, such that positive polarity, higher-luminance-contrast text and higher ambient illumination are associated with lower visual fatigue, a lower incomplete-blink ratio, and better task performance.</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H₂ (Polarity × colour: the crossover test).</w:t>
      </w:r>
      <w:r>
        <w:rPr>
          <w:rFonts w:ascii="Times New Roman" w:cs="Times New Roman" w:eastAsia="Times New Roman" w:hAnsi="Times New Roman"/>
          <w:b w:val="false"/>
          <w:bCs w:val="false"/>
          <w:i w:val="false"/>
          <w:iCs w:val="false"/>
          <w:sz w:val="24"/>
          <w:szCs w:val="24"/>
        </w:rPr>
        <w:t xml:space="preserve"> Polarity and text colour interact. If the effect of colour is mediated by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the ordering of colours will </w:t>
      </w:r>
      <w:r>
        <w:rPr>
          <w:rFonts w:ascii="Times New Roman" w:cs="Times New Roman" w:eastAsia="Times New Roman" w:hAnsi="Times New Roman"/>
          <w:b/>
          <w:bCs/>
          <w:i w:val="false"/>
          <w:iCs w:val="false"/>
          <w:sz w:val="24"/>
          <w:szCs w:val="24"/>
        </w:rPr>
        <w:t xml:space="preserve">reverse across polarity</w:t>
      </w:r>
      <w:r>
        <w:rPr>
          <w:rFonts w:ascii="Times New Roman" w:cs="Times New Roman" w:eastAsia="Times New Roman" w:hAnsi="Times New Roman"/>
          <w:b w:val="false"/>
          <w:bCs w:val="false"/>
          <w:i w:val="false"/>
          <w:iCs w:val="false"/>
          <w:sz w:val="24"/>
          <w:szCs w:val="24"/>
        </w:rPr>
        <w:t xml:space="preserve"> (yellow and green most favourable under negative polarity; blue and red most favourable under positive polarity). If instead </w:t>
      </w:r>
      <w:r>
        <w:rPr>
          <w:rFonts w:ascii="Times New Roman" w:cs="Times New Roman" w:eastAsia="Times New Roman" w:hAnsi="Times New Roman"/>
          <w:b/>
          <w:bCs/>
          <w:i w:val="false"/>
          <w:iCs w:val="false"/>
          <w:sz w:val="24"/>
          <w:szCs w:val="24"/>
        </w:rPr>
        <w:t xml:space="preserve">hue</w:t>
      </w:r>
      <w:r>
        <w:rPr>
          <w:rFonts w:ascii="Times New Roman" w:cs="Times New Roman" w:eastAsia="Times New Roman" w:hAnsi="Times New Roman"/>
          <w:b w:val="false"/>
          <w:bCs w:val="false"/>
          <w:i w:val="false"/>
          <w:iCs w:val="false"/>
          <w:sz w:val="24"/>
          <w:szCs w:val="24"/>
        </w:rPr>
        <w:t xml:space="preserve"> exerts an effect independent of contrast, the ordering will be preserved across polarity — with red predicted a priori to be the least favourable hue [19].</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H₃ (Polarity × illumination).</w:t>
      </w:r>
      <w:r>
        <w:rPr>
          <w:rFonts w:ascii="Times New Roman" w:cs="Times New Roman" w:eastAsia="Times New Roman" w:hAnsi="Times New Roman"/>
          <w:b w:val="false"/>
          <w:bCs w:val="false"/>
          <w:i w:val="false"/>
          <w:iCs w:val="false"/>
          <w:sz w:val="24"/>
          <w:szCs w:val="24"/>
        </w:rPr>
        <w:t xml:space="preserve"> The penalty associated with negative polarity is greater under dim than under moderate ambient illumination [15], and improvement gained by raising illumination depends on text colour [19].</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H₄ (Time-on-task).</w:t>
      </w:r>
      <w:r>
        <w:rPr>
          <w:rFonts w:ascii="Times New Roman" w:cs="Times New Roman" w:eastAsia="Times New Roman" w:hAnsi="Times New Roman"/>
          <w:b w:val="false"/>
          <w:bCs w:val="false"/>
          <w:i w:val="false"/>
          <w:iCs w:val="false"/>
          <w:sz w:val="24"/>
          <w:szCs w:val="24"/>
        </w:rPr>
        <w:t xml:space="preserve"> Subjective fatigue and objective ocular markers deteriorate with serial position within a session (incomplete-blink ratio rising, blink rate falling, reaction-time variability and lapse rate increasing), independently of condition, consistent with a resource-limited vigilance decrement [21,22].</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H₅ (Contrast dominance).</w:t>
      </w:r>
      <w:r>
        <w:rPr>
          <w:rFonts w:ascii="Times New Roman" w:cs="Times New Roman" w:eastAsia="Times New Roman" w:hAnsi="Times New Roman"/>
          <w:b w:val="false"/>
          <w:bCs w:val="false"/>
          <w:i w:val="false"/>
          <w:iCs w:val="false"/>
          <w:sz w:val="24"/>
          <w:szCs w:val="24"/>
        </w:rPr>
        <w:t xml:space="preserve"> Luminance contrast accounts for the majority of between-condition variance in fatigue and performance outcomes, with residual hue-specific effects small.</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H₆ (Participant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display-configuration effects.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H₇ (Subjective–objective correspondence).</w:t>
      </w:r>
      <w:r>
        <w:rPr>
          <w:rFonts w:ascii="Times New Roman" w:cs="Times New Roman" w:eastAsia="Times New Roman" w:hAnsi="Times New Roman"/>
          <w:b w:val="false"/>
          <w:bCs w:val="false"/>
          <w:i w:val="false"/>
          <w:iCs w:val="false"/>
          <w:sz w:val="24"/>
          <w:szCs w:val="24"/>
        </w:rPr>
        <w:t xml:space="preserve"> Subjective symptom change and objective ocular markers correlate only modestly, with the incomplete-blink ratio associating more strongly with ocular-surface symptoms than with accommodative/vergence symptoms.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1.10 Conceptual framework</w:t>
      </w:r>
    </w:p>
    <w:p>
      <w:pPr>
        <w:spacing w:after="150" w:line="360"/>
        <w:jc w:val="both"/>
      </w:pPr>
      <w:r>
        <w:rPr>
          <w:rFonts w:ascii="Times New Roman" w:cs="Times New Roman" w:eastAsia="Times New Roman" w:hAnsi="Times New Roman"/>
          <w:b w:val="false"/>
          <w:bCs w:val="false"/>
          <w:i w:val="false"/>
          <w:iCs w:val="false"/>
          <w:sz w:val="24"/>
          <w:szCs w:val="24"/>
        </w:rPr>
        <w:t xml:space="preserve">The framework is causal and two-pathway. </w:t>
      </w:r>
      <w:r>
        <w:rPr>
          <w:rFonts w:ascii="Times New Roman" w:cs="Times New Roman" w:eastAsia="Times New Roman" w:hAnsi="Times New Roman"/>
          <w:b/>
          <w:bCs/>
          <w:i w:val="false"/>
          <w:iCs w:val="false"/>
          <w:sz w:val="24"/>
          <w:szCs w:val="24"/>
        </w:rPr>
        <w:t xml:space="preserve">Display configuration</w:t>
      </w:r>
      <w:r>
        <w:rPr>
          <w:rFonts w:ascii="Times New Roman" w:cs="Times New Roman" w:eastAsia="Times New Roman" w:hAnsi="Times New Roman"/>
          <w:b w:val="false"/>
          <w:bCs w:val="false"/>
          <w:i w:val="false"/>
          <w:iCs w:val="false"/>
          <w:sz w:val="24"/>
          <w:szCs w:val="24"/>
        </w:rPr>
        <w:t xml:space="preserve"> (polarity; text chromaticity; the luminance contrast they jointly produce; display luminance), moderated by </w:t>
      </w:r>
      <w:r>
        <w:rPr>
          <w:rFonts w:ascii="Times New Roman" w:cs="Times New Roman" w:eastAsia="Times New Roman" w:hAnsi="Times New Roman"/>
          <w:b/>
          <w:bCs/>
          <w:i w:val="false"/>
          <w:iCs w:val="false"/>
          <w:sz w:val="24"/>
          <w:szCs w:val="24"/>
        </w:rPr>
        <w:t xml:space="preserve">ambient illuminance</w:t>
      </w:r>
      <w:r>
        <w:rPr>
          <w:rFonts w:ascii="Times New Roman" w:cs="Times New Roman" w:eastAsia="Times New Roman" w:hAnsi="Times New Roman"/>
          <w:b w:val="false"/>
          <w:bCs w:val="false"/>
          <w:i w:val="false"/>
          <w:iCs w:val="false"/>
          <w:sz w:val="24"/>
          <w:szCs w:val="24"/>
        </w:rPr>
        <w:t xml:space="preserve">, acts through two proximal mechanisms: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Optical/refractive pathway:</w:t>
      </w:r>
      <w:r>
        <w:rPr>
          <w:rFonts w:ascii="Times New Roman" w:cs="Times New Roman" w:eastAsia="Times New Roman" w:hAnsi="Times New Roman"/>
          <w:b w:val="false"/>
          <w:bCs w:val="false"/>
          <w:i w:val="false"/>
          <w:iCs w:val="false"/>
          <w:sz w:val="24"/>
          <w:szCs w:val="24"/>
        </w:rPr>
        <w:t xml:space="preserve"> display and ambient luminance → pupil diameter → optical aberration and depth of focus → retinal image quality → legibility and accommodative demand → accommodative variability and near-work-induced transient myopia → </w:t>
      </w:r>
      <w:r>
        <w:rPr>
          <w:rFonts w:ascii="Times New Roman" w:cs="Times New Roman" w:eastAsia="Times New Roman" w:hAnsi="Times New Roman"/>
          <w:b w:val="false"/>
          <w:bCs w:val="false"/>
          <w:i/>
          <w:iCs/>
          <w:sz w:val="24"/>
          <w:szCs w:val="24"/>
        </w:rPr>
        <w:t xml:space="preserve">accommodative/vergence symptom cluster</w:t>
      </w:r>
      <w:r>
        <w:rPr>
          <w:rFonts w:ascii="Times New Roman" w:cs="Times New Roman" w:eastAsia="Times New Roman" w:hAnsi="Times New Roman"/>
          <w:b w:val="false"/>
          <w:bCs w:val="false"/>
          <w:i w:val="false"/>
          <w:iCs w:val="false"/>
          <w:sz w:val="24"/>
          <w:szCs w:val="24"/>
        </w:rPr>
        <w:t xml:space="preserve"> [13–15,18,30].</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Ocular-surface pathway:</w:t>
      </w:r>
      <w:r>
        <w:rPr>
          <w:rFonts w:ascii="Times New Roman" w:cs="Times New Roman" w:eastAsia="Times New Roman" w:hAnsi="Times New Roman"/>
          <w:b w:val="false"/>
          <w:bCs w:val="false"/>
          <w:i w:val="false"/>
          <w:iCs w:val="false"/>
          <w:sz w:val="24"/>
          <w:szCs w:val="24"/>
        </w:rPr>
        <w:t xml:space="preserve"> visual and cognitive demand → reduced blink rate and increased incomplete blinking → exposed evaporative area and impaired lipid distribution → tear-film instability → osmolarity and inflammation → </w:t>
      </w:r>
      <w:r>
        <w:rPr>
          <w:rFonts w:ascii="Times New Roman" w:cs="Times New Roman" w:eastAsia="Times New Roman" w:hAnsi="Times New Roman"/>
          <w:b w:val="false"/>
          <w:bCs w:val="false"/>
          <w:i/>
          <w:iCs/>
          <w:sz w:val="24"/>
          <w:szCs w:val="24"/>
        </w:rPr>
        <w:t xml:space="preserve">ocular-surface symptom cluster</w:t>
      </w:r>
      <w:r>
        <w:rPr>
          <w:rFonts w:ascii="Times New Roman" w:cs="Times New Roman" w:eastAsia="Times New Roman" w:hAnsi="Times New Roman"/>
          <w:b w:val="false"/>
          <w:bCs w:val="false"/>
          <w:i w:val="false"/>
          <w:iCs w:val="false"/>
          <w:sz w:val="24"/>
          <w:szCs w:val="24"/>
        </w:rPr>
        <w:t xml:space="preserve"> [10,11,26,27,29].</w:t>
      </w:r>
    </w:p>
    <w:p>
      <w:pPr>
        <w:spacing w:after="150" w:line="360"/>
        <w:jc w:val="both"/>
      </w:pPr>
      <w:r>
        <w:rPr>
          <w:rFonts w:ascii="Times New Roman" w:cs="Times New Roman" w:eastAsia="Times New Roman" w:hAnsi="Times New Roman"/>
          <w:b w:val="false"/>
          <w:bCs w:val="false"/>
          <w:i w:val="false"/>
          <w:iCs w:val="false"/>
          <w:sz w:val="24"/>
          <w:szCs w:val="24"/>
        </w:rPr>
        <w:t xml:space="preserve">Both pathways feed the </w:t>
      </w:r>
      <w:r>
        <w:rPr>
          <w:rFonts w:ascii="Times New Roman" w:cs="Times New Roman" w:eastAsia="Times New Roman" w:hAnsi="Times New Roman"/>
          <w:b/>
          <w:bCs/>
          <w:i w:val="false"/>
          <w:iCs w:val="false"/>
          <w:sz w:val="24"/>
          <w:szCs w:val="24"/>
        </w:rPr>
        <w:t xml:space="preserve">manifest outcomes</w:t>
      </w:r>
      <w:r>
        <w:rPr>
          <w:rFonts w:ascii="Times New Roman" w:cs="Times New Roman" w:eastAsia="Times New Roman" w:hAnsi="Times New Roman"/>
          <w:b w:val="false"/>
          <w:bCs w:val="false"/>
          <w:i w:val="false"/>
          <w:iCs w:val="false"/>
          <w:sz w:val="24"/>
          <w:szCs w:val="24"/>
        </w:rPr>
        <w:t xml:space="preserve">: reading rate and comprehension; visual-search and sustained-attention performance; perceived comfort and clarity; cognitive workload; and subjective visual fatigue. </w:t>
      </w:r>
      <w:r>
        <w:rPr>
          <w:rFonts w:ascii="Times New Roman" w:cs="Times New Roman" w:eastAsia="Times New Roman" w:hAnsi="Times New Roman"/>
          <w:b/>
          <w:bCs/>
          <w:i w:val="false"/>
          <w:iCs w:val="false"/>
          <w:sz w:val="24"/>
          <w:szCs w:val="24"/>
        </w:rPr>
        <w:t xml:space="preserve">Time on task</w:t>
      </w:r>
      <w:r>
        <w:rPr>
          <w:rFonts w:ascii="Times New Roman" w:cs="Times New Roman" w:eastAsia="Times New Roman" w:hAnsi="Times New Roman"/>
          <w:b w:val="false"/>
          <w:bCs w:val="false"/>
          <w:i w:val="false"/>
          <w:iCs w:val="false"/>
          <w:sz w:val="24"/>
          <w:szCs w:val="24"/>
        </w:rPr>
        <w:t xml:space="preserve"> exerts an independent effect on attention and fatigue [21,22] and is therefore counterbalanced and modelled. </w:t>
      </w:r>
      <w:r>
        <w:rPr>
          <w:rFonts w:ascii="Times New Roman" w:cs="Times New Roman" w:eastAsia="Times New Roman" w:hAnsi="Times New Roman"/>
          <w:b/>
          <w:bCs/>
          <w:i w:val="false"/>
          <w:iCs w:val="false"/>
          <w:sz w:val="24"/>
          <w:szCs w:val="24"/>
        </w:rPr>
        <w:t xml:space="preserve">Sleepiness</w:t>
      </w:r>
      <w:r>
        <w:rPr>
          <w:rFonts w:ascii="Times New Roman" w:cs="Times New Roman" w:eastAsia="Times New Roman" w:hAnsi="Times New Roman"/>
          <w:b w:val="false"/>
          <w:bCs w:val="false"/>
          <w:i w:val="false"/>
          <w:iCs w:val="false"/>
          <w:sz w:val="24"/>
          <w:szCs w:val="24"/>
        </w:rPr>
        <w:t xml:space="preserve"> (indexed by PERCLOS) and </w:t>
      </w:r>
      <w:r>
        <w:rPr>
          <w:rFonts w:ascii="Times New Roman" w:cs="Times New Roman" w:eastAsia="Times New Roman" w:hAnsi="Times New Roman"/>
          <w:b/>
          <w:bCs/>
          <w:i w:val="false"/>
          <w:iCs w:val="false"/>
          <w:sz w:val="24"/>
          <w:szCs w:val="24"/>
        </w:rPr>
        <w:t xml:space="preserve">disengagement</w:t>
      </w:r>
      <w:r>
        <w:rPr>
          <w:rFonts w:ascii="Times New Roman" w:cs="Times New Roman" w:eastAsia="Times New Roman" w:hAnsi="Times New Roman"/>
          <w:b w:val="false"/>
          <w:bCs w:val="false"/>
          <w:i w:val="false"/>
          <w:iCs w:val="false"/>
          <w:sz w:val="24"/>
          <w:szCs w:val="24"/>
        </w:rPr>
        <w:t xml:space="preserve"> are treated as measured confounders. </w:t>
      </w:r>
      <w:r>
        <w:rPr>
          <w:rFonts w:ascii="Times New Roman" w:cs="Times New Roman" w:eastAsia="Times New Roman" w:hAnsi="Times New Roman"/>
          <w:b/>
          <w:bCs/>
          <w:i w:val="false"/>
          <w:iCs w:val="false"/>
          <w:sz w:val="24"/>
          <w:szCs w:val="24"/>
        </w:rPr>
        <w:t xml:space="preserve">Participant-level characteristics</w:t>
      </w:r>
      <w:r>
        <w:rPr>
          <w:rFonts w:ascii="Times New Roman" w:cs="Times New Roman" w:eastAsia="Times New Roman" w:hAnsi="Times New Roman"/>
          <w:b w:val="false"/>
          <w:bCs w:val="false"/>
          <w:i w:val="false"/>
          <w:iCs w:val="false"/>
          <w:sz w:val="24"/>
          <w:szCs w:val="24"/>
        </w:rPr>
        <w:t xml:space="preserve"> modulate susceptibility.</w:t>
      </w:r>
    </w:p>
    <w:p>
      <w:pPr>
        <w:spacing w:after="150" w:line="360"/>
        <w:jc w:val="both"/>
      </w:pPr>
      <w:r>
        <w:rPr>
          <w:rFonts w:ascii="Times New Roman" w:cs="Times New Roman" w:eastAsia="Times New Roman" w:hAnsi="Times New Roman"/>
          <w:b/>
          <w:bCs/>
          <w:i w:val="false"/>
          <w:iCs w:val="false"/>
          <w:sz w:val="24"/>
          <w:szCs w:val="24"/>
        </w:rPr>
        <w:t xml:space="preserve">Figure 1. Study flow (stage-wise).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637"/>
        <w:gridCol w:w="4219"/>
        <w:gridCol w:w="2215"/>
      </w:tblGrid>
      <w:tr>
        <w:trPr>
          <w:tblHeader/>
        </w:trPr>
        <w:tc>
          <w:tcPr>
            <w:tcW w:type="dxa" w:w="26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Phase</w:t>
            </w:r>
          </w:p>
        </w:tc>
        <w:tc>
          <w:tcPr>
            <w:tcW w:type="dxa" w:w="42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Activities</w:t>
            </w:r>
          </w:p>
        </w:tc>
        <w:tc>
          <w:tcPr>
            <w:tcW w:type="dxa" w:w="22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Output</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 Preparation</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Ethics approval; instrument development and pilot; photometric characterisation of the tablet; calibration of lux meter</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Approved protocol; validated instrument</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II. Recruitment &amp; screening</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Purposive sampling; eligibility screening; visual acuity; colour-vision screening; refractive status</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Eligible cohort (n ≈ 100)</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III. Baseline profiling</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Demographics; habitual screen exposure; display-mode preference; ambient-lighting habit; digital literacy; sleep and caffeine status; baseline CVS-Q and fatigue VAS</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Participant profile &amp; baseline</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IV. Session 1 (illumination level A)</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Calibration → 10 display conditions in Williams order, each: adaptation → reading → comprehension → comfort/clarity → fatigue VAS → visual search → go/no-go; rest break every 2 conditions</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Condition-wise objective + subjective data</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 Session 2 (illumination level B, 48–72 h later)</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Identical protocol under the second illumination level</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Repeated-measures data across illumination</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 Session close</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End-of-session CVS-Q; NASA-TLX; debrief</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Session-level fatigue and workload</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VII. Data processing</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Automated ocular-metric extraction; quality-control gating; manual-annotation validation sub-study</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Analysis-ready dataset</w:t>
            </w:r>
          </w:p>
        </w:tc>
      </w:tr>
      <w:tr>
        <w:tc>
          <w:tcPr>
            <w:tcW w:type="dxa" w:w="26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VIII. Analysis &amp; reporting</w:t>
            </w:r>
          </w:p>
        </w:tc>
        <w:tc>
          <w:tcPr>
            <w:tcW w:type="dxa" w:w="42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Linear mixed-effects modelling; contrast dissociation; moderation; sensitivity analyses</w:t>
            </w:r>
          </w:p>
        </w:tc>
        <w:tc>
          <w:tcPr>
            <w:tcW w:type="dxa" w:w="22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Findings, design recommendations, thesis</w:t>
            </w:r>
          </w:p>
        </w:tc>
      </w:tr>
    </w:tbl>
    <w:p>
      <w:pPr>
        <w:spacing w:after="22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pageBreakBefore/>
        <w:spacing w:after="180" w:before="36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2.1 Burden, definition and measurement of digital eye strain</w:t>
      </w:r>
    </w:p>
    <w:p>
      <w:pPr>
        <w:spacing w:after="150" w:line="360"/>
        <w:jc w:val="both"/>
      </w:pPr>
      <w:r>
        <w:rPr>
          <w:rFonts w:ascii="Times New Roman" w:cs="Times New Roman" w:eastAsia="Times New Roman" w:hAnsi="Times New Roman"/>
          <w:b w:val="false"/>
          <w:bCs w:val="false"/>
          <w:i w:val="false"/>
          <w:iCs w:val="false"/>
          <w:sz w:val="24"/>
          <w:szCs w:val="24"/>
        </w:rPr>
        <w:t xml:space="preserve">Systematic synthesis places the pooled prevalence of CVS at 69.0% across 103 studies and 66,577 participants, with wide between-study heterogeneity (12.1–97.3%) attributable in part to non-standardised case definitions [1]. Notably, pooled prevalence was </w:t>
      </w:r>
      <w:r>
        <w:rPr>
          <w:rFonts w:ascii="Times New Roman" w:cs="Times New Roman" w:eastAsia="Times New Roman" w:hAnsi="Times New Roman"/>
          <w:b/>
          <w:bCs/>
          <w:i w:val="false"/>
          <w:iCs w:val="false"/>
          <w:sz w:val="24"/>
          <w:szCs w:val="24"/>
        </w:rPr>
        <w:t xml:space="preserve">higher in studies that did not use the CVS-Q (75.4%)</w:t>
      </w:r>
      <w:r>
        <w:rPr>
          <w:rFonts w:ascii="Times New Roman" w:cs="Times New Roman" w:eastAsia="Times New Roman" w:hAnsi="Times New Roman"/>
          <w:b w:val="false"/>
          <w:bCs w:val="false"/>
          <w:i w:val="false"/>
          <w:iCs w:val="false"/>
          <w:sz w:val="24"/>
          <w:szCs w:val="24"/>
        </w:rPr>
        <w:t xml:space="preserve">, and in meta-regression, use of the CVS-Q was associated with a lower prevalence estimate [1] — direct evidence that ad hoc symptom checklists inflate estimates, and a justification for using a validated instrument with a defined cut-off. Comprehensive reviews document the symptom spectrum, risk factors and management options [2–7], and identify exposure duration beyond approximately 4–5 hours per day, uncorrected refractive error, accommodative and vergence anomalies, altered blinking, closer working distance, smaller font size, adverse lighting and glare, female sex and contact-lens wear as risk factors [1,3,7,9].</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2.2 Pathophysiology</w:t>
      </w:r>
    </w:p>
    <w:p>
      <w:pPr>
        <w:spacing w:after="150" w:line="360"/>
        <w:jc w:val="both"/>
      </w:pPr>
      <w:r>
        <w:rPr>
          <w:rFonts w:ascii="Times New Roman" w:cs="Times New Roman" w:eastAsia="Times New Roman" w:hAnsi="Times New Roman"/>
          <w:b w:val="false"/>
          <w:bCs w:val="false"/>
          <w:i w:val="false"/>
          <w:iCs w:val="false"/>
          <w:sz w:val="24"/>
          <w:szCs w:val="24"/>
        </w:rPr>
        <w:t xml:space="preserve">The two-cluster model — accommodative/vergence stress and ocular-surface disturbance — organises an otherwise heterogeneous literature [3]. Reviews of candidate mechanisms conclude that impaired blinking is the principal route from VDT use to dry eye disease, with parasympathetic and blue-light hypotheses currently unsupported [11], and that preventive measures acting at different points of the dry-eye cycle (ergonomic training, blink animation, omega-3) may be complementary [10]. The accommodative component remains heterogeneously evidenced, with reviews describing the pathophysiology as multifactorial and incompletely understood [6].</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2.3 Display polarity</w:t>
      </w:r>
    </w:p>
    <w:p>
      <w:pPr>
        <w:spacing w:after="15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1194"/>
        <w:gridCol w:w="1766"/>
        <w:gridCol w:w="2292"/>
        <w:gridCol w:w="3819"/>
      </w:tblGrid>
      <w:tr>
        <w:trPr>
          <w:tblHeader/>
        </w:trPr>
        <w:tc>
          <w:tcPr>
            <w:tcW w:type="dxa" w:w="11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17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w:t>
            </w:r>
          </w:p>
        </w:tc>
        <w:tc>
          <w:tcPr>
            <w:tcW w:type="dxa" w:w="22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Manipulation</w:t>
            </w:r>
          </w:p>
        </w:tc>
        <w:tc>
          <w:tcPr>
            <w:tcW w:type="dxa" w:w="38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 [12]</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Series of experiments</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ambient illumination × chromaticity</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PPA in proofreading, independent of ambient lighting and chromaticity; </w:t>
            </w:r>
            <w:r>
              <w:rPr>
                <w:rFonts w:ascii="Times New Roman" w:cs="Times New Roman" w:eastAsia="Times New Roman" w:hAnsi="Times New Roman"/>
                <w:b/>
                <w:bCs/>
                <w:i w:val="false"/>
                <w:iCs w:val="false"/>
                <w:sz w:val="20"/>
                <w:szCs w:val="20"/>
              </w:rPr>
              <w:t xml:space="preserve">colour contrast cannot compensate for absent luminance contrast</w:t>
            </w:r>
            <w:r>
              <w:rPr>
                <w:rFonts w:ascii="Times New Roman" w:cs="Times New Roman" w:eastAsia="Times New Roman" w:hAnsi="Times New Roman"/>
                <w:b w:val="false"/>
                <w:bCs w:val="false"/>
                <w:i w:val="false"/>
                <w:iCs w:val="false"/>
                <w:sz w:val="20"/>
                <w:szCs w:val="20"/>
              </w:rPr>
              <w:t xml:space="preserve">; no differences in autonomic or self-reported strain</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 [13]</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 proofreading</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w:t>
            </w:r>
            <w:r>
              <w:rPr>
                <w:rFonts w:ascii="Times New Roman" w:cs="Times New Roman" w:eastAsia="Times New Roman" w:hAnsi="Times New Roman"/>
                <w:b/>
                <w:bCs/>
                <w:i w:val="false"/>
                <w:iCs w:val="false"/>
                <w:sz w:val="20"/>
                <w:szCs w:val="20"/>
              </w:rPr>
              <w:t xml:space="preserve">and</w:t>
            </w:r>
            <w:r>
              <w:rPr>
                <w:rFonts w:ascii="Times New Roman" w:cs="Times New Roman" w:eastAsia="Times New Roman" w:hAnsi="Times New Roman"/>
                <w:b w:val="false"/>
                <w:bCs w:val="false"/>
                <w:i w:val="false"/>
                <w:iCs w:val="false"/>
                <w:sz w:val="20"/>
                <w:szCs w:val="20"/>
              </w:rPr>
              <w:t xml:space="preserve"> better performance under positive polarity, supporting the display-luminance hypothesis</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 [14]</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Experimental</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character size (8–14 pt)</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PPA </w:t>
            </w:r>
            <w:r>
              <w:rPr>
                <w:rFonts w:ascii="Times New Roman" w:cs="Times New Roman" w:eastAsia="Times New Roman" w:hAnsi="Times New Roman"/>
                <w:b/>
                <w:bCs/>
                <w:i w:val="false"/>
                <w:iCs w:val="false"/>
                <w:sz w:val="20"/>
                <w:szCs w:val="20"/>
              </w:rPr>
              <w:t xml:space="preserve">increased linearly as character size decreased</w:t>
            </w:r>
            <w:r>
              <w:rPr>
                <w:rFonts w:ascii="Times New Roman" w:cs="Times New Roman" w:eastAsia="Times New Roman" w:hAnsi="Times New Roman"/>
                <w:b w:val="false"/>
                <w:bCs w:val="false"/>
                <w:i w:val="false"/>
                <w:iCs w:val="false"/>
                <w:sz w:val="20"/>
                <w:szCs w:val="20"/>
              </w:rPr>
              <w:t xml:space="preserve">; negative polarity should be avoided at small sizes</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 [15]</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Psychophysics, lexical decision</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ambient illumination × size</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Legibility thresholds </w:t>
            </w:r>
            <w:r>
              <w:rPr>
                <w:rFonts w:ascii="Times New Roman" w:cs="Times New Roman" w:eastAsia="Times New Roman" w:hAnsi="Times New Roman"/>
                <w:b/>
                <w:bCs/>
                <w:i w:val="false"/>
                <w:iCs w:val="false"/>
                <w:sz w:val="20"/>
                <w:szCs w:val="20"/>
              </w:rPr>
              <w:t xml:space="preserve">worst for negative polarity under near-dark illumination</w:t>
            </w:r>
            <w:r>
              <w:rPr>
                <w:rFonts w:ascii="Times New Roman" w:cs="Times New Roman" w:eastAsia="Times New Roman" w:hAnsi="Times New Roman"/>
                <w:b w:val="false"/>
                <w:bCs w:val="false"/>
                <w:i w:val="false"/>
                <w:iCs w:val="false"/>
                <w:sz w:val="20"/>
                <w:szCs w:val="20"/>
              </w:rPr>
              <w:t xml:space="preserve">; positive polarity or brighter ambient both improved legibility</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 [16]</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 staircase</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Typeface × polarity × size × age</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significantly more legible than white-on-black; typeface × age interaction</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 [38]</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 subjective + affective</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 environment (bright/dim) × age × task</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Higher cognitive load under negative polarity</w:t>
            </w:r>
            <w:r>
              <w:rPr>
                <w:rFonts w:ascii="Times New Roman" w:cs="Times New Roman" w:eastAsia="Times New Roman" w:hAnsi="Times New Roman"/>
                <w:b w:val="false"/>
                <w:bCs w:val="false"/>
                <w:i w:val="false"/>
                <w:iCs w:val="false"/>
                <w:sz w:val="20"/>
                <w:szCs w:val="20"/>
              </w:rPr>
              <w:t xml:space="preserve">, reflected in increased search time and pupil diameter — for older adults in bright and younger adults in dim environments</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et al. [39]</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 polarity under 300 lx</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advantageous for visual fatigue and discomfort; optimum display luminance 153 cd/m²</w:t>
            </w:r>
          </w:p>
        </w:tc>
      </w:tr>
      <w:tr>
        <w:tc>
          <w:tcPr>
            <w:tcW w:type="dxa" w:w="11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Mixed-reality study [17]</w:t>
            </w:r>
          </w:p>
        </w:tc>
        <w:tc>
          <w:tcPr>
            <w:tcW w:type="dxa" w:w="17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Experimental</w:t>
            </w:r>
          </w:p>
        </w:tc>
        <w:tc>
          <w:tcPr>
            <w:tcW w:type="dxa" w:w="22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in VR and video see-through MR</w:t>
            </w:r>
          </w:p>
        </w:tc>
        <w:tc>
          <w:tcPr>
            <w:tcW w:type="dxa" w:w="38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PPA replicated for proofreading and optotype identification</w:t>
            </w:r>
          </w:p>
        </w:tc>
      </w:tr>
    </w:tbl>
    <w:p>
      <w:pPr>
        <w:spacing w:after="220"/>
      </w:pPr>
      <w:r>
        <w:rPr>
          <w:sz w:val="12"/>
          <w:szCs w:val="12"/>
        </w:rPr>
        <w:t xml:space="preserve"/>
      </w:r>
    </w:p>
    <w:p>
      <w:pPr>
        <w:spacing w:after="150" w:line="360"/>
        <w:jc w:val="both"/>
      </w:pPr>
      <w:r>
        <w:rPr>
          <w:rFonts w:ascii="Times New Roman" w:cs="Times New Roman" w:eastAsia="Times New Roman" w:hAnsi="Times New Roman"/>
          <w:b w:val="false"/>
          <w:bCs w:val="false"/>
          <w:i w:val="false"/>
          <w:iCs w:val="false"/>
          <w:sz w:val="24"/>
          <w:szCs w:val="24"/>
        </w:rPr>
        <w:t xml:space="preserve">Two features of this corpus define the present study's point of entry. First, it is dominated by </w:t>
      </w:r>
      <w:r>
        <w:rPr>
          <w:rFonts w:ascii="Times New Roman" w:cs="Times New Roman" w:eastAsia="Times New Roman" w:hAnsi="Times New Roman"/>
          <w:b/>
          <w:bCs/>
          <w:i w:val="false"/>
          <w:iCs w:val="false"/>
          <w:sz w:val="24"/>
          <w:szCs w:val="24"/>
        </w:rPr>
        <w:t xml:space="preserve">short-duration, threshold-limited paradigms</w:t>
      </w:r>
      <w:r>
        <w:rPr>
          <w:rFonts w:ascii="Times New Roman" w:cs="Times New Roman" w:eastAsia="Times New Roman" w:hAnsi="Times New Roman"/>
          <w:b w:val="false"/>
          <w:bCs w:val="false"/>
          <w:i w:val="false"/>
          <w:iCs w:val="false"/>
          <w:sz w:val="24"/>
          <w:szCs w:val="24"/>
        </w:rPr>
        <w:t xml:space="preserve"> (proofreading, lexical decision, glance reading) with performance-threshold outcomes; it does not measure blink behaviour, validated symptom instruments, comprehension or hour-scale fatigue accumulation. Second, it is almost entirely </w:t>
      </w:r>
      <w:r>
        <w:rPr>
          <w:rFonts w:ascii="Times New Roman" w:cs="Times New Roman" w:eastAsia="Times New Roman" w:hAnsi="Times New Roman"/>
          <w:b/>
          <w:bCs/>
          <w:i w:val="false"/>
          <w:iCs w:val="false"/>
          <w:sz w:val="24"/>
          <w:szCs w:val="24"/>
        </w:rPr>
        <w:t xml:space="preserve">achromatic</w:t>
      </w:r>
      <w:r>
        <w:rPr>
          <w:rFonts w:ascii="Times New Roman" w:cs="Times New Roman" w:eastAsia="Times New Roman" w:hAnsi="Times New Roman"/>
          <w:b w:val="false"/>
          <w:bCs w:val="false"/>
          <w:i w:val="false"/>
          <w:iCs w:val="false"/>
          <w:sz w:val="24"/>
          <w:szCs w:val="24"/>
        </w:rPr>
        <w:t xml:space="preserve">. A positive polarity advantage in legibility does not license inference of a positive polarity advantage in visual fatigue, and the popular dark-mode discourse routinely makes that unlicensed inference in both directions. Sethi and Ziat's finding of greater cognitive load under negative polarity, with an </w:t>
      </w:r>
      <w:r>
        <w:rPr>
          <w:rFonts w:ascii="Times New Roman" w:cs="Times New Roman" w:eastAsia="Times New Roman" w:hAnsi="Times New Roman"/>
          <w:b/>
          <w:bCs/>
          <w:i w:val="false"/>
          <w:iCs w:val="false"/>
          <w:sz w:val="24"/>
          <w:szCs w:val="24"/>
        </w:rPr>
        <w:t xml:space="preserve">age × environment</w:t>
      </w:r>
      <w:r>
        <w:rPr>
          <w:rFonts w:ascii="Times New Roman" w:cs="Times New Roman" w:eastAsia="Times New Roman" w:hAnsi="Times New Roman"/>
          <w:b w:val="false"/>
          <w:bCs w:val="false"/>
          <w:i w:val="false"/>
          <w:iCs w:val="false"/>
          <w:sz w:val="24"/>
          <w:szCs w:val="24"/>
        </w:rPr>
        <w:t xml:space="preserve"> dependency [38], further indicates that polarity effects are conditional rather than universal.</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2.4 Text colour, chromatic contrast and the contrast confound</w:t>
      </w:r>
    </w:p>
    <w:p>
      <w:pPr>
        <w:spacing w:after="150" w:line="360"/>
        <w:jc w:val="both"/>
      </w:pPr>
      <w:r>
        <w:rPr>
          <w:rFonts w:ascii="Times New Roman" w:cs="Times New Roman" w:eastAsia="Times New Roman" w:hAnsi="Times New Roman"/>
          <w:b w:val="false"/>
          <w:bCs w:val="false"/>
          <w:i w:val="false"/>
          <w:iCs w:val="false"/>
          <w:sz w:val="24"/>
          <w:szCs w:val="24"/>
        </w:rPr>
        <w:t xml:space="preserve">Two studies constitute the immediate prior art. Jiménez et al. read fourteen colour combinations under continuous binocular open-field autorefractometry, finding that colour modulated accommodative and pupillary dynamics; blue-on-red heightened accommodative response; positive polarities produced smaller pupils and greater accommodative variability; low-luminance-contrast pairs (white-on-yellow) were rated less legible; and reading speed was unaffected [18]. Fan et al. examined ambient illumination × text colour </w:t>
      </w:r>
      <w:r>
        <w:rPr>
          <w:rFonts w:ascii="Times New Roman" w:cs="Times New Roman" w:eastAsia="Times New Roman" w:hAnsi="Times New Roman"/>
          <w:b/>
          <w:bCs/>
          <w:i w:val="false"/>
          <w:iCs w:val="false"/>
          <w:sz w:val="24"/>
          <w:szCs w:val="24"/>
        </w:rPr>
        <w:t xml:space="preserve">under negative polarity only</w:t>
      </w:r>
      <w:r>
        <w:rPr>
          <w:rFonts w:ascii="Times New Roman" w:cs="Times New Roman" w:eastAsia="Times New Roman" w:hAnsi="Times New Roman"/>
          <w:b w:val="false"/>
          <w:bCs w:val="false"/>
          <w:i w:val="false"/>
          <w:iCs w:val="false"/>
          <w:sz w:val="24"/>
          <w:szCs w:val="24"/>
        </w:rPr>
        <w:t xml:space="preserve">, finding red text produced the highest and yellow the lowest visual fatigue, that improved illumination reduced fatigue by an amount dependent on text colour, and that cognitive performance was better with yellow and white and worse with red [19].</w:t>
      </w:r>
    </w:p>
    <w:p>
      <w:pPr>
        <w:spacing w:after="150" w:line="360"/>
        <w:jc w:val="both"/>
      </w:pPr>
      <w:r>
        <w:rPr>
          <w:rFonts w:ascii="Times New Roman" w:cs="Times New Roman" w:eastAsia="Times New Roman" w:hAnsi="Times New Roman"/>
          <w:b w:val="false"/>
          <w:bCs w:val="false"/>
          <w:i w:val="false"/>
          <w:iCs w:val="false"/>
          <w:sz w:val="24"/>
          <w:szCs w:val="24"/>
        </w:rPr>
        <w:t xml:space="preserve">These findings are complementary in coverage but only partially reconcilable, and the tension is informative. Jiménez et al. found colour modulated ocular physiology but not reading speed [18]; Fan et al. found colour affected both fatigue and cognitive performance [19]. Exposure duration is a plausible reconciling moderator: two-minute passages may be too brief for performance decrements to emerge, whereas fatigue-relevant differences require accumulation. Neither study was designed to estimate that moderation. Crucially, </w:t>
      </w:r>
      <w:r>
        <w:rPr>
          <w:rFonts w:ascii="Times New Roman" w:cs="Times New Roman" w:eastAsia="Times New Roman" w:hAnsi="Times New Roman"/>
          <w:b/>
          <w:bCs/>
          <w:i w:val="false"/>
          <w:iCs w:val="false"/>
          <w:sz w:val="24"/>
          <w:szCs w:val="24"/>
        </w:rPr>
        <w:t xml:space="preserve">neither can separate hue from luminance contrast</w:t>
      </w:r>
      <w:r>
        <w:rPr>
          <w:rFonts w:ascii="Times New Roman" w:cs="Times New Roman" w:eastAsia="Times New Roman" w:hAnsi="Times New Roman"/>
          <w:b w:val="false"/>
          <w:bCs w:val="false"/>
          <w:i w:val="false"/>
          <w:iCs w:val="false"/>
          <w:sz w:val="24"/>
          <w:szCs w:val="24"/>
        </w:rPr>
        <w:t xml:space="preserve">, and Fan et al.'s ordering (red worst, yellow best under negative polarity) is precisely what luminance contrast alone would predict for those hues on a black background — an alternative explanation their single-polarity design cannot exclude.</w:t>
      </w:r>
    </w:p>
    <w:p>
      <w:pPr>
        <w:spacing w:after="150" w:line="360"/>
        <w:jc w:val="both"/>
      </w:pPr>
      <w:r>
        <w:rPr>
          <w:rFonts w:ascii="Times New Roman" w:cs="Times New Roman" w:eastAsia="Times New Roman" w:hAnsi="Times New Roman"/>
          <w:b w:val="false"/>
          <w:bCs w:val="false"/>
          <w:i w:val="false"/>
          <w:iCs w:val="false"/>
          <w:sz w:val="24"/>
          <w:szCs w:val="24"/>
        </w:rPr>
        <w:t xml:space="preserve">The methodological mandate is therefore explicit [12]: in any study manipulating text colour, luminance contrast must be quantified and modelled, or apparent colour effects are uninterpretable. The choice of contrast metric is itself consequential. The WCAG 2.x contrast ratio is the de facto design standard [36], but is criticised for ignoring text size, weight and </w:t>
      </w:r>
      <w:r>
        <w:rPr>
          <w:rFonts w:ascii="Times New Roman" w:cs="Times New Roman" w:eastAsia="Times New Roman" w:hAnsi="Times New Roman"/>
          <w:b/>
          <w:bCs/>
          <w:i w:val="false"/>
          <w:iCs w:val="false"/>
          <w:sz w:val="24"/>
          <w:szCs w:val="24"/>
        </w:rPr>
        <w:t xml:space="preserve">polarity</w:t>
      </w:r>
      <w:r>
        <w:rPr>
          <w:rFonts w:ascii="Times New Roman" w:cs="Times New Roman" w:eastAsia="Times New Roman" w:hAnsi="Times New Roman"/>
          <w:b w:val="false"/>
          <w:bCs w:val="false"/>
          <w:i w:val="false"/>
          <w:iCs w:val="false"/>
          <w:sz w:val="24"/>
          <w:szCs w:val="24"/>
        </w:rPr>
        <w:t xml:space="preserve">, and for overstating contrast for dark colour pairs such that nominally compliant light-on-dark combinations can be functionally difficult to read and can produce halation; a candidate perceptual replacement incorporating polarity and typography is under development [37]. That an accessibility standard is polarity-blind, in a domain where polarity is among the strongest replicated determinants of legibility [12–17], is a live scientific problem to which this study can contribute.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2.5 Ambient illumination as a moderator</w:t>
      </w:r>
    </w:p>
    <w:p>
      <w:pPr>
        <w:spacing w:after="15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[15] and the fatigue cost of coloured text under negative polarity [19], consistent with a pupil-mediated account in which polarity and ambient light trade off against one another. The evidence is not uniform: the proofreading PPA was independent of ambient lighting across darkness and office illumination [12], whereas threshold legibility showed a clear polarity × illumination interaction [15] — suggesting a threshold-like rather than smoothly scaling relationship, and indicating that illumination must be measured and controlled rather than merely described. Lin et al. provide a contemporary photometric anchor, determining an optimum display luminance of 153 cd/m² under 300 lx office lighting with positive polarity preferred [39].</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2.6 Ocular behaviour as an objective marker</w:t>
      </w:r>
    </w:p>
    <w:p>
      <w:pPr>
        <w:spacing w:after="150" w:line="360"/>
        <w:jc w:val="both"/>
      </w:pPr>
      <w:r>
        <w:rPr>
          <w:rFonts w:ascii="Times New Roman" w:cs="Times New Roman" w:eastAsia="Times New Roman" w:hAnsi="Times New Roman"/>
          <w:b w:val="false"/>
          <w:bCs w:val="false"/>
          <w:i w:val="false"/>
          <w:iCs w:val="false"/>
          <w:sz w:val="24"/>
          <w:szCs w:val="24"/>
        </w:rPr>
        <w:t xml:space="preserve">Reduced spontaneous blink rate during display use is among the most reproducible objective findings in the field [3,10,11]. Quantitatively, mean blink rate during a 15-minute desktop reading task at 50 cm was 11.6 per minute (SD 7.84) [26]; </w:t>
      </w:r>
      <w:r>
        <w:rPr>
          <w:rFonts w:ascii="Times New Roman" w:cs="Times New Roman" w:eastAsia="Times New Roman" w:hAnsi="Times New Roman"/>
          <w:b/>
          <w:bCs/>
          <w:i w:val="false"/>
          <w:iCs w:val="false"/>
          <w:sz w:val="24"/>
          <w:szCs w:val="24"/>
        </w:rPr>
        <w:t xml:space="preserve">all</w:t>
      </w:r>
      <w:r>
        <w:rPr>
          <w:rFonts w:ascii="Times New Roman" w:cs="Times New Roman" w:eastAsia="Times New Roman" w:hAnsi="Times New Roman"/>
          <w:b w:val="false"/>
          <w:bCs w:val="false"/>
          <w:i w:val="false"/>
          <w:iCs w:val="false"/>
          <w:sz w:val="24"/>
          <w:szCs w:val="24"/>
        </w:rPr>
        <w:t xml:space="preserve"> of six controlled reading conditions reduced blink rate relative to a non-reading baseline (all p &lt; 0.001) [27]; and blink rate fell to approximately one-third (fast-paced) and one-half (slow-paced) of baseline during computer game play [28].</w:t>
      </w:r>
    </w:p>
    <w:p>
      <w:pPr>
        <w:spacing w:after="150" w:line="360"/>
        <w:jc w:val="both"/>
      </w:pP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bCs/>
          <w:i w:val="false"/>
          <w:iCs w:val="false"/>
          <w:sz w:val="24"/>
          <w:szCs w:val="24"/>
        </w:rPr>
        <w:t xml:space="preserve">proportion of incomplete blinks</w:t>
      </w:r>
      <w:r>
        <w:rPr>
          <w:rFonts w:ascii="Times New Roman" w:cs="Times New Roman" w:eastAsia="Times New Roman" w:hAnsi="Times New Roman"/>
          <w:b w:val="false"/>
          <w:bCs w:val="false"/>
          <w:i w:val="false"/>
          <w:iCs w:val="false"/>
          <w:sz w:val="24"/>
          <w:szCs w:val="24"/>
        </w:rPr>
        <w:t xml:space="preserve"> has the strongest claim to specificity. In a 15-minute reading task the percentage of incomplete blinks ranged from 0.9% to 56.5% (mean 16.1%, SD 15.7), with a significant positive correlation between total symptom score and percentage of incomplete blinks (p = 0.002) and a significant negative correlation between blink score and symptoms (p = 0.035) [26]. Comparing six hard-copy and electronic reading conditions, all reduced blink rate but the percentage of incomplete blinks increased </w:t>
      </w:r>
      <w:r>
        <w:rPr>
          <w:rFonts w:ascii="Times New Roman" w:cs="Times New Roman" w:eastAsia="Times New Roman" w:hAnsi="Times New Roman"/>
          <w:b/>
          <w:bCs/>
          <w:i w:val="false"/>
          <w:iCs w:val="false"/>
          <w:sz w:val="24"/>
          <w:szCs w:val="24"/>
        </w:rPr>
        <w:t xml:space="preserve">only for electronic platforms</w:t>
      </w:r>
      <w:r>
        <w:rPr>
          <w:rFonts w:ascii="Times New Roman" w:cs="Times New Roman" w:eastAsia="Times New Roman" w:hAnsi="Times New Roman"/>
          <w:b w:val="false"/>
          <w:bCs w:val="false"/>
          <w:i w:val="false"/>
          <w:iCs w:val="false"/>
          <w:sz w:val="24"/>
          <w:szCs w:val="24"/>
        </w:rPr>
        <w:t xml:space="preserve"> [27]. Mechanistically, during a 60-minute computer task total blink rate changed little while complete and incomplete rates fluctuated reciprocally; non-invasive break-up time fell from 8.62 ± 1.54 s at baseline to 4.33 ± 2.57 s at 30 minutes (p &lt; 0.01) and recovered as incomplete blinking declined, leading to the conclusion that tear-film stability is determined by blinking </w:t>
      </w:r>
      <w:r>
        <w:rPr>
          <w:rFonts w:ascii="Times New Roman" w:cs="Times New Roman" w:eastAsia="Times New Roman" w:hAnsi="Times New Roman"/>
          <w:b/>
          <w:bCs/>
          <w:i w:val="false"/>
          <w:iCs w:val="false"/>
          <w:sz w:val="24"/>
          <w:szCs w:val="24"/>
        </w:rPr>
        <w:t xml:space="preserve">quality</w:t>
      </w:r>
      <w:r>
        <w:rPr>
          <w:rFonts w:ascii="Times New Roman" w:cs="Times New Roman" w:eastAsia="Times New Roman" w:hAnsi="Times New Roman"/>
          <w:b w:val="false"/>
          <w:bCs w:val="false"/>
          <w:i w:val="false"/>
          <w:iCs w:val="false"/>
          <w:sz w:val="24"/>
          <w:szCs w:val="24"/>
        </w:rPr>
        <w:t xml:space="preserve"> rather than quantity [29].</w:t>
      </w:r>
    </w:p>
    <w:p>
      <w:pPr>
        <w:spacing w:after="150" w:line="360"/>
        <w:jc w:val="both"/>
      </w:pPr>
      <w:r>
        <w:rPr>
          <w:rFonts w:ascii="Times New Roman" w:cs="Times New Roman" w:eastAsia="Times New Roman" w:hAnsi="Times New Roman"/>
          <w:b w:val="false"/>
          <w:bCs w:val="false"/>
          <w:i w:val="false"/>
          <w:iCs w:val="false"/>
          <w:sz w:val="24"/>
          <w:szCs w:val="24"/>
        </w:rPr>
        <w:t xml:space="preserve">Three findings jointly forbid a naive "lower blink rate = more fatigue" reading: blink rate is reduced by reading itself irrespective of medium [27] and further by task dynamism at matched cognitive load [28]; total blink rate can be stable while the complete/incomplete composition shifts substantially [29]; and, decisively, </w:t>
      </w:r>
      <w:r>
        <w:rPr>
          <w:rFonts w:ascii="Times New Roman" w:cs="Times New Roman" w:eastAsia="Times New Roman" w:hAnsi="Times New Roman"/>
          <w:b/>
          <w:bCs/>
          <w:i w:val="false"/>
          <w:iCs w:val="false"/>
          <w:sz w:val="24"/>
          <w:szCs w:val="24"/>
        </w:rPr>
        <w:t xml:space="preserve">experimentally raising blink rate</w:t>
      </w:r>
      <w:r>
        <w:rPr>
          <w:rFonts w:ascii="Times New Roman" w:cs="Times New Roman" w:eastAsia="Times New Roman" w:hAnsi="Times New Roman"/>
          <w:b w:val="false"/>
          <w:bCs w:val="false"/>
          <w:i w:val="false"/>
          <w:iCs w:val="false"/>
          <w:sz w:val="24"/>
          <w:szCs w:val="24"/>
        </w:rPr>
        <w:t xml:space="preserve"> from 11.6 to 23.5 per minute using a 4-second auditory cue produced </w:t>
      </w:r>
      <w:r>
        <w:rPr>
          <w:rFonts w:ascii="Times New Roman" w:cs="Times New Roman" w:eastAsia="Times New Roman" w:hAnsi="Times New Roman"/>
          <w:b/>
          <w:bCs/>
          <w:i w:val="false"/>
          <w:iCs w:val="false"/>
          <w:sz w:val="24"/>
          <w:szCs w:val="24"/>
        </w:rPr>
        <w:t xml:space="preserve">no significant change in symptom score</w:t>
      </w:r>
      <w:r>
        <w:rPr>
          <w:rFonts w:ascii="Times New Roman" w:cs="Times New Roman" w:eastAsia="Times New Roman" w:hAnsi="Times New Roman"/>
          <w:b w:val="false"/>
          <w:bCs w:val="false"/>
          <w:i w:val="false"/>
          <w:iCs w:val="false"/>
          <w:sz w:val="24"/>
          <w:szCs w:val="24"/>
        </w:rPr>
        <w:t xml:space="preserve"> [26]. The incomplete-blink ratio, referenced to a within-participant baseline, is therefore the better-justified primary ocular marker.</w:t>
      </w:r>
    </w:p>
    <w:p>
      <w:pPr>
        <w:spacing w:after="150" w:line="360"/>
        <w:jc w:val="both"/>
      </w:pPr>
      <w:r>
        <w:rPr>
          <w:rFonts w:ascii="Times New Roman" w:cs="Times New Roman" w:eastAsia="Times New Roman" w:hAnsi="Times New Roman"/>
          <w:b/>
          <w:bCs/>
          <w:i w:val="false"/>
          <w:iCs w:val="false"/>
          <w:sz w:val="24"/>
          <w:szCs w:val="24"/>
        </w:rPr>
        <w:t xml:space="preserve">PERCLOS</w:t>
      </w:r>
      <w:r>
        <w:rPr>
          <w:rFonts w:ascii="Times New Roman" w:cs="Times New Roman" w:eastAsia="Times New Roman" w:hAnsi="Times New Roman"/>
          <w:b w:val="false"/>
          <w:bCs w:val="false"/>
          <w:i w:val="false"/>
          <w:iCs w:val="false"/>
          <w:sz w:val="24"/>
          <w:szCs w:val="24"/>
        </w:rPr>
        <w:t xml:space="preserve"> — the percentage of time the eyes are more than 80% closed — is "one of the most validated indices" for passive drowsiness detection [31], rising with sleep deprivation and associated with vigilance-performance variability (r = 0.68) and lane-position variation (r = 0.61) after 24 hours of sleep deprivation [32], and identified alongside the Psychomotor Vigilance Test as a fatigue-detection technology [22]. Its documented limitations — insensitivity in moderate drowsiness, in older adults and in some task contexts, and the absence of any single optimal index [31] — dictate its role here as a </w:t>
      </w:r>
      <w:r>
        <w:rPr>
          <w:rFonts w:ascii="Times New Roman" w:cs="Times New Roman" w:eastAsia="Times New Roman" w:hAnsi="Times New Roman"/>
          <w:b/>
          <w:bCs/>
          <w:i w:val="false"/>
          <w:iCs w:val="false"/>
          <w:sz w:val="24"/>
          <w:szCs w:val="24"/>
        </w:rPr>
        <w:t xml:space="preserve">confound covariate for sleepiness</w:t>
      </w:r>
      <w:r>
        <w:rPr>
          <w:rFonts w:ascii="Times New Roman" w:cs="Times New Roman" w:eastAsia="Times New Roman" w:hAnsi="Times New Roman"/>
          <w:b w:val="false"/>
          <w:bCs w:val="false"/>
          <w:i w:val="false"/>
          <w:iCs w:val="false"/>
          <w:sz w:val="24"/>
          <w:szCs w:val="24"/>
        </w:rPr>
        <w:t xml:space="preserve">, not as a measure of computer-related visual fatigue.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2.7 Task performance: reading, comprehension and sustained attention</w:t>
      </w:r>
    </w:p>
    <w:p>
      <w:pPr>
        <w:spacing w:after="150" w:line="360"/>
        <w:jc w:val="both"/>
      </w:pPr>
      <w:r>
        <w:rPr>
          <w:rFonts w:ascii="Times New Roman" w:cs="Times New Roman" w:eastAsia="Times New Roman" w:hAnsi="Times New Roman"/>
          <w:b w:val="false"/>
          <w:bCs w:val="false"/>
          <w:i w:val="false"/>
          <w:iCs w:val="false"/>
          <w:sz w:val="24"/>
          <w:szCs w:val="24"/>
        </w:rPr>
        <w:t xml:space="preserve">A separate literature compares comprehension across reading media, reporting an advantage for print over screen moderated by genre and time constraint, with the effect more pronounced for expository texts and under time pressure [20]. This constrains the </w:t>
      </w:r>
      <w:r>
        <w:rPr>
          <w:rFonts w:ascii="Times New Roman" w:cs="Times New Roman" w:eastAsia="Times New Roman" w:hAnsi="Times New Roman"/>
          <w:b w:val="false"/>
          <w:bCs w:val="false"/>
          <w:i/>
          <w:iCs/>
          <w:sz w:val="24"/>
          <w:szCs w:val="24"/>
        </w:rPr>
        <w:t xml:space="preserve">measurement</w:t>
      </w:r>
      <w:r>
        <w:rPr>
          <w:rFonts w:ascii="Times New Roman" w:cs="Times New Roman" w:eastAsia="Times New Roman" w:hAnsi="Times New Roman"/>
          <w:b w:val="false"/>
          <w:bCs w:val="false"/>
          <w:i w:val="false"/>
          <w:iCs w:val="false"/>
          <w:sz w:val="24"/>
          <w:szCs w:val="24"/>
        </w:rPr>
        <w:t xml:space="preserve"> of comprehension in the present design rather than the hypothesis under test: a within-screen design removes the medium confound entirely, but passage genre, difficulty and pacing must be standardised, and comprehension must be assessed with sufficient items per condition to be reliable.</w:t>
      </w:r>
    </w:p>
    <w:p>
      <w:pPr>
        <w:spacing w:after="150" w:line="360"/>
        <w:jc w:val="both"/>
      </w:pPr>
      <w:r>
        <w:rPr>
          <w:rFonts w:ascii="Times New Roman" w:cs="Times New Roman" w:eastAsia="Times New Roman" w:hAnsi="Times New Roman"/>
          <w:b w:val="false"/>
          <w:bCs w:val="false"/>
          <w:i w:val="false"/>
          <w:iCs w:val="false"/>
          <w:sz w:val="24"/>
          <w:szCs w:val="24"/>
        </w:rPr>
        <w:t xml:space="preserve">Prolonged monotonous visual tasks produce a </w:t>
      </w:r>
      <w:r>
        <w:rPr>
          <w:rFonts w:ascii="Times New Roman" w:cs="Times New Roman" w:eastAsia="Times New Roman" w:hAnsi="Times New Roman"/>
          <w:b/>
          <w:bCs/>
          <w:i w:val="false"/>
          <w:iCs w:val="false"/>
          <w:sz w:val="24"/>
          <w:szCs w:val="24"/>
        </w:rPr>
        <w:t xml:space="preserve">vigilance decrement</w:t>
      </w:r>
      <w:r>
        <w:rPr>
          <w:rFonts w:ascii="Times New Roman" w:cs="Times New Roman" w:eastAsia="Times New Roman" w:hAnsi="Times New Roman"/>
          <w:b w:val="false"/>
          <w:bCs w:val="false"/>
          <w:i w:val="false"/>
          <w:iCs w:val="false"/>
          <w:sz w:val="24"/>
          <w:szCs w:val="24"/>
        </w:rPr>
        <w:t xml:space="preserve">, best accounted for by resource depletion; experimental work indicates the decrement reflects limitations in effortful attention rather than mindlessness, and that vigilance is subjectively effortful and stressful [21]. The reference paradigm is the Psychomotor Vigilance Test, validated as sensitive to sleep loss and circadian misalignment, with </w:t>
      </w:r>
      <w:r>
        <w:rPr>
          <w:rFonts w:ascii="Times New Roman" w:cs="Times New Roman" w:eastAsia="Times New Roman" w:hAnsi="Times New Roman"/>
          <w:b/>
          <w:bCs/>
          <w:i w:val="false"/>
          <w:iCs w:val="false"/>
          <w:sz w:val="24"/>
          <w:szCs w:val="24"/>
        </w:rPr>
        <w:t xml:space="preserve">lapses</w:t>
      </w:r>
      <w:r>
        <w:rPr>
          <w:rFonts w:ascii="Times New Roman" w:cs="Times New Roman" w:eastAsia="Times New Roman" w:hAnsi="Times New Roman"/>
          <w:b w:val="false"/>
          <w:bCs w:val="false"/>
          <w:i w:val="false"/>
          <w:iCs w:val="false"/>
          <w:sz w:val="24"/>
          <w:szCs w:val="24"/>
        </w:rPr>
        <w:t xml:space="preserve"> and reaction-time </w:t>
      </w:r>
      <w:r>
        <w:rPr>
          <w:rFonts w:ascii="Times New Roman" w:cs="Times New Roman" w:eastAsia="Times New Roman" w:hAnsi="Times New Roman"/>
          <w:b/>
          <w:bCs/>
          <w:i w:val="false"/>
          <w:iCs w:val="false"/>
          <w:sz w:val="24"/>
          <w:szCs w:val="24"/>
        </w:rPr>
        <w:t xml:space="preserve">variability</w:t>
      </w:r>
      <w:r>
        <w:rPr>
          <w:rFonts w:ascii="Times New Roman" w:cs="Times New Roman" w:eastAsia="Times New Roman" w:hAnsi="Times New Roman"/>
          <w:b w:val="false"/>
          <w:bCs w:val="false"/>
          <w:i w:val="false"/>
          <w:iCs w:val="false"/>
          <w:sz w:val="24"/>
          <w:szCs w:val="24"/>
        </w:rPr>
        <w:t xml:space="preserve"> as its principal fatigue-sensitive indices [22]. Two consequences follow: attentional and visual-fatigue outcomes share time-on-task as a driver and must be measured together to be separable; and disengagement is a genuine threat to data quality that must be instrumented rather than assumed absent.</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2.8 Subjective instruments</w:t>
      </w:r>
    </w:p>
    <w:p>
      <w:pPr>
        <w:spacing w:after="150" w:line="360"/>
        <w:jc w:val="both"/>
      </w:pPr>
      <w:r>
        <w:rPr>
          <w:rFonts w:ascii="Times New Roman" w:cs="Times New Roman" w:eastAsia="Times New Roman" w:hAnsi="Times New Roman"/>
          <w:b w:val="false"/>
          <w:bCs w:val="false"/>
          <w:i w:val="false"/>
          <w:iCs w:val="false"/>
          <w:sz w:val="24"/>
          <w:szCs w:val="24"/>
        </w:rPr>
        <w:t xml:space="preserve">The CVS-Q was developed with explicit psychometric method, assessing frequency and intensity of 16 symptoms on a Rasch-fitting single scale, with expert-panel content validity, sensitivity and specificity above 70%, test–retest ICC 0.802 (95% CI 0.673–0.884) and Cohen's κ 0.612 for classification [23]. Cross-cultural validations report internal consistency α 0.793, ICC 0.847, sensitivity 78.5%, specificity 70.7%, AUC 0.832, convergent validity with the Ocular Surface Disease Index (ρ = 0.728) and a cut-off of ≥7 [24], and a further adaptation reports CVS prevalence of 62.5% in its validation sample [25]. Cognitive workload is conventionally indexed by the NASA Task Load Index across six dimensions [40]. The persistent poor correspondence between subjective and objective indices [3] is treated here as an object of study (Objective 6) rather than an inconvenience.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2.9 Scalable ocular metrology</w:t>
      </w:r>
    </w:p>
    <w:p>
      <w:pPr>
        <w:spacing w:after="150" w:line="360"/>
        <w:jc w:val="both"/>
      </w:pPr>
      <w:r>
        <w:rPr>
          <w:rFonts w:ascii="Times New Roman" w:cs="Times New Roman" w:eastAsia="Times New Roman" w:hAnsi="Times New Roman"/>
          <w:b w:val="false"/>
          <w:bCs w:val="false"/>
          <w:i w:val="false"/>
          <w:iCs w:val="false"/>
          <w:sz w:val="24"/>
          <w:szCs w:val="24"/>
        </w:rPr>
        <w:t xml:space="preserve">The dominant computational approach derives a scalar </w:t>
      </w:r>
      <w:r>
        <w:rPr>
          <w:rFonts w:ascii="Times New Roman" w:cs="Times New Roman" w:eastAsia="Times New Roman" w:hAnsi="Times New Roman"/>
          <w:b/>
          <w:bCs/>
          <w:i w:val="false"/>
          <w:iCs w:val="false"/>
          <w:sz w:val="24"/>
          <w:szCs w:val="24"/>
        </w:rPr>
        <w:t xml:space="preserve">eye aspect ratio</w:t>
      </w:r>
      <w:r>
        <w:rPr>
          <w:rFonts w:ascii="Times New Roman" w:cs="Times New Roman" w:eastAsia="Times New Roman" w:hAnsi="Times New Roman"/>
          <w:b w:val="false"/>
          <w:bCs w:val="false"/>
          <w:i w:val="false"/>
          <w:iCs w:val="false"/>
          <w:sz w:val="24"/>
          <w:szCs w:val="24"/>
        </w:rPr>
        <w:t xml:space="preserve"> from facial landmarks — the ratio of vertical eye-aperture distances to horizontal palpebral width — detecting blinks as a temporal pattern in that signal [35]. Because EAR is a continuous, normalised measure of aperture, it can in principle distinguish </w:t>
      </w:r>
      <w:r>
        <w:rPr>
          <w:rFonts w:ascii="Times New Roman" w:cs="Times New Roman" w:eastAsia="Times New Roman" w:hAnsi="Times New Roman"/>
          <w:b/>
          <w:bCs/>
          <w:i w:val="false"/>
          <w:iCs w:val="false"/>
          <w:sz w:val="24"/>
          <w:szCs w:val="24"/>
        </w:rPr>
        <w:t xml:space="preserve">partial from complete</w:t>
      </w:r>
      <w:r>
        <w:rPr>
          <w:rFonts w:ascii="Times New Roman" w:cs="Times New Roman" w:eastAsia="Times New Roman" w:hAnsi="Times New Roman"/>
          <w:b w:val="false"/>
          <w:bCs w:val="false"/>
          <w:i w:val="false"/>
          <w:iCs w:val="false"/>
          <w:sz w:val="24"/>
          <w:szCs w:val="24"/>
        </w:rPr>
        <w:t xml:space="preserve"> closure, automating precisely the measurement the clinical literature has performed by hand [26,27,29]. Validity differs sharply by target: webcam </w:t>
      </w:r>
      <w:r>
        <w:rPr>
          <w:rFonts w:ascii="Times New Roman" w:cs="Times New Roman" w:eastAsia="Times New Roman" w:hAnsi="Times New Roman"/>
          <w:b/>
          <w:bCs/>
          <w:i w:val="false"/>
          <w:iCs w:val="false"/>
          <w:sz w:val="24"/>
          <w:szCs w:val="24"/>
        </w:rPr>
        <w:t xml:space="preserve">gaze</w:t>
      </w:r>
      <w:r>
        <w:rPr>
          <w:rFonts w:ascii="Times New Roman" w:cs="Times New Roman" w:eastAsia="Times New Roman" w:hAnsi="Times New Roman"/>
          <w:b w:val="false"/>
          <w:bCs w:val="false"/>
          <w:i w:val="false"/>
          <w:iCs w:val="false"/>
          <w:sz w:val="24"/>
          <w:szCs w:val="24"/>
        </w:rPr>
        <w:t xml:space="preserve"> estimation is lower in spatial accuracy and sampling rate than infrared pupil–corneal-reflection tracking and is defensible only for coarse zone classification, whereas </w:t>
      </w:r>
      <w:r>
        <w:rPr>
          <w:rFonts w:ascii="Times New Roman" w:cs="Times New Roman" w:eastAsia="Times New Roman" w:hAnsi="Times New Roman"/>
          <w:b/>
          <w:bCs/>
          <w:i w:val="false"/>
          <w:iCs w:val="false"/>
          <w:sz w:val="24"/>
          <w:szCs w:val="24"/>
        </w:rPr>
        <w:t xml:space="preserve">blink and aperture</w:t>
      </w:r>
      <w:r>
        <w:rPr>
          <w:rFonts w:ascii="Times New Roman" w:cs="Times New Roman" w:eastAsia="Times New Roman" w:hAnsi="Times New Roman"/>
          <w:b w:val="false"/>
          <w:bCs w:val="false"/>
          <w:i w:val="false"/>
          <w:iCs w:val="false"/>
          <w:sz w:val="24"/>
          <w:szCs w:val="24"/>
        </w:rPr>
        <w:t xml:space="preserve"> measures are count- and proportion-based and require temporal rather than spatial precision. Because blinks last approximately 100–400 ms, duration-based metrics approach the Nyquist limit at conventional webcam frame rates and become unreliable below approximately 25 frames per second, whereas proportion and count metrics (blink rate, incomplete-blink ratio, PERCLOS) are considerably more robust. Any such instrument must therefore record its achieved effective sampling rate and gate duration-dependent metrics accordingly. No published study has validated a webcam-based incomplete-blink measure against the manual annotation standard — a gap this study addresses (Objective 7).</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2.10 Interventions: what the evidence does and does not support</w:t>
      </w:r>
    </w:p>
    <w:p>
      <w:pPr>
        <w:spacing w:after="150" w:line="360"/>
        <w:jc w:val="both"/>
      </w:pPr>
      <w:r>
        <w:rPr>
          <w:rFonts w:ascii="Times New Roman" w:cs="Times New Roman" w:eastAsia="Times New Roman" w:hAnsi="Times New Roman"/>
          <w:b w:val="false"/>
          <w:bCs w:val="false"/>
          <w:i w:val="false"/>
          <w:iCs w:val="false"/>
          <w:sz w:val="24"/>
          <w:szCs w:val="24"/>
        </w:rPr>
        <w:t xml:space="preserve">The intervention evidence base is largely negative for the most heavily marketed options: no high-certainty evidence for any analysed therapy; no benefit of blue-blocking lenses; no benefit of berry-extract supplementation; low-certainty benefit of oral omega-3 for dry-eye symptoms; and a critical flicker-fusion change of "unclear" clinical significance for carotenoids [8]. An independent systematic review in young users found no evidence for blue-blocking filters, supporting ergonomic optimisation and exposure restriction [9]. Where positive evidence exists it concerns exposure management: relative to no break during 40 minutes of near work, frequent (10-minute) and self-paced breaks reduced eye irritation/burning and eye strain, reduced near-work-induced transient myopia, and lowered accommodative variability in the final interval [30]. </w:t>
      </w:r>
      <w:r>
        <w:rPr>
          <w:rFonts w:ascii="Times New Roman" w:cs="Times New Roman" w:eastAsia="Times New Roman" w:hAnsi="Times New Roman"/>
          <w:b/>
          <w:bCs/>
          <w:i w:val="false"/>
          <w:iCs w:val="false"/>
          <w:sz w:val="24"/>
          <w:szCs w:val="24"/>
        </w:rPr>
        <w:t xml:space="preserve">Display-design parameters are essentially absent from this evidence base</w:t>
      </w:r>
      <w:r>
        <w:rPr>
          <w:rFonts w:ascii="Times New Roman" w:cs="Times New Roman" w:eastAsia="Times New Roman" w:hAnsi="Times New Roman"/>
          <w:b w:val="false"/>
          <w:bCs w:val="false"/>
          <w:i w:val="false"/>
          <w:iCs w:val="false"/>
          <w:sz w:val="24"/>
          <w:szCs w:val="24"/>
        </w:rPr>
        <w:t xml:space="preserve"> — the most modifiable, zero-cost and population-scalable lever is also the least tested.</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2.11 Summary of research gaps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short-duration, achromatic legibility tasks but untested for prolonged reading with fatigue accumulation and ocular-surface outcomes [12–17].</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bCs/>
          <w:i w:val="false"/>
          <w:iCs w:val="false"/>
          <w:sz w:val="24"/>
          <w:szCs w:val="24"/>
        </w:rPr>
        <w:t xml:space="preserve">polarity × text-colour interaction on visual fatigue has never been estimated</w:t>
      </w:r>
      <w:r>
        <w:rPr>
          <w:rFonts w:ascii="Times New Roman" w:cs="Times New Roman" w:eastAsia="Times New Roman" w:hAnsi="Times New Roman"/>
          <w:b w:val="false"/>
          <w:bCs w:val="false"/>
          <w:i w:val="false"/>
          <w:iCs w:val="false"/>
          <w:sz w:val="24"/>
          <w:szCs w:val="24"/>
        </w:rPr>
        <w:t xml:space="preserve">; the only text-colour fatigue study held polarity constant [19], and the multi-colour physiological study used two-minute exposures without symptom-level outcomes [18].</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Hue is not disentangled from luminance contrast</w:t>
      </w:r>
      <w:r>
        <w:rPr>
          <w:rFonts w:ascii="Times New Roman" w:cs="Times New Roman" w:eastAsia="Times New Roman" w:hAnsi="Times New Roman"/>
          <w:b w:val="false"/>
          <w:bCs w:val="false"/>
          <w:i w:val="false"/>
          <w:iCs w:val="false"/>
          <w:sz w:val="24"/>
          <w:szCs w:val="24"/>
        </w:rPr>
        <w:t xml:space="preserve"> in any existing study [12,18,19].</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multiple contrast metrics alongside measured display photometry, and the prevailing standard is polarity-blind [36,37].</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Three-way polarity × colour × illumination</w:t>
      </w:r>
      <w:r>
        <w:rPr>
          <w:rFonts w:ascii="Times New Roman" w:cs="Times New Roman" w:eastAsia="Times New Roman" w:hAnsi="Times New Roman"/>
          <w:b w:val="false"/>
          <w:bCs w:val="false"/>
          <w:i w:val="false"/>
          <w:iCs w:val="false"/>
          <w:sz w:val="24"/>
          <w:szCs w:val="24"/>
        </w:rPr>
        <w:t xml:space="preserve"> effects are uncharacterised; the available two-way findings are in partial conflict [12,15,19].</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bCs/>
          <w:i w:val="false"/>
          <w:iCs w:val="false"/>
          <w:sz w:val="24"/>
          <w:szCs w:val="24"/>
        </w:rPr>
        <w:t xml:space="preserve">subjective–objective dissociation</w:t>
      </w:r>
      <w:r>
        <w:rPr>
          <w:rFonts w:ascii="Times New Roman" w:cs="Times New Roman" w:eastAsia="Times New Roman" w:hAnsi="Times New Roman"/>
          <w:b w:val="false"/>
          <w:bCs w:val="false"/>
          <w:i w:val="false"/>
          <w:iCs w:val="false"/>
          <w:sz w:val="24"/>
          <w:szCs w:val="24"/>
        </w:rPr>
        <w:t xml:space="preserve"> remains unresolved, with few studies co-registering a validated instrument with objective markers in the same condition [3].</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bCs/>
          <w:i w:val="false"/>
          <w:iCs w:val="false"/>
          <w:sz w:val="24"/>
          <w:szCs w:val="24"/>
        </w:rPr>
        <w:t xml:space="preserve">incomplete-blink ratio has never been tested as an outcome of a display-parameter manipulation</w:t>
      </w:r>
      <w:r>
        <w:rPr>
          <w:rFonts w:ascii="Times New Roman" w:cs="Times New Roman" w:eastAsia="Times New Roman" w:hAnsi="Times New Roman"/>
          <w:b w:val="false"/>
          <w:bCs w:val="false"/>
          <w:i w:val="false"/>
          <w:iCs w:val="false"/>
          <w:sz w:val="24"/>
          <w:szCs w:val="24"/>
        </w:rPr>
        <w:t xml:space="preserve">, despite its mechanistic and empirical claim to specificity [26,27,29].</w:t>
      </w:r>
    </w:p>
    <w:p>
      <w:pPr>
        <w:spacing w:after="13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Blink-completeness measurement </w:t>
      </w:r>
      <w:r>
        <w:rPr>
          <w:rFonts w:ascii="Times New Roman" w:cs="Times New Roman" w:eastAsia="Times New Roman" w:hAnsi="Times New Roman"/>
          <w:b/>
          <w:bCs/>
          <w:i w:val="false"/>
          <w:iCs w:val="false"/>
          <w:sz w:val="24"/>
          <w:szCs w:val="24"/>
        </w:rPr>
        <w:t xml:space="preserve">does not scale</w:t>
      </w:r>
      <w:r>
        <w:rPr>
          <w:rFonts w:ascii="Times New Roman" w:cs="Times New Roman" w:eastAsia="Times New Roman" w:hAnsi="Times New Roman"/>
          <w:b w:val="false"/>
          <w:bCs w:val="false"/>
          <w:i w:val="false"/>
          <w:iCs w:val="false"/>
          <w:sz w:val="24"/>
          <w:szCs w:val="24"/>
        </w:rPr>
        <w:t xml:space="preserve">, constraining samples to 11–50 participants [26–29], and no automated implementation has been validated against manual annotation.</w:t>
      </w:r>
    </w:p>
    <w:p>
      <w:pPr>
        <w:spacing w:after="13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Individual differences</w:t>
      </w:r>
      <w:r>
        <w:rPr>
          <w:rFonts w:ascii="Times New Roman" w:cs="Times New Roman" w:eastAsia="Times New Roman" w:hAnsi="Times New Roman"/>
          <w:b w:val="false"/>
          <w:bCs w:val="false"/>
          <w:i w:val="false"/>
          <w:iCs w:val="false"/>
          <w:sz w:val="24"/>
          <w:szCs w:val="24"/>
        </w:rPr>
        <w:t xml:space="preserve"> — habitual display preference, exposure, lighting environment, digital literacy — are seldom modelled as moderators.</w:t>
      </w:r>
    </w:p>
    <w:p>
      <w:pPr>
        <w:spacing w:after="130" w:line="360"/>
        <w:ind w:left="640" w:hanging="64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Visual-fatigue and sustained-attention outcomes are rarely measured in the same protocol despite sharing time-on-task as a driver [21,22].</w:t>
      </w:r>
    </w:p>
    <w:p>
      <w:pPr>
        <w:spacing w:after="130" w:line="360"/>
        <w:ind w:left="640" w:hanging="64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Tablet-specific, ecologically valid protocols are scarce</w:t>
      </w:r>
      <w:r>
        <w:rPr>
          <w:rFonts w:ascii="Times New Roman" w:cs="Times New Roman" w:eastAsia="Times New Roman" w:hAnsi="Times New Roman"/>
          <w:b w:val="false"/>
          <w:bCs w:val="false"/>
          <w:i w:val="false"/>
          <w:iCs w:val="false"/>
          <w:sz w:val="24"/>
          <w:szCs w:val="24"/>
        </w:rPr>
        <w:t xml:space="preserve">, most work being desktop, automotive or laboratory-based.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pageBreakBefore/>
        <w:spacing w:after="180" w:before="360" w:line="360"/>
        <w:jc w:val="center"/>
      </w:pPr>
      <w:r>
        <w:rPr>
          <w:rFonts w:ascii="Times New Roman" w:cs="Times New Roman" w:eastAsia="Times New Roman" w:hAnsi="Times New Roman"/>
          <w:b/>
          <w:bCs/>
          <w:i w:val="false"/>
          <w:iCs w:val="false"/>
          <w:sz w:val="30"/>
          <w:szCs w:val="30"/>
        </w:rPr>
        <w:t xml:space="preserve">CHAPTER 3: MATERIALS AND METHODS / RESEARCH METHODOLOGY</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3.1 Study design</w:t>
      </w:r>
    </w:p>
    <w:p>
      <w:pPr>
        <w:spacing w:after="150" w:line="360"/>
        <w:jc w:val="both"/>
      </w:pPr>
      <w:r>
        <w:rPr>
          <w:rFonts w:ascii="Times New Roman" w:cs="Times New Roman" w:eastAsia="Times New Roman" w:hAnsi="Times New Roman"/>
          <w:b w:val="false"/>
          <w:bCs w:val="false"/>
          <w:i w:val="false"/>
          <w:iCs w:val="false"/>
          <w:sz w:val="24"/>
          <w:szCs w:val="24"/>
        </w:rPr>
        <w:t xml:space="preserve">A </w:t>
      </w:r>
      <w:r>
        <w:rPr>
          <w:rFonts w:ascii="Times New Roman" w:cs="Times New Roman" w:eastAsia="Times New Roman" w:hAnsi="Times New Roman"/>
          <w:b/>
          <w:bCs/>
          <w:i w:val="false"/>
          <w:iCs w:val="false"/>
          <w:sz w:val="24"/>
          <w:szCs w:val="24"/>
        </w:rPr>
        <w:t xml:space="preserve">within-subjects, repeated-measures factorial design</w:t>
      </w:r>
      <w:r>
        <w:rPr>
          <w:rFonts w:ascii="Times New Roman" w:cs="Times New Roman" w:eastAsia="Times New Roman" w:hAnsi="Times New Roman"/>
          <w:b w:val="false"/>
          <w:bCs w:val="false"/>
          <w:i w:val="false"/>
          <w:iCs w:val="false"/>
          <w:sz w:val="24"/>
          <w:szCs w:val="24"/>
        </w:rPr>
        <w:t xml:space="preserve"> will be employed, with three factors: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 2 levels: positive (dark text on light background) and negative (light text on dark background).</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 5 levels: achromatic, blue, red, yellow and green.</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Ambient illumination</w:t>
      </w:r>
      <w:r>
        <w:rPr>
          <w:rFonts w:ascii="Times New Roman" w:cs="Times New Roman" w:eastAsia="Times New Roman" w:hAnsi="Times New Roman"/>
          <w:b w:val="false"/>
          <w:bCs w:val="false"/>
          <w:i w:val="false"/>
          <w:iCs w:val="false"/>
          <w:sz w:val="24"/>
          <w:szCs w:val="24"/>
        </w:rPr>
        <w:t xml:space="preserve"> — 2 levels: dim and moderate, administered as </w:t>
      </w:r>
      <w:r>
        <w:rPr>
          <w:rFonts w:ascii="Times New Roman" w:cs="Times New Roman" w:eastAsia="Times New Roman" w:hAnsi="Times New Roman"/>
          <w:b/>
          <w:bCs/>
          <w:i w:val="false"/>
          <w:iCs w:val="false"/>
          <w:sz w:val="24"/>
          <w:szCs w:val="24"/>
        </w:rPr>
        <w:t xml:space="preserve">separate sessions</w:t>
      </w:r>
      <w:r>
        <w:rPr>
          <w:rFonts w:ascii="Times New Roman" w:cs="Times New Roman" w:eastAsia="Times New Roman" w:hAnsi="Times New Roman"/>
          <w:b w:val="false"/>
          <w:bCs w:val="false"/>
          <w:i w:val="false"/>
          <w:iCs w:val="false"/>
          <w:sz w:val="24"/>
          <w:szCs w:val="24"/>
        </w:rPr>
        <w:t xml:space="preserve">.</w:t>
      </w:r>
    </w:p>
    <w:p>
      <w:pPr>
        <w:spacing w:after="150" w:line="360"/>
        <w:jc w:val="both"/>
      </w:pPr>
      <w:r>
        <w:rPr>
          <w:rFonts w:ascii="Times New Roman" w:cs="Times New Roman" w:eastAsia="Times New Roman" w:hAnsi="Times New Roman"/>
          <w:b w:val="false"/>
          <w:bCs w:val="false"/>
          <w:i w:val="false"/>
          <w:iCs w:val="false"/>
          <w:sz w:val="24"/>
          <w:szCs w:val="24"/>
        </w:rPr>
        <w:t xml:space="preserve">Polarity × text colour yields </w:t>
      </w:r>
      <w:r>
        <w:rPr>
          <w:rFonts w:ascii="Times New Roman" w:cs="Times New Roman" w:eastAsia="Times New Roman" w:hAnsi="Times New Roman"/>
          <w:b/>
          <w:bCs/>
          <w:i w:val="false"/>
          <w:iCs w:val="false"/>
          <w:sz w:val="24"/>
          <w:szCs w:val="24"/>
        </w:rPr>
        <w:t xml:space="preserve">10 display conditions</w:t>
      </w:r>
      <w:r>
        <w:rPr>
          <w:rFonts w:ascii="Times New Roman" w:cs="Times New Roman" w:eastAsia="Times New Roman" w:hAnsi="Times New Roman"/>
          <w:b w:val="false"/>
          <w:bCs w:val="false"/>
          <w:i w:val="false"/>
          <w:iCs w:val="false"/>
          <w:sz w:val="24"/>
          <w:szCs w:val="24"/>
        </w:rPr>
        <w:t xml:space="preserve">, each administered under both illumination levels, giving </w:t>
      </w:r>
      <w:r>
        <w:rPr>
          <w:rFonts w:ascii="Times New Roman" w:cs="Times New Roman" w:eastAsia="Times New Roman" w:hAnsi="Times New Roman"/>
          <w:b/>
          <w:bCs/>
          <w:i w:val="false"/>
          <w:iCs w:val="false"/>
          <w:sz w:val="24"/>
          <w:szCs w:val="24"/>
        </w:rPr>
        <w:t xml:space="preserve">20 condition-runs per participant</w:t>
      </w:r>
      <w:r>
        <w:rPr>
          <w:rFonts w:ascii="Times New Roman" w:cs="Times New Roman" w:eastAsia="Times New Roman" w:hAnsi="Times New Roman"/>
          <w:b w:val="false"/>
          <w:bCs w:val="false"/>
          <w:i w:val="false"/>
          <w:iCs w:val="false"/>
          <w:sz w:val="24"/>
          <w:szCs w:val="24"/>
        </w:rPr>
        <w:t xml:space="preserve"> across two sessions separated by 48–72 hours. Illumination is manipulated </w:t>
      </w:r>
      <w:r>
        <w:rPr>
          <w:rFonts w:ascii="Times New Roman" w:cs="Times New Roman" w:eastAsia="Times New Roman" w:hAnsi="Times New Roman"/>
          <w:b/>
          <w:bCs/>
          <w:i w:val="false"/>
          <w:iCs w:val="false"/>
          <w:sz w:val="24"/>
          <w:szCs w:val="24"/>
        </w:rPr>
        <w:t xml:space="preserve">between sessions</w:t>
      </w:r>
      <w:r>
        <w:rPr>
          <w:rFonts w:ascii="Times New Roman" w:cs="Times New Roman" w:eastAsia="Times New Roman" w:hAnsi="Times New Roman"/>
          <w:b w:val="false"/>
          <w:bCs w:val="false"/>
          <w:i w:val="false"/>
          <w:iCs w:val="false"/>
          <w:sz w:val="24"/>
          <w:szCs w:val="24"/>
        </w:rPr>
        <w:t xml:space="preserve"> (rather than within) because a fully crossed within-session design would be infeasible in a single sitting and because ambient light cannot be switched instantaneously without re-adaptation; the order of illumination levels will be </w:t>
      </w:r>
      <w:r>
        <w:rPr>
          <w:rFonts w:ascii="Times New Roman" w:cs="Times New Roman" w:eastAsia="Times New Roman" w:hAnsi="Times New Roman"/>
          <w:b/>
          <w:bCs/>
          <w:i w:val="false"/>
          <w:iCs w:val="false"/>
          <w:sz w:val="24"/>
          <w:szCs w:val="24"/>
        </w:rPr>
        <w:t xml:space="preserve">counterbalanced between participants</w:t>
      </w:r>
      <w:r>
        <w:rPr>
          <w:rFonts w:ascii="Times New Roman" w:cs="Times New Roman" w:eastAsia="Times New Roman" w:hAnsi="Times New Roman"/>
          <w:b w:val="false"/>
          <w:bCs w:val="false"/>
          <w:i w:val="false"/>
          <w:iCs w:val="false"/>
          <w:sz w:val="24"/>
          <w:szCs w:val="24"/>
        </w:rPr>
        <w:t xml:space="preserve">, with half receiving dim first.</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3.2 Study setting and duration</w:t>
      </w:r>
    </w:p>
    <w:p>
      <w:pPr>
        <w:spacing w:after="15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set and maintained, with no daylight ingress. Total duration: approximately 24 months for data collection following ethics approval, instrument development and piloting.</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3.3 Participants</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3.3.1 Sample size and justification</w:t>
      </w:r>
    </w:p>
    <w:p>
      <w:pPr>
        <w:spacing w:after="150" w:line="360"/>
        <w:jc w:val="both"/>
      </w:pPr>
      <w:r>
        <w:rPr>
          <w:rFonts w:ascii="Times New Roman" w:cs="Times New Roman" w:eastAsia="Times New Roman" w:hAnsi="Times New Roman"/>
          <w:b w:val="false"/>
          <w:bCs w:val="false"/>
          <w:i w:val="false"/>
          <w:iCs w:val="false"/>
          <w:sz w:val="24"/>
          <w:szCs w:val="24"/>
        </w:rPr>
        <w:t xml:space="preserve">Target sample: </w:t>
      </w:r>
      <w:r>
        <w:rPr>
          <w:rFonts w:ascii="Times New Roman" w:cs="Times New Roman" w:eastAsia="Times New Roman" w:hAnsi="Times New Roman"/>
          <w:b/>
          <w:bCs/>
          <w:i w:val="false"/>
          <w:iCs w:val="false"/>
          <w:sz w:val="24"/>
          <w:szCs w:val="24"/>
        </w:rPr>
        <w:t xml:space="preserve">n ≈ 100</w:t>
      </w:r>
      <w:r>
        <w:rPr>
          <w:rFonts w:ascii="Times New Roman" w:cs="Times New Roman" w:eastAsia="Times New Roman" w:hAnsi="Times New Roman"/>
          <w:b w:val="false"/>
          <w:bCs w:val="false"/>
          <w:i w:val="false"/>
          <w:iCs w:val="false"/>
          <w:sz w:val="24"/>
          <w:szCs w:val="24"/>
        </w:rPr>
        <w:t xml:space="preserve"> (enrolment target 110 to allow for attrition), age 18–35 years. The figure is justified on three grounds: (i) it is a multiple of the number of display conditions (10), which is required for the counterbalancing scheme to achieve complete balance (§3.10); (ii) within-subjects power for the main and interaction effects is high given 20 observations per participant, and will be confirmed by an a priori </w:t>
      </w:r>
      <w:r>
        <w:rPr>
          <w:rFonts w:ascii="Times New Roman" w:cs="Times New Roman" w:eastAsia="Times New Roman" w:hAnsi="Times New Roman"/>
          <w:b/>
          <w:bCs/>
          <w:i w:val="false"/>
          <w:iCs w:val="false"/>
          <w:sz w:val="24"/>
          <w:szCs w:val="24"/>
        </w:rPr>
        <w:t xml:space="preserve">simulation-based power analysis</w:t>
      </w:r>
      <w:r>
        <w:rPr>
          <w:rFonts w:ascii="Times New Roman" w:cs="Times New Roman" w:eastAsia="Times New Roman" w:hAnsi="Times New Roman"/>
          <w:b w:val="false"/>
          <w:bCs w:val="false"/>
          <w:i w:val="false"/>
          <w:iCs w:val="false"/>
          <w:sz w:val="24"/>
          <w:szCs w:val="24"/>
        </w:rPr>
        <w:t xml:space="preserve"> under the planned mixed-effects model, complemented by conventional power computation; and (iii) Objective 5 (participant moderation) requires </w:t>
      </w:r>
      <w:r>
        <w:rPr>
          <w:rFonts w:ascii="Times New Roman" w:cs="Times New Roman" w:eastAsia="Times New Roman" w:hAnsi="Times New Roman"/>
          <w:b/>
          <w:bCs/>
          <w:i w:val="false"/>
          <w:iCs w:val="false"/>
          <w:sz w:val="24"/>
          <w:szCs w:val="24"/>
        </w:rPr>
        <w:t xml:space="preserve">between-participant</w:t>
      </w:r>
      <w:r>
        <w:rPr>
          <w:rFonts w:ascii="Times New Roman" w:cs="Times New Roman" w:eastAsia="Times New Roman" w:hAnsi="Times New Roman"/>
          <w:b w:val="false"/>
          <w:bCs w:val="false"/>
          <w:i w:val="false"/>
          <w:iCs w:val="false"/>
          <w:sz w:val="24"/>
          <w:szCs w:val="24"/>
        </w:rPr>
        <w:t xml:space="preserve"> power for subgroup contrasts, which is the binding constraint rather than the within-subjects contrasts. Comparable published studies used substantially smaller samples — 50 [19], 40 [38], 35 [13], 33 and 20–50 for ocular-marker studies [26–29] — so n ≈ 100 is generous for the primary contrasts and appropriate for the moderation analysis.</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3.3.2 Sampling strategy</w:t>
      </w:r>
    </w:p>
    <w:p>
      <w:pPr>
        <w:spacing w:after="150" w:line="360"/>
        <w:jc w:val="both"/>
      </w:pPr>
      <w:r>
        <w:rPr>
          <w:rFonts w:ascii="Times New Roman" w:cs="Times New Roman" w:eastAsia="Times New Roman" w:hAnsi="Times New Roman"/>
          <w:b w:val="false"/>
          <w:bCs w:val="false"/>
          <w:i w:val="false"/>
          <w:iCs w:val="false"/>
          <w:sz w:val="24"/>
          <w:szCs w:val="24"/>
        </w:rPr>
        <w:t xml:space="preserve">Purposive homogeneous sampling to ensure consistency of cognitive, visual and digital-exposure characteristics. Infinite-population sampling formulae (of the form n = Z²pq/e²) are </w:t>
      </w:r>
      <w:r>
        <w:rPr>
          <w:rFonts w:ascii="Times New Roman" w:cs="Times New Roman" w:eastAsia="Times New Roman" w:hAnsi="Times New Roman"/>
          <w:b/>
          <w:bCs/>
          <w:i w:val="false"/>
          <w:iCs w:val="false"/>
          <w:sz w:val="24"/>
          <w:szCs w:val="24"/>
        </w:rPr>
        <w:t xml:space="preserve">not applicable</w:t>
      </w:r>
      <w:r>
        <w:rPr>
          <w:rFonts w:ascii="Times New Roman" w:cs="Times New Roman" w:eastAsia="Times New Roman" w:hAnsi="Times New Roman"/>
          <w:b w:val="false"/>
          <w:bCs w:val="false"/>
          <w:i w:val="false"/>
          <w:iCs w:val="false"/>
          <w:sz w:val="24"/>
          <w:szCs w:val="24"/>
        </w:rPr>
        <w:t xml:space="preserve">, as the study is a controlled repeated-measures experiment with a finite, purposively selected group in which each participant serves as their own control, and no population prevalence is being estimated.</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3.3.3 Eligibility criteria</w:t>
      </w:r>
    </w:p>
    <w:p>
      <w:pPr>
        <w:spacing w:after="150" w:line="360"/>
        <w:jc w:val="both"/>
      </w:pPr>
      <w:r>
        <w:rPr>
          <w:rFonts w:ascii="Times New Roman" w:cs="Times New Roman" w:eastAsia="Times New Roman" w:hAnsi="Times New Roman"/>
          <w:b/>
          <w:bCs/>
          <w:i w:val="false"/>
          <w:iCs w:val="false"/>
          <w:sz w:val="24"/>
          <w:szCs w:val="24"/>
        </w:rPr>
        <w:t xml:space="preserve">Inclusion:</w:t>
      </w:r>
      <w:r>
        <w:rPr>
          <w:rFonts w:ascii="Times New Roman" w:cs="Times New Roman" w:eastAsia="Times New Roman" w:hAnsi="Times New Roman"/>
          <w:b w:val="false"/>
          <w:bCs w:val="false"/>
          <w:i w:val="false"/>
          <w:iCs w:val="false"/>
          <w:sz w:val="24"/>
          <w:szCs w:val="24"/>
        </w:rPr>
        <w:t xml:space="preserve"> age 18–35 years; distance visual acuity 6/6 or better, with or without correction; habitual screen use ≥ 4 hours per day; no known ocular, systemic or neurological illness; able to give informed consent.</w:t>
      </w:r>
    </w:p>
    <w:p>
      <w:pPr>
        <w:spacing w:after="150" w:line="360"/>
        <w:jc w:val="both"/>
      </w:pPr>
      <w:r>
        <w:rPr>
          <w:rFonts w:ascii="Times New Roman" w:cs="Times New Roman" w:eastAsia="Times New Roman" w:hAnsi="Times New Roman"/>
          <w:b/>
          <w:bCs/>
          <w:i w:val="false"/>
          <w:iCs w:val="false"/>
          <w:sz w:val="24"/>
          <w:szCs w:val="24"/>
        </w:rPr>
        <w:t xml:space="preserve">Exclusion:</w:t>
      </w:r>
      <w:r>
        <w:rPr>
          <w:rFonts w:ascii="Times New Roman" w:cs="Times New Roman" w:eastAsia="Times New Roman" w:hAnsi="Times New Roman"/>
          <w:b w:val="false"/>
          <w:bCs w:val="false"/>
          <w:i w:val="false"/>
          <w:iCs w:val="false"/>
          <w:sz w:val="24"/>
          <w:szCs w:val="24"/>
        </w:rPr>
        <w:t xml:space="preserve"> refractive error exceeding ± 3.00 D; manifest binocular vision disorder; colour-vision deficiency on screening; history of photosensitivity or migraine; medications affecting vision, accommodation or tear film; diagnosed learning or psychiatric disorder; contact-lens wear on test days; ocular surgery within six months.</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3.3.4 Screening</w:t>
      </w:r>
    </w:p>
    <w:p>
      <w:pPr>
        <w:spacing w:after="150" w:line="360"/>
        <w:jc w:val="both"/>
      </w:pPr>
      <w:r>
        <w:rPr>
          <w:rFonts w:ascii="Times New Roman" w:cs="Times New Roman" w:eastAsia="Times New Roman" w:hAnsi="Times New Roman"/>
          <w:b w:val="false"/>
          <w:bCs w:val="false"/>
          <w:i w:val="false"/>
          <w:iCs w:val="false"/>
          <w:sz w:val="24"/>
          <w:szCs w:val="24"/>
        </w:rPr>
        <w:t xml:space="preserve">Distance and near visual acuity; non-cycloplegic refraction; cover test and near point of convergence for binocular status; and </w:t>
      </w:r>
      <w:r>
        <w:rPr>
          <w:rFonts w:ascii="Times New Roman" w:cs="Times New Roman" w:eastAsia="Times New Roman" w:hAnsi="Times New Roman"/>
          <w:b/>
          <w:bCs/>
          <w:i w:val="false"/>
          <w:iCs w:val="false"/>
          <w:sz w:val="24"/>
          <w:szCs w:val="24"/>
        </w:rPr>
        <w:t xml:space="preserve">colour-vision screening</w:t>
      </w:r>
      <w:r>
        <w:rPr>
          <w:rFonts w:ascii="Times New Roman" w:cs="Times New Roman" w:eastAsia="Times New Roman" w:hAnsi="Times New Roman"/>
          <w:b w:val="false"/>
          <w:bCs w:val="false"/>
          <w:i w:val="false"/>
          <w:iCs w:val="false"/>
          <w:sz w:val="24"/>
          <w:szCs w:val="24"/>
        </w:rPr>
        <w:t xml:space="preserve"> using Ishihara plates presented on the study display. Digital presentation is supported: on a calibrated PC monitor, sensitivity was 94.4% and specificity 82.4%; on a smartphone display, sensitivity 96.0% and specificity 94.7%, with no significant difference between presentation modes (p &gt; 0.05) [33]. Screening outcomes are recorded as covariates; screening is a group-screening aid and not a clinical diagnosis.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3.4 Participant profiling</w:t>
      </w:r>
    </w:p>
    <w:p>
      <w:pPr>
        <w:spacing w:after="150" w:line="360"/>
        <w:jc w:val="both"/>
      </w:pPr>
      <w:r>
        <w:rPr>
          <w:rFonts w:ascii="Times New Roman" w:cs="Times New Roman" w:eastAsia="Times New Roman" w:hAnsi="Times New Roman"/>
          <w:b w:val="false"/>
          <w:bCs w:val="false"/>
          <w:i w:val="false"/>
          <w:iCs w:val="false"/>
          <w:sz w:val="24"/>
          <w:szCs w:val="24"/>
        </w:rPr>
        <w:t xml:space="preserve">Administered before the first session, to support Objective 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745"/>
        <w:gridCol w:w="4326"/>
      </w:tblGrid>
      <w:tr>
        <w:trPr>
          <w:tblHeader/>
        </w:trPr>
        <w:tc>
          <w:tcPr>
            <w:tcW w:type="dxa" w:w="4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Dimension</w:t>
            </w:r>
          </w:p>
        </w:tc>
        <w:tc>
          <w:tcPr>
            <w:tcW w:type="dxa" w:w="432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Purpose</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display-mode preference (dark vs light mode)</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Tests whether habituation moderates polarity effects</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daily screen exposure (hours; occupational vs recreational)</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Indexes chronic exposure</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Typical ambient-lighting environment</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Tests whether habitual lighting moderates illumination effects</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Familiarity with coloured text/UI elements</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Indexes interface familiarity</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Self-rated digital literacy</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Controls interface-competence variance</w:t>
            </w:r>
          </w:p>
        </w:tc>
      </w:tr>
      <w:tr>
        <w:tc>
          <w:tcPr>
            <w:tcW w:type="dxa" w:w="4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Hours since waking; caffeine intake in preceding 4 hours</w:t>
            </w:r>
          </w:p>
        </w:tc>
        <w:tc>
          <w:tcPr>
            <w:tcW w:type="dxa" w:w="4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Sleepiness and alertness confounders</w:t>
            </w:r>
          </w:p>
        </w:tc>
      </w:tr>
    </w:tbl>
    <w:p>
      <w:pPr>
        <w:spacing w:after="220"/>
      </w:pPr>
      <w:r>
        <w:rPr>
          <w:sz w:val="12"/>
          <w:szCs w:val="12"/>
        </w:rPr>
        <w:t xml:space="preserve"/>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3.5 Variables</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3.5.1 Independent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419"/>
        <w:gridCol w:w="6652"/>
      </w:tblGrid>
      <w:tr>
        <w:trPr>
          <w:tblHeader/>
        </w:trPr>
        <w:tc>
          <w:tcPr>
            <w:tcW w:type="dxa" w:w="24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Variable</w:t>
            </w:r>
          </w:p>
        </w:tc>
        <w:tc>
          <w:tcPr>
            <w:tcW w:type="dxa" w:w="665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Levels</w:t>
            </w:r>
          </w:p>
        </w:tc>
      </w:tr>
      <w:tr>
        <w:tc>
          <w:tcPr>
            <w:tcW w:type="dxa" w:w="24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polarity</w:t>
            </w:r>
          </w:p>
        </w:tc>
        <w:tc>
          <w:tcPr>
            <w:tcW w:type="dxa" w:w="665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(light background), Negative (dark background)</w:t>
            </w:r>
          </w:p>
        </w:tc>
      </w:tr>
      <w:tr>
        <w:tc>
          <w:tcPr>
            <w:tcW w:type="dxa" w:w="24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 colour</w:t>
            </w:r>
          </w:p>
        </w:tc>
        <w:tc>
          <w:tcPr>
            <w:tcW w:type="dxa" w:w="665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Blue, Red, Yellow, Green</w:t>
            </w:r>
          </w:p>
        </w:tc>
      </w:tr>
      <w:tr>
        <w:tc>
          <w:tcPr>
            <w:tcW w:type="dxa" w:w="24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illumination</w:t>
            </w:r>
          </w:p>
        </w:tc>
        <w:tc>
          <w:tcPr>
            <w:tcW w:type="dxa" w:w="665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Dim (≈ 10 lux), Moderate (≈ 150 lux)</w:t>
            </w:r>
          </w:p>
        </w:tc>
      </w:tr>
    </w:tbl>
    <w:p>
      <w:pPr>
        <w:spacing w:after="220"/>
      </w:pPr>
      <w:r>
        <w:rPr>
          <w:sz w:val="12"/>
          <w:szCs w:val="12"/>
        </w:rPr>
        <w:t xml:space="preserve"/>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3.5.2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1660"/>
        <w:gridCol w:w="4743"/>
        <w:gridCol w:w="650"/>
        <w:gridCol w:w="2018"/>
      </w:tblGrid>
      <w:tr>
        <w:trPr>
          <w:tblHeader/>
        </w:trPr>
        <w:tc>
          <w:tcPr>
            <w:tcW w:type="dxa" w:w="166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Domain</w:t>
            </w:r>
          </w:p>
        </w:tc>
        <w:tc>
          <w:tcPr>
            <w:tcW w:type="dxa" w:w="474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w:t>
            </w:r>
          </w:p>
        </w:tc>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Type</w:t>
            </w:r>
          </w:p>
        </w:tc>
        <w:tc>
          <w:tcPr>
            <w:tcW w:type="dxa" w:w="201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Instrument</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behaviour (primary)</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Webcam facial-landmark EAR analysis</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behaviour</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inter-blink interval and its variability; first/second-half within-condition bins</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As above</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(covariate)</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long-closure events</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As above</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Head/posture QC</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Head pitch/yaw/roll; postural load; stability; face-presence ratio</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As above</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 fatigue (primary)</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CVS-Q score and change from baseline</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CVS-Q (16 items) [23]</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 fatigue</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5-item visual-fatigue visual analogue scale (0–10), per condition</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VAS</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Perceived display quality</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comfort; text clarity (0–100), per condition</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Rating sliders</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Cognitive workload</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NASA-TLX (6 dimensions), once per session</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NASA-TLX [40]</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performance</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time; derived reading rate (words/min)</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Application log</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Comprehension</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Accuracy on multiple-choice items; response time</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Application log</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 search</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Targets found/missed; false detections; accuracy; search efficiency; time to first target</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Application log</w:t>
            </w:r>
          </w:p>
        </w:tc>
      </w:tr>
      <w:tr>
        <w:tc>
          <w:tcPr>
            <w:tcW w:type="dxa" w:w="166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 attention</w:t>
            </w:r>
          </w:p>
        </w:tc>
        <w:tc>
          <w:tcPr>
            <w:tcW w:type="dxa" w:w="474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Reaction-time mean, median, SD and coefficient of variation; lapse rate; anticipations; inverse efficiency; sensitivity d′ and criterion c</w:t>
            </w:r>
          </w:p>
        </w:tc>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w:t>
            </w:r>
          </w:p>
        </w:tc>
        <w:tc>
          <w:tcPr>
            <w:tcW w:type="dxa" w:w="201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Go/no-go task</w:t>
            </w:r>
          </w:p>
        </w:tc>
      </w:tr>
    </w:tbl>
    <w:p>
      <w:pPr>
        <w:spacing w:after="220"/>
      </w:pPr>
      <w:r>
        <w:rPr>
          <w:sz w:val="12"/>
          <w:szCs w:val="12"/>
        </w:rPr>
        <w:t xml:space="preserve"/>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3.5.3 Covariates</w:t>
      </w:r>
    </w:p>
    <w:p>
      <w:pPr>
        <w:spacing w:after="150" w:line="360"/>
        <w:jc w:val="both"/>
      </w:pPr>
      <w:r>
        <w:rPr>
          <w:rFonts w:ascii="Times New Roman" w:cs="Times New Roman" w:eastAsia="Times New Roman" w:hAnsi="Times New Roman"/>
          <w:b w:val="false"/>
          <w:bCs w:val="false"/>
          <w:i w:val="false"/>
          <w:iCs w:val="false"/>
          <w:sz w:val="24"/>
          <w:szCs w:val="24"/>
        </w:rPr>
        <w:t xml:space="preserve">Serial position within session; illumination order; session index; ambient illuminance (measured, lux); display white-point luminance (measured, cd/m²); WCAG contrast ratio and Michelson contrast per condition; PERCLOS; achieved effective sampling rate; refractive and binocular status; and the profiling variables of §3.4.</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3.6 Display conditions and photometric characterisation</w:t>
      </w:r>
    </w:p>
    <w:p>
      <w:pPr>
        <w:spacing w:after="150" w:line="360"/>
        <w:jc w:val="both"/>
      </w:pPr>
      <w:r>
        <w:rPr>
          <w:rFonts w:ascii="Times New Roman" w:cs="Times New Roman" w:eastAsia="Times New Roman" w:hAnsi="Times New Roman"/>
          <w:b w:val="false"/>
          <w:bCs w:val="false"/>
          <w:i w:val="false"/>
          <w:iCs w:val="false"/>
          <w:sz w:val="24"/>
          <w:szCs w:val="24"/>
        </w:rPr>
        <w:t xml:space="preserve">All conditions will be presented on a single fixed tablet device at a standardised viewing distance of 50–60 cm, with display brightness fixed, automatic brightness and any blue-light/night-shift filter disabled, and the screen cleaned before each session. Display white-point luminance will be </w:t>
      </w:r>
      <w:r>
        <w:rPr>
          <w:rFonts w:ascii="Times New Roman" w:cs="Times New Roman" w:eastAsia="Times New Roman" w:hAnsi="Times New Roman"/>
          <w:b/>
          <w:bCs/>
          <w:i w:val="false"/>
          <w:iCs w:val="false"/>
          <w:sz w:val="24"/>
          <w:szCs w:val="24"/>
        </w:rPr>
        <w:t xml:space="preserve">measured photometrically</w:t>
      </w:r>
      <w:r>
        <w:rPr>
          <w:rFonts w:ascii="Times New Roman" w:cs="Times New Roman" w:eastAsia="Times New Roman" w:hAnsi="Times New Roman"/>
          <w:b w:val="false"/>
          <w:bCs w:val="false"/>
          <w:i w:val="false"/>
          <w:iCs w:val="false"/>
          <w:sz w:val="24"/>
          <w:szCs w:val="24"/>
        </w:rPr>
        <w:t xml:space="preserve"> (cd/m²) and recorded per session; a working target of approximately 120–150 cd/m² is adopted, informed by the optimum of 153 cd/m² determined under 300 lx office lighting [39] and scaled for the lower domestic illuminance used here.</w:t>
      </w:r>
    </w:p>
    <w:p>
      <w:pPr>
        <w:spacing w:after="150" w:line="360"/>
        <w:jc w:val="both"/>
      </w:pPr>
      <w:r>
        <w:rPr>
          <w:rFonts w:ascii="Times New Roman" w:cs="Times New Roman" w:eastAsia="Times New Roman" w:hAnsi="Times New Roman"/>
          <w:b w:val="false"/>
          <w:bCs w:val="false"/>
          <w:i w:val="false"/>
          <w:iCs w:val="false"/>
          <w:sz w:val="24"/>
          <w:szCs w:val="24"/>
        </w:rPr>
        <w:t xml:space="preserve">Text will be rendered at a fixed size, weight, typeface, line height and margin across all conditions, so that polarity and colour are the only stimulus properties varying. Contrast metrics are computed from linearised sRGB relative luminance per the accessibility standard [36].</w:t>
      </w:r>
    </w:p>
    <w:p>
      <w:pPr>
        <w:spacing w:after="150" w:line="360"/>
        <w:jc w:val="both"/>
      </w:pPr>
      <w:r>
        <w:rPr>
          <w:rFonts w:ascii="Times New Roman" w:cs="Times New Roman" w:eastAsia="Times New Roman" w:hAnsi="Times New Roman"/>
          <w:b/>
          <w:bCs/>
          <w:i w:val="false"/>
          <w:iCs w:val="false"/>
          <w:sz w:val="24"/>
          <w:szCs w:val="24"/>
        </w:rPr>
        <w:t xml:space="preserve">Table 3.2 — The 10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25"/>
        <w:gridCol w:w="1037"/>
        <w:gridCol w:w="1296"/>
        <w:gridCol w:w="1296"/>
        <w:gridCol w:w="1296"/>
        <w:gridCol w:w="1166"/>
        <w:gridCol w:w="905"/>
      </w:tblGrid>
      <w:tr>
        <w:trPr>
          <w:tblHeader/>
        </w:trPr>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2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29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29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29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level</w:t>
            </w:r>
          </w:p>
        </w:tc>
        <w:tc>
          <w:tcPr>
            <w:tcW w:type="dxa" w:w="11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Michelson</w:t>
            </w:r>
          </w:p>
        </w:tc>
        <w:tc>
          <w:tcPr>
            <w:tcW w:type="dxa" w:w="90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0.807</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0.765</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0.439</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Yes</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0.564</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Yes</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Yes</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Yes</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29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0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20"/>
      </w:pPr>
      <w:r>
        <w:rPr>
          <w:sz w:val="12"/>
          <w:szCs w:val="12"/>
        </w:rPr>
        <w:t xml:space="preserve"/>
      </w:r>
    </w:p>
    <w:p>
      <w:pPr>
        <w:spacing w:after="150" w:line="360"/>
        <w:jc w:val="both"/>
      </w:pPr>
      <w:r>
        <w:rPr>
          <w:rFonts w:ascii="Times New Roman" w:cs="Times New Roman" w:eastAsia="Times New Roman" w:hAnsi="Times New Roman"/>
          <w:b w:val="false"/>
          <w:bCs w:val="false"/>
          <w:i w:val="false"/>
          <w:iCs w:val="false"/>
          <w:sz w:val="24"/>
          <w:szCs w:val="24"/>
        </w:rPr>
        <w:t xml:space="preserve">Three design properties of this matrix are analytically important.</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The contrast ordering reverses across polarity.</w:t>
      </w:r>
      <w:r>
        <w:rPr>
          <w:rFonts w:ascii="Times New Roman" w:cs="Times New Roman" w:eastAsia="Times New Roman" w:hAnsi="Times New Roman"/>
          <w:b w:val="false"/>
          <w:bCs w:val="false"/>
          <w:i w:val="false"/>
          <w:iCs w:val="false"/>
          <w:sz w:val="24"/>
          <w:szCs w:val="24"/>
        </w:rPr>
        <w:t xml:space="preserve"> Blue and red are high-contrast on white but fall below the accessibility minimum on black; yellow and green show the converse. The polarity × colour interaction therefore functions as a </w:t>
      </w:r>
      <w:r>
        <w:rPr>
          <w:rFonts w:ascii="Times New Roman" w:cs="Times New Roman" w:eastAsia="Times New Roman" w:hAnsi="Times New Roman"/>
          <w:b/>
          <w:bCs/>
          <w:i w:val="false"/>
          <w:iCs w:val="false"/>
          <w:sz w:val="24"/>
          <w:szCs w:val="24"/>
        </w:rPr>
        <w:t xml:space="preserve">direct test of hue versus luminance contrast</w:t>
      </w:r>
      <w:r>
        <w:rPr>
          <w:rFonts w:ascii="Times New Roman" w:cs="Times New Roman" w:eastAsia="Times New Roman" w:hAnsi="Times New Roman"/>
          <w:b w:val="false"/>
          <w:bCs w:val="false"/>
          <w:i w:val="false"/>
          <w:iCs w:val="false"/>
          <w:sz w:val="24"/>
          <w:szCs w:val="24"/>
        </w:rPr>
        <w:t xml:space="preserve"> (H₂), which no single-polarity design can provide.</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Sub-minimum conditions are balanced across polarity</w:t>
      </w:r>
      <w:r>
        <w:rPr>
          <w:rFonts w:ascii="Times New Roman" w:cs="Times New Roman" w:eastAsia="Times New Roman" w:hAnsi="Times New Roman"/>
          <w:b w:val="false"/>
          <w:bCs w:val="false"/>
          <w:i w:val="false"/>
          <w:iCs w:val="false"/>
          <w:sz w:val="24"/>
          <w:szCs w:val="24"/>
        </w:rPr>
        <w:t xml:space="preserve"> (two per polarity), so polarity is not systematically confounded with accessibility compliance.</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Michelson contrast is degenerate under negative polarity.</w:t>
      </w:r>
      <w:r>
        <w:rPr>
          <w:rFonts w:ascii="Times New Roman" w:cs="Times New Roman" w:eastAsia="Times New Roman" w:hAnsi="Times New Roman"/>
          <w:b w:val="false"/>
          <w:bCs w:val="false"/>
          <w:i w:val="false"/>
          <w:iCs w:val="false"/>
          <w:sz w:val="24"/>
          <w:szCs w:val="24"/>
        </w:rPr>
        <w:t xml:space="preserve"> With a pure-black background, minimum luminance is zero and Michelson contrast saturates at 1.000 for every colour, so it cannot discriminate negative-polarity conditions. This is itself a metrological finding: it requires that the WCAG ratio (and, ideally, measured photometry) rather than Michelson contrast serve as the analytic contrast variable, and it reinforces the argument that a polarity-blind or luminance-insensitive metric is inadequate for dark-mode interfaces [36,37].</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3.7 Ambient illumination conditions</w:t>
      </w:r>
    </w:p>
    <w:p>
      <w:pPr>
        <w:spacing w:after="150" w:line="360"/>
        <w:jc w:val="both"/>
      </w:pPr>
      <w:r>
        <w:rPr>
          <w:rFonts w:ascii="Times New Roman" w:cs="Times New Roman" w:eastAsia="Times New Roman" w:hAnsi="Times New Roman"/>
          <w:b w:val="false"/>
          <w:bCs w:val="false"/>
          <w:i w:val="false"/>
          <w:iCs w:val="false"/>
          <w:sz w:val="24"/>
          <w:szCs w:val="24"/>
        </w:rPr>
        <w:t xml:space="preserve">Ambient illuminance will be set and verified at the participant's eye position and at the display plane using a calibrated lux meter, logged at the start, middle and end of each session.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22"/>
        <w:gridCol w:w="1284"/>
        <w:gridCol w:w="6415"/>
      </w:tblGrid>
      <w:tr>
        <w:trPr>
          <w:tblHeader/>
        </w:trPr>
        <w:tc>
          <w:tcPr>
            <w:tcW w:type="dxa" w:w="6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72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Target</w:t>
            </w:r>
          </w:p>
        </w:tc>
        <w:tc>
          <w:tcPr>
            <w:tcW w:type="dxa" w:w="128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Acceptable range</w:t>
            </w:r>
          </w:p>
        </w:tc>
        <w:tc>
          <w:tcPr>
            <w:tcW w:type="dxa" w:w="64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Rationale</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Dim</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 10 lux</w:t>
            </w:r>
          </w:p>
        </w:tc>
        <w:tc>
          <w:tcPr>
            <w:tcW w:type="dxa" w:w="128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5–15 lux</w:t>
            </w:r>
          </w:p>
        </w:tc>
        <w:tc>
          <w:tcPr>
            <w:tcW w:type="dxa" w:w="64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Represents night-time and low-light domestic device use; well below the 40–50 lux threshold at which negative-polarity penalties are reported to emerge, and comparable to the low-illumination and near-dark conditions used in prior polarity work [15,19]</w:t>
            </w:r>
          </w:p>
        </w:tc>
      </w:tr>
      <w:tr>
        <w:tc>
          <w:tcPr>
            <w:tcW w:type="dxa" w:w="65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Moderate</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 150 lux</w:t>
            </w:r>
          </w:p>
        </w:tc>
        <w:tc>
          <w:tcPr>
            <w:tcW w:type="dxa" w:w="128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130–170 lux</w:t>
            </w:r>
          </w:p>
        </w:tc>
        <w:tc>
          <w:tcPr>
            <w:tcW w:type="dxa" w:w="64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Represents general indoor domestic (living-room) ambient lighting, deliberately </w:t>
            </w:r>
            <w:r>
              <w:rPr>
                <w:rFonts w:ascii="Times New Roman" w:cs="Times New Roman" w:eastAsia="Times New Roman" w:hAnsi="Times New Roman"/>
                <w:b/>
                <w:bCs/>
                <w:i w:val="false"/>
                <w:iCs w:val="false"/>
                <w:sz w:val="20"/>
                <w:szCs w:val="20"/>
              </w:rPr>
              <w:t xml:space="preserve">below</w:t>
            </w:r>
            <w:r>
              <w:rPr>
                <w:rFonts w:ascii="Times New Roman" w:cs="Times New Roman" w:eastAsia="Times New Roman" w:hAnsi="Times New Roman"/>
                <w:b w:val="false"/>
                <w:bCs w:val="false"/>
                <w:i w:val="false"/>
                <w:iCs w:val="false"/>
                <w:sz w:val="20"/>
                <w:szCs w:val="20"/>
              </w:rPr>
              <w:t xml:space="preserve"> the ~300 lx office-lighting level used as reference in contemporary visual-ergonomic optimisation [39] and below the 300–500 lx range specified for office task work in interior-lighting standards</w:t>
            </w:r>
          </w:p>
        </w:tc>
      </w:tr>
    </w:tbl>
    <w:p>
      <w:pPr>
        <w:spacing w:after="220"/>
      </w:pPr>
      <w:r>
        <w:rPr>
          <w:sz w:val="12"/>
          <w:szCs w:val="12"/>
        </w:rPr>
        <w:t xml:space="preserve"/>
      </w:r>
    </w:p>
    <w:p>
      <w:pPr>
        <w:spacing w:after="150" w:line="360"/>
        <w:jc w:val="both"/>
      </w:pPr>
      <w:r>
        <w:rPr>
          <w:rFonts w:ascii="Times New Roman" w:cs="Times New Roman" w:eastAsia="Times New Roman" w:hAnsi="Times New Roman"/>
          <w:b w:val="false"/>
          <w:bCs w:val="false"/>
          <w:i w:val="false"/>
          <w:iCs w:val="false"/>
          <w:sz w:val="24"/>
          <w:szCs w:val="24"/>
        </w:rPr>
        <w:t xml:space="preserve">Correlated colour temperature and light-source type will be held constant across both levels, so that illuminance is the only varying photometric property of the room.</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3.8 Instrumentation</w:t>
      </w:r>
    </w:p>
    <w:p>
      <w:pPr>
        <w:spacing w:after="150" w:line="360"/>
        <w:jc w:val="both"/>
      </w:pPr>
      <w:r>
        <w:rPr>
          <w:rFonts w:ascii="Times New Roman" w:cs="Times New Roman" w:eastAsia="Times New Roman" w:hAnsi="Times New Roman"/>
          <w:b w:val="false"/>
          <w:bCs w:val="false"/>
          <w:i w:val="false"/>
          <w:iCs w:val="false"/>
          <w:sz w:val="24"/>
          <w:szCs w:val="24"/>
        </w:rPr>
        <w:t xml:space="preserve">A purpose-built, offline-capable </w:t>
      </w:r>
      <w:r>
        <w:rPr>
          <w:rFonts w:ascii="Times New Roman" w:cs="Times New Roman" w:eastAsia="Times New Roman" w:hAnsi="Times New Roman"/>
          <w:b/>
          <w:bCs/>
          <w:i w:val="false"/>
          <w:iCs w:val="false"/>
          <w:sz w:val="24"/>
          <w:szCs w:val="24"/>
        </w:rPr>
        <w:t xml:space="preserve">tablet application (progressive web application)</w:t>
      </w:r>
      <w:r>
        <w:rPr>
          <w:rFonts w:ascii="Times New Roman" w:cs="Times New Roman" w:eastAsia="Times New Roman" w:hAnsi="Times New Roman"/>
          <w:b w:val="false"/>
          <w:bCs w:val="false"/>
          <w:i w:val="false"/>
          <w:iCs w:val="false"/>
          <w:sz w:val="24"/>
          <w:szCs w:val="24"/>
        </w:rPr>
        <w:t xml:space="preserve"> will administer the entire protocol, ensuring standardised stimulus presentation, timing and data capture. Its functions are:</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Stimulus presentation</w:t>
      </w:r>
      <w:r>
        <w:rPr>
          <w:rFonts w:ascii="Times New Roman" w:cs="Times New Roman" w:eastAsia="Times New Roman" w:hAnsi="Times New Roman"/>
          <w:b w:val="false"/>
          <w:bCs w:val="false"/>
          <w:i w:val="false"/>
          <w:iCs w:val="false"/>
          <w:sz w:val="24"/>
          <w:szCs w:val="24"/>
        </w:rPr>
        <w:t xml:space="preserve"> — the 10 display conditions with locked colour values, fixed typography, and a neutral grey adaptation field between conditions.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Task administration</w:t>
      </w:r>
      <w:r>
        <w:rPr>
          <w:rFonts w:ascii="Times New Roman" w:cs="Times New Roman" w:eastAsia="Times New Roman" w:hAnsi="Times New Roman"/>
          <w:b w:val="false"/>
          <w:bCs w:val="false"/>
          <w:i w:val="false"/>
          <w:iCs w:val="false"/>
          <w:sz w:val="24"/>
          <w:szCs w:val="24"/>
        </w:rPr>
        <w:t xml:space="preserve"> — reading, comprehension, visual search and go/no-go tasks with frame-accurate onset timestamping and hardware-timestamped responses.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Objective ocular measurement</w:t>
      </w:r>
      <w:r>
        <w:rPr>
          <w:rFonts w:ascii="Times New Roman" w:cs="Times New Roman" w:eastAsia="Times New Roman" w:hAnsi="Times New Roman"/>
          <w:b w:val="false"/>
          <w:bCs w:val="false"/>
          <w:i w:val="false"/>
          <w:iCs w:val="false"/>
          <w:sz w:val="24"/>
          <w:szCs w:val="24"/>
        </w:rPr>
        <w:t xml:space="preserve"> — webcam facial-landmark tracking (dense face-mesh model) computing the eye aspect ratio per processed frame, from which blink events are classified by closure depth into complete and incomplete blinks, yielding blink rate, </w:t>
      </w:r>
      <w:r>
        <w:rPr>
          <w:rFonts w:ascii="Times New Roman" w:cs="Times New Roman" w:eastAsia="Times New Roman" w:hAnsi="Times New Roman"/>
          <w:b/>
          <w:bCs/>
          <w:i w:val="false"/>
          <w:iCs w:val="false"/>
          <w:sz w:val="24"/>
          <w:szCs w:val="24"/>
        </w:rPr>
        <w:t xml:space="preserve">incomplete-blink ratio</w:t>
      </w:r>
      <w:r>
        <w:rPr>
          <w:rFonts w:ascii="Times New Roman" w:cs="Times New Roman" w:eastAsia="Times New Roman" w:hAnsi="Times New Roman"/>
          <w:b w:val="false"/>
          <w:bCs w:val="false"/>
          <w:i w:val="false"/>
          <w:iCs w:val="false"/>
          <w:sz w:val="24"/>
          <w:szCs w:val="24"/>
        </w:rPr>
        <w:t xml:space="preserve">, inter-blink interval and variability, PERCLOS and long-closure events, together with head-pose and gaze-zone estimates.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Per-participant calibration</w:t>
      </w:r>
      <w:r>
        <w:rPr>
          <w:rFonts w:ascii="Times New Roman" w:cs="Times New Roman" w:eastAsia="Times New Roman" w:hAnsi="Times New Roman"/>
          <w:b w:val="false"/>
          <w:bCs w:val="false"/>
          <w:i w:val="false"/>
          <w:iCs w:val="false"/>
          <w:sz w:val="24"/>
          <w:szCs w:val="24"/>
        </w:rPr>
        <w:t xml:space="preserve"> — an open-eye EAR baseline, a nine-point gaze calibration, and a frontal head-pose baseline, so that ocular metrics are referenced to the individual rather than to population defaults.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Quality control as recorded data</w:t>
      </w:r>
      <w:r>
        <w:rPr>
          <w:rFonts w:ascii="Times New Roman" w:cs="Times New Roman" w:eastAsia="Times New Roman" w:hAnsi="Times New Roman"/>
          <w:b w:val="false"/>
          <w:bCs w:val="false"/>
          <w:i w:val="false"/>
          <w:iCs w:val="false"/>
          <w:sz w:val="24"/>
          <w:szCs w:val="24"/>
        </w:rPr>
        <w:t xml:space="preserve"> — achieved effective sampling rate, face-presence ratio, mean frame luminance and lighting-quality band, head-stability indices, and engagement/careless-responding flags; duration-dependent blink metrics are automatically gated on achieved sampling rate.</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Data integrity and provenance</w:t>
      </w:r>
      <w:r>
        <w:rPr>
          <w:rFonts w:ascii="Times New Roman" w:cs="Times New Roman" w:eastAsia="Times New Roman" w:hAnsi="Times New Roman"/>
          <w:b w:val="false"/>
          <w:bCs w:val="false"/>
          <w:i w:val="false"/>
          <w:iCs w:val="false"/>
          <w:sz w:val="24"/>
          <w:szCs w:val="24"/>
        </w:rPr>
        <w:t xml:space="preserve"> — immediate on-device persistence of every measure, and export stamped with application version, condition-definition hash and per-file checksums.</w:t>
      </w:r>
    </w:p>
    <w:p>
      <w:pPr>
        <w:spacing w:after="150" w:line="360"/>
        <w:jc w:val="both"/>
      </w:pPr>
      <w:r>
        <w:rPr>
          <w:rFonts w:ascii="Times New Roman" w:cs="Times New Roman" w:eastAsia="Times New Roman" w:hAnsi="Times New Roman"/>
          <w:b w:val="false"/>
          <w:bCs w:val="false"/>
          <w:i w:val="false"/>
          <w:iCs w:val="false"/>
          <w:sz w:val="24"/>
          <w:szCs w:val="24"/>
        </w:rPr>
        <w:t xml:space="preserve">All camera processing occurs </w:t>
      </w:r>
      <w:r>
        <w:rPr>
          <w:rFonts w:ascii="Times New Roman" w:cs="Times New Roman" w:eastAsia="Times New Roman" w:hAnsi="Times New Roman"/>
          <w:b/>
          <w:bCs/>
          <w:i w:val="false"/>
          <w:iCs w:val="false"/>
          <w:sz w:val="24"/>
          <w:szCs w:val="24"/>
        </w:rPr>
        <w:t xml:space="preserve">on-device</w:t>
      </w:r>
      <w:r>
        <w:rPr>
          <w:rFonts w:ascii="Times New Roman" w:cs="Times New Roman" w:eastAsia="Times New Roman" w:hAnsi="Times New Roman"/>
          <w:b w:val="false"/>
          <w:bCs w:val="false"/>
          <w:i w:val="false"/>
          <w:iCs w:val="false"/>
          <w:sz w:val="24"/>
          <w:szCs w:val="24"/>
        </w:rPr>
        <w:t xml:space="preserve">; no video is transmitted or retained. Camera-based measurement is separately consented, and the protocol proceeds with camera metrics disabled if consent is withheld.</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3.9 Task battery and procedure</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3.9.1 Per-condition sequence</w:t>
      </w:r>
    </w:p>
    <w:p>
      <w:pPr>
        <w:spacing w:after="150" w:line="360"/>
        <w:jc w:val="both"/>
      </w:pPr>
      <w:r>
        <w:rPr>
          <w:rFonts w:ascii="Times New Roman" w:cs="Times New Roman" w:eastAsia="Times New Roman" w:hAnsi="Times New Roman"/>
          <w:b w:val="false"/>
          <w:bCs w:val="false"/>
          <w:i w:val="false"/>
          <w:iCs w:val="false"/>
          <w:sz w:val="24"/>
          <w:szCs w:val="24"/>
        </w:rPr>
        <w:t xml:space="preserve">Each of the 10 conditions within a session comprises: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Adaptation</w:t>
      </w:r>
      <w:r>
        <w:rPr>
          <w:rFonts w:ascii="Times New Roman" w:cs="Times New Roman" w:eastAsia="Times New Roman" w:hAnsi="Times New Roman"/>
          <w:b w:val="false"/>
          <w:bCs w:val="false"/>
          <w:i w:val="false"/>
          <w:iCs w:val="false"/>
          <w:sz w:val="24"/>
          <w:szCs w:val="24"/>
        </w:rPr>
        <w:t xml:space="preserve"> — neutral grey field, 60 s (extended to 120 s when polarity switches relative to the preceding condition), to allow luminance re-adaptation.</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Reading task</w:t>
      </w:r>
      <w:r>
        <w:rPr>
          <w:rFonts w:ascii="Times New Roman" w:cs="Times New Roman" w:eastAsia="Times New Roman" w:hAnsi="Times New Roman"/>
          <w:b w:val="false"/>
          <w:bCs w:val="false"/>
          <w:i w:val="false"/>
          <w:iCs w:val="false"/>
          <w:sz w:val="24"/>
          <w:szCs w:val="24"/>
        </w:rPr>
        <w:t xml:space="preserve"> — a standardised passage rendered in the active condition, self-paced beyond a per-page minimum dwell. This is the exposure period and the eye-tracking window from which ocular metrics for that condition are derived. Reading time is logged and converted to reading rate using the passage word count.</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Comprehension</w:t>
      </w:r>
      <w:r>
        <w:rPr>
          <w:rFonts w:ascii="Times New Roman" w:cs="Times New Roman" w:eastAsia="Times New Roman" w:hAnsi="Times New Roman"/>
          <w:b w:val="false"/>
          <w:bCs w:val="false"/>
          <w:i w:val="false"/>
          <w:iCs w:val="false"/>
          <w:sz w:val="24"/>
          <w:szCs w:val="24"/>
        </w:rPr>
        <w:t xml:space="preserve"> — multiple-choice items on the passage just read, assessing gist, inference and detail; accuracy and response time recorded.</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Display perception</w:t>
      </w:r>
      <w:r>
        <w:rPr>
          <w:rFonts w:ascii="Times New Roman" w:cs="Times New Roman" w:eastAsia="Times New Roman" w:hAnsi="Times New Roman"/>
          <w:b w:val="false"/>
          <w:bCs w:val="false"/>
          <w:i w:val="false"/>
          <w:iCs w:val="false"/>
          <w:sz w:val="24"/>
          <w:szCs w:val="24"/>
        </w:rPr>
        <w:t xml:space="preserve"> — comfort and clarity ratings (0–100), captured immediately after reading while perception is fresh.</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Visual-fatigue VAS</w:t>
      </w:r>
      <w:r>
        <w:rPr>
          <w:rFonts w:ascii="Times New Roman" w:cs="Times New Roman" w:eastAsia="Times New Roman" w:hAnsi="Times New Roman"/>
          <w:b w:val="false"/>
          <w:bCs w:val="false"/>
          <w:i w:val="false"/>
          <w:iCs w:val="false"/>
          <w:sz w:val="24"/>
          <w:szCs w:val="24"/>
        </w:rPr>
        <w:t xml:space="preserve"> — 5 items (eye strain, dryness, blur, burning, headache), 0–10.</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Visual search</w:t>
      </w:r>
      <w:r>
        <w:rPr>
          <w:rFonts w:ascii="Times New Roman" w:cs="Times New Roman" w:eastAsia="Times New Roman" w:hAnsi="Times New Roman"/>
          <w:b w:val="false"/>
          <w:bCs w:val="false"/>
          <w:i w:val="false"/>
          <w:iCs w:val="false"/>
          <w:sz w:val="24"/>
          <w:szCs w:val="24"/>
        </w:rPr>
        <w:t xml:space="preserve"> — tapping every occurrence of a target word within the passage, with a fixed time limit; accuracy and efficiency recorded.</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Go/no-go reaction-time task</w:t>
      </w:r>
      <w:r>
        <w:rPr>
          <w:rFonts w:ascii="Times New Roman" w:cs="Times New Roman" w:eastAsia="Times New Roman" w:hAnsi="Times New Roman"/>
          <w:b w:val="false"/>
          <w:bCs w:val="false"/>
          <w:i w:val="false"/>
          <w:iCs w:val="false"/>
          <w:sz w:val="24"/>
          <w:szCs w:val="24"/>
        </w:rPr>
        <w:t xml:space="preserve"> — a single dot appears at a random screen location on the active condition's background; the participant responds only to the </w:t>
      </w:r>
      <w:r>
        <w:rPr>
          <w:rFonts w:ascii="Times New Roman" w:cs="Times New Roman" w:eastAsia="Times New Roman" w:hAnsi="Times New Roman"/>
          <w:b/>
          <w:bCs/>
          <w:i w:val="false"/>
          <w:iCs w:val="false"/>
          <w:sz w:val="24"/>
          <w:szCs w:val="24"/>
        </w:rPr>
        <w:t xml:space="preserve">target</w:t>
      </w:r>
      <w:r>
        <w:rPr>
          <w:rFonts w:ascii="Times New Roman" w:cs="Times New Roman" w:eastAsia="Times New Roman" w:hAnsi="Times New Roman"/>
          <w:b w:val="false"/>
          <w:bCs w:val="false"/>
          <w:i w:val="false"/>
          <w:iCs w:val="false"/>
          <w:sz w:val="24"/>
          <w:szCs w:val="24"/>
        </w:rPr>
        <w:t xml:space="preserve"> and withholds response to distractors.</w:t>
      </w:r>
    </w:p>
    <w:p>
      <w:pPr>
        <w:spacing w:after="150" w:line="360"/>
        <w:jc w:val="both"/>
      </w:pPr>
      <w:r>
        <w:rPr>
          <w:rFonts w:ascii="Times New Roman" w:cs="Times New Roman" w:eastAsia="Times New Roman" w:hAnsi="Times New Roman"/>
          <w:b w:val="false"/>
          <w:bCs w:val="false"/>
          <w:i w:val="false"/>
          <w:iCs w:val="false"/>
          <w:sz w:val="24"/>
          <w:szCs w:val="24"/>
        </w:rPr>
        <w:t xml:space="preserve">Passages will be matched for genre, length and readability, and </w:t>
      </w:r>
      <w:r>
        <w:rPr>
          <w:rFonts w:ascii="Times New Roman" w:cs="Times New Roman" w:eastAsia="Times New Roman" w:hAnsi="Times New Roman"/>
          <w:b/>
          <w:bCs/>
          <w:i w:val="false"/>
          <w:iCs w:val="false"/>
          <w:sz w:val="24"/>
          <w:szCs w:val="24"/>
        </w:rPr>
        <w:t xml:space="preserve">passage assignment will be counterbalanced independently of condition</w:t>
      </w:r>
      <w:r>
        <w:rPr>
          <w:rFonts w:ascii="Times New Roman" w:cs="Times New Roman" w:eastAsia="Times New Roman" w:hAnsi="Times New Roman"/>
          <w:b w:val="false"/>
          <w:bCs w:val="false"/>
          <w:i w:val="false"/>
          <w:iCs w:val="false"/>
          <w:sz w:val="24"/>
          <w:szCs w:val="24"/>
        </w:rPr>
        <w:t xml:space="preserve"> so that passage difficulty is orthogonal to display condition. A self-paced rest break is offered after every two completed conditions, and no performance feedback is given at any point, so that effort is not differentially modulated across conditions.</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3.9.2 Reaction-time target definition</w:t>
      </w:r>
    </w:p>
    <w:p>
      <w:pPr>
        <w:spacing w:after="150" w:line="360"/>
        <w:jc w:val="both"/>
      </w:pPr>
      <w:r>
        <w:rPr>
          <w:rFonts w:ascii="Times New Roman" w:cs="Times New Roman" w:eastAsia="Times New Roman" w:hAnsi="Times New Roman"/>
          <w:b w:val="false"/>
          <w:bCs w:val="false"/>
          <w:i w:val="false"/>
          <w:iCs w:val="false"/>
          <w:sz w:val="24"/>
          <w:szCs w:val="24"/>
        </w:rPr>
        <w:t xml:space="preserve">The go/no-go </w:t>
      </w:r>
      <w:r>
        <w:rPr>
          <w:rFonts w:ascii="Times New Roman" w:cs="Times New Roman" w:eastAsia="Times New Roman" w:hAnsi="Times New Roman"/>
          <w:b/>
          <w:bCs/>
          <w:i w:val="false"/>
          <w:iCs w:val="false"/>
          <w:sz w:val="24"/>
          <w:szCs w:val="24"/>
        </w:rPr>
        <w:t xml:space="preserve">target is achromatic and defined relative to the active background</w:t>
      </w:r>
      <w:r>
        <w:rPr>
          <w:rFonts w:ascii="Times New Roman" w:cs="Times New Roman" w:eastAsia="Times New Roman" w:hAnsi="Times New Roman"/>
          <w:b w:val="false"/>
          <w:bCs w:val="false"/>
          <w:i w:val="false"/>
          <w:iCs w:val="false"/>
          <w:sz w:val="24"/>
          <w:szCs w:val="24"/>
        </w:rPr>
        <w:t xml:space="preserve"> — black on light backgrounds, white on dark backgrounds — with the chromatic set (red, blue, yellow, green) serving as distractors. This ensures the target's luminance contrast against its background is maximal and identical in both polarities, so target salience does not vary with condition, and it removes any hue correspondence between the target and the text-colour manipulation. A consequence is that the discrimination is achromatic-target versus chromatic-distractor rather than hue-versus-hue; this simplifies the discrimination but preserves the fatigue-sensitive indices of the paradigm (reaction-time variability and lapse rate) [22], and the confound control is judged the more important consideration.</w:t>
      </w:r>
    </w:p>
    <w:p>
      <w:pPr>
        <w:pStyle w:val="Heading3"/>
        <w:keepNext/>
        <w:spacing w:after="180" w:before="280" w:line="360"/>
        <w:jc w:val="left"/>
      </w:pPr>
      <w:r>
        <w:rPr>
          <w:rFonts w:ascii="Times New Roman" w:cs="Times New Roman" w:eastAsia="Times New Roman" w:hAnsi="Times New Roman"/>
          <w:b/>
          <w:bCs/>
          <w:i w:val="false"/>
          <w:iCs w:val="false"/>
          <w:sz w:val="25"/>
          <w:szCs w:val="25"/>
        </w:rPr>
        <w:t xml:space="preserve">3.9.3 Session structure and timing</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5739"/>
        <w:gridCol w:w="1666"/>
        <w:gridCol w:w="1666"/>
      </w:tblGrid>
      <w:tr>
        <w:trPr>
          <w:tblHeader/>
        </w:trPr>
        <w:tc>
          <w:tcPr>
            <w:tcW w:type="dxa" w:w="57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Component</w:t>
            </w:r>
          </w:p>
        </w:tc>
        <w:tc>
          <w:tcPr>
            <w:tcW w:type="dxa" w:w="16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Session 1</w:t>
            </w:r>
          </w:p>
        </w:tc>
        <w:tc>
          <w:tcPr>
            <w:tcW w:type="dxa" w:w="16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Session 2</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Consent, screening, profiling</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Setup, seating, calibration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 min</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Baseline CVS-Q + fatigue VAS</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 min</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 conditions × ≈ 8.5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 85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 85 min</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Rest breaks (4 × 2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 min</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End-of-session CVS-Q + NASA-TLX</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 min</w:t>
            </w:r>
          </w:p>
        </w:tc>
      </w:tr>
      <w:tr>
        <w:tc>
          <w:tcPr>
            <w:tcW w:type="dxa" w:w="5739"/>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Approximate total</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 135 min</w:t>
            </w:r>
          </w:p>
        </w:tc>
        <w:tc>
          <w:tcPr>
            <w:tcW w:type="dxa" w:w="1666"/>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 115 min</w:t>
            </w:r>
          </w:p>
        </w:tc>
      </w:tr>
    </w:tbl>
    <w:p>
      <w:pPr>
        <w:spacing w:after="220"/>
      </w:pPr>
      <w:r>
        <w:rPr>
          <w:sz w:val="12"/>
          <w:szCs w:val="12"/>
        </w:rPr>
        <w:t xml:space="preserve"/>
      </w:r>
    </w:p>
    <w:p>
      <w:pPr>
        <w:spacing w:after="150" w:line="360"/>
        <w:jc w:val="both"/>
      </w:pPr>
      <w:r>
        <w:rPr>
          <w:rFonts w:ascii="Times New Roman" w:cs="Times New Roman" w:eastAsia="Times New Roman" w:hAnsi="Times New Roman"/>
          <w:b w:val="false"/>
          <w:bCs w:val="false"/>
          <w:i w:val="false"/>
          <w:iCs w:val="false"/>
          <w:sz w:val="24"/>
          <w:szCs w:val="24"/>
        </w:rPr>
        <w:t xml:space="preserve">Sessions are separated by 48–72 hours to permit recovery and to avoid carryover of fatigue between illumination levels. Because session duration is substantial, the protocol will be </w:t>
      </w:r>
      <w:r>
        <w:rPr>
          <w:rFonts w:ascii="Times New Roman" w:cs="Times New Roman" w:eastAsia="Times New Roman" w:hAnsi="Times New Roman"/>
          <w:b/>
          <w:bCs/>
          <w:i w:val="false"/>
          <w:iCs w:val="false"/>
          <w:sz w:val="24"/>
          <w:szCs w:val="24"/>
        </w:rPr>
        <w:t xml:space="preserve">piloted for feasibility, fatigue and dropout</w:t>
      </w:r>
      <w:r>
        <w:rPr>
          <w:rFonts w:ascii="Times New Roman" w:cs="Times New Roman" w:eastAsia="Times New Roman" w:hAnsi="Times New Roman"/>
          <w:b w:val="false"/>
          <w:bCs w:val="false"/>
          <w:i w:val="false"/>
          <w:iCs w:val="false"/>
          <w:sz w:val="24"/>
          <w:szCs w:val="24"/>
        </w:rPr>
        <w:t xml:space="preserve">; should piloting indicate excessive burden, the design permits splitting each illumination level into two shorter sittings of five conditions each (four sittings in total), with the counterbalancing scheme and the global serial-position record preserved across sittings.</w:t>
      </w:r>
    </w:p>
    <w:p>
      <w:pPr>
        <w:spacing w:after="150" w:line="360"/>
        <w:jc w:val="both"/>
      </w:pPr>
      <w:r>
        <w:rPr>
          <w:rFonts w:ascii="Times New Roman" w:cs="Times New Roman" w:eastAsia="Times New Roman" w:hAnsi="Times New Roman"/>
          <w:b w:val="false"/>
          <w:bCs w:val="false"/>
          <w:i w:val="false"/>
          <w:iCs w:val="false"/>
          <w:sz w:val="24"/>
          <w:szCs w:val="24"/>
        </w:rPr>
        <w:t xml:space="preserve">NASA-TLX is administered </w:t>
      </w:r>
      <w:r>
        <w:rPr>
          <w:rFonts w:ascii="Times New Roman" w:cs="Times New Roman" w:eastAsia="Times New Roman" w:hAnsi="Times New Roman"/>
          <w:b/>
          <w:bCs/>
          <w:i w:val="false"/>
          <w:iCs w:val="false"/>
          <w:sz w:val="24"/>
          <w:szCs w:val="24"/>
        </w:rPr>
        <w:t xml:space="preserve">once per session</w:t>
      </w:r>
      <w:r>
        <w:rPr>
          <w:rFonts w:ascii="Times New Roman" w:cs="Times New Roman" w:eastAsia="Times New Roman" w:hAnsi="Times New Roman"/>
          <w:b w:val="false"/>
          <w:bCs w:val="false"/>
          <w:i w:val="false"/>
          <w:iCs w:val="false"/>
          <w:sz w:val="24"/>
          <w:szCs w:val="24"/>
        </w:rPr>
        <w:t xml:space="preserve">, at session end, as a session-level index of cumulative cognitive workload for that illumination level; condition-level subjective load is captured by the shorter per-condition VAS and comfort/clarity ratings. This limits NASA-TLX to the illumination contrast and is acknowledged in §4.3.</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3.10 Counterbalancing</w:t>
      </w:r>
    </w:p>
    <w:p>
      <w:pPr>
        <w:spacing w:after="15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by accumulating fatigue) and first-order carryover (notably the light-adaptation transient imposed by a polarity switch). Both are addressed by a </w:t>
      </w:r>
      <w:r>
        <w:rPr>
          <w:rFonts w:ascii="Times New Roman" w:cs="Times New Roman" w:eastAsia="Times New Roman" w:hAnsi="Times New Roman"/>
          <w:b/>
          <w:bCs/>
          <w:i w:val="false"/>
          <w:iCs w:val="false"/>
          <w:sz w:val="24"/>
          <w:szCs w:val="24"/>
        </w:rPr>
        <w:t xml:space="preserve">balanced (Williams-type) Latin square</w:t>
      </w:r>
      <w:r>
        <w:rPr>
          <w:rFonts w:ascii="Times New Roman" w:cs="Times New Roman" w:eastAsia="Times New Roman" w:hAnsi="Times New Roman"/>
          <w:b w:val="false"/>
          <w:bCs w:val="false"/>
          <w:i w:val="false"/>
          <w:iCs w:val="false"/>
          <w:sz w:val="24"/>
          <w:szCs w:val="24"/>
        </w:rPr>
        <w:t xml:space="preserve"> over the 10 conditions, in which each condition occupies each serial position equally often across a complete block of participants and each condition precedes and follows every other equally often. Participants are assigned to rows by a </w:t>
      </w:r>
      <w:r>
        <w:rPr>
          <w:rFonts w:ascii="Times New Roman" w:cs="Times New Roman" w:eastAsia="Times New Roman" w:hAnsi="Times New Roman"/>
          <w:b/>
          <w:bCs/>
          <w:i w:val="false"/>
          <w:iCs w:val="false"/>
          <w:sz w:val="24"/>
          <w:szCs w:val="24"/>
        </w:rPr>
        <w:t xml:space="preserve">sequential enrolment index</w:t>
      </w:r>
      <w:r>
        <w:rPr>
          <w:rFonts w:ascii="Times New Roman" w:cs="Times New Roman" w:eastAsia="Times New Roman" w:hAnsi="Times New Roman"/>
          <w:b w:val="false"/>
          <w:bCs w:val="false"/>
          <w:i w:val="false"/>
          <w:iCs w:val="false"/>
          <w:sz w:val="24"/>
          <w:szCs w:val="24"/>
        </w:rPr>
        <w:t xml:space="preserve"> (not a hash of an arbitrary identifier, which would destroy balance through collisions and gaps). Complete balance is achieved in blocks of 10 participants, which is why the sample size is a multiple of 10. Illumination order is counterbalanced orthogonally between participants.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3.11 Data management</w:t>
      </w:r>
    </w:p>
    <w:p>
      <w:pPr>
        <w:spacing w:after="150" w:line="360"/>
        <w:jc w:val="both"/>
      </w:pPr>
      <w:r>
        <w:rPr>
          <w:rFonts w:ascii="Times New Roman" w:cs="Times New Roman" w:eastAsia="Times New Roman" w:hAnsi="Times New Roman"/>
          <w:b w:val="false"/>
          <w:bCs w:val="false"/>
          <w:i w:val="false"/>
          <w:iCs w:val="false"/>
          <w:sz w:val="24"/>
          <w:szCs w:val="24"/>
        </w:rPr>
        <w:t xml:space="preserve">All measures are written to on-device storage immediately upon acquisition, so that an interruption loses at most the condition in progress, which is flagged and repeated. Data are exported as a structured bundle of tabular files plus a nested archival record, stamped with provenance metadata and per-file checksums. Participant identifiers are replaced by enrolment codes; no video or image data are retained.</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3.12 Statistical analysis</w:t>
      </w:r>
    </w:p>
    <w:p>
      <w:pPr>
        <w:spacing w:after="150" w:line="360"/>
        <w:jc w:val="both"/>
      </w:pPr>
      <w:r>
        <w:rPr>
          <w:rFonts w:ascii="Times New Roman" w:cs="Times New Roman" w:eastAsia="Times New Roman" w:hAnsi="Times New Roman"/>
          <w:b w:val="false"/>
          <w:bCs w:val="false"/>
          <w:i w:val="false"/>
          <w:iCs w:val="false"/>
          <w:sz w:val="24"/>
          <w:szCs w:val="24"/>
        </w:rPr>
        <w:t xml:space="preserve">Analysis will use </w:t>
      </w:r>
      <w:r>
        <w:rPr>
          <w:rFonts w:ascii="Times New Roman" w:cs="Times New Roman" w:eastAsia="Times New Roman" w:hAnsi="Times New Roman"/>
          <w:b/>
          <w:bCs/>
          <w:i w:val="false"/>
          <w:iCs w:val="false"/>
          <w:sz w:val="24"/>
          <w:szCs w:val="24"/>
        </w:rPr>
        <w:t xml:space="preserve">linear mixed-effects models with a random intercept per participant</w:t>
      </w:r>
      <w:r>
        <w:rPr>
          <w:rFonts w:ascii="Times New Roman" w:cs="Times New Roman" w:eastAsia="Times New Roman" w:hAnsi="Times New Roman"/>
          <w:b w:val="false"/>
          <w:bCs w:val="false"/>
          <w:i w:val="false"/>
          <w:iCs w:val="false"/>
          <w:sz w:val="24"/>
          <w:szCs w:val="24"/>
        </w:rPr>
        <w:t xml:space="preserve">, which accommodate the repeated-measures structure, unbalanced data and inter-individual heterogeneity.</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Fixed effects:</w:t>
      </w:r>
      <w:r>
        <w:rPr>
          <w:rFonts w:ascii="Times New Roman" w:cs="Times New Roman" w:eastAsia="Times New Roman" w:hAnsi="Times New Roman"/>
          <w:b w:val="false"/>
          <w:bCs w:val="false"/>
          <w:i w:val="false"/>
          <w:iCs w:val="false"/>
          <w:sz w:val="24"/>
          <w:szCs w:val="24"/>
        </w:rPr>
        <w:t xml:space="preserve"> polarity; text colour (and, in a parallel specification, WCAG luminance contrast as a continuous predictor); ambient illumination; the polarity × colour, polarity × illumination, colour × illumination and three-way interactions; serial position; illumination order.</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Objective 3 (contrast dissociation):</w:t>
      </w:r>
      <w:r>
        <w:rPr>
          <w:rFonts w:ascii="Times New Roman" w:cs="Times New Roman" w:eastAsia="Times New Roman" w:hAnsi="Times New Roman"/>
          <w:b w:val="false"/>
          <w:bCs w:val="false"/>
          <w:i w:val="false"/>
          <w:iCs w:val="false"/>
          <w:sz w:val="24"/>
          <w:szCs w:val="24"/>
        </w:rPr>
        <w:t xml:space="preserve"> two nested model families will be compared — one specifying colour as a categorical factor, the other specifying luminance contrast as a continuous covariate with colour retained to capture residual hue effects. Comparative fit and the magnitude of residual hue terms quantify the relative contribution of contrast and hue.</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Objective 5 (moderation):</w:t>
      </w:r>
      <w:r>
        <w:rPr>
          <w:rFonts w:ascii="Times New Roman" w:cs="Times New Roman" w:eastAsia="Times New Roman" w:hAnsi="Times New Roman"/>
          <w:b w:val="false"/>
          <w:bCs w:val="false"/>
          <w:i w:val="false"/>
          <w:iCs w:val="false"/>
          <w:sz w:val="24"/>
          <w:szCs w:val="24"/>
        </w:rPr>
        <w:t xml:space="preserve"> profiling variables entered as between-participant moderators with condition × moderator interaction terms.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Objective 6:</w:t>
      </w:r>
      <w:r>
        <w:rPr>
          <w:rFonts w:ascii="Times New Roman" w:cs="Times New Roman" w:eastAsia="Times New Roman" w:hAnsi="Times New Roman"/>
          <w:b w:val="false"/>
          <w:bCs w:val="false"/>
          <w:i w:val="false"/>
          <w:iCs w:val="false"/>
          <w:sz w:val="24"/>
          <w:szCs w:val="24"/>
        </w:rPr>
        <w:t xml:space="preserve"> correlation and regression of concurrent subjective and objective indices, reported separately for the accommodative/vergence and ocular-surface symptom clusters.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Objective 7:</w:t>
      </w:r>
      <w:r>
        <w:rPr>
          <w:rFonts w:ascii="Times New Roman" w:cs="Times New Roman" w:eastAsia="Times New Roman" w:hAnsi="Times New Roman"/>
          <w:b w:val="false"/>
          <w:bCs w:val="false"/>
          <w:i w:val="false"/>
          <w:iCs w:val="false"/>
          <w:sz w:val="24"/>
          <w:szCs w:val="24"/>
        </w:rPr>
        <w:t xml:space="preserve"> agreement of automated versus manual blink classification by Bland–Altman analysis, intraclass correlation and Cohen's κ for the complete/incomplete classification, in a subsample with dual-coded video.</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Outcome-specific models:</w:t>
      </w:r>
      <w:r>
        <w:rPr>
          <w:rFonts w:ascii="Times New Roman" w:cs="Times New Roman" w:eastAsia="Times New Roman" w:hAnsi="Times New Roman"/>
          <w:b w:val="false"/>
          <w:bCs w:val="false"/>
          <w:i w:val="false"/>
          <w:iCs w:val="false"/>
          <w:sz w:val="24"/>
          <w:szCs w:val="24"/>
        </w:rPr>
        <w:t xml:space="preserve"> ordinal (cumulative-link) mixed models for VAS and Likert-type outcomes, which are not interval-scaled; hierarchical treatment of signal-detection indices, which are unstable when computed from small per-condition trial counts; generalised mixed models with a binomial link for accuracy outcomes.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Sensitivity analyses:</w:t>
      </w:r>
      <w:r>
        <w:rPr>
          <w:rFonts w:ascii="Times New Roman" w:cs="Times New Roman" w:eastAsia="Times New Roman" w:hAnsi="Times New Roman"/>
          <w:b w:val="false"/>
          <w:bCs w:val="false"/>
          <w:i w:val="false"/>
          <w:iCs w:val="false"/>
          <w:sz w:val="24"/>
          <w:szCs w:val="24"/>
        </w:rPr>
        <w:t xml:space="preserve"> re-fitting with conditions flagged for disengagement or inadequate data quality excluded; and with PERCLOS included as a covariate, to distinguish visual fatigue from sleepiness.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Assumptions and multiplicity:</w:t>
      </w:r>
      <w:r>
        <w:rPr>
          <w:rFonts w:ascii="Times New Roman" w:cs="Times New Roman" w:eastAsia="Times New Roman" w:hAnsi="Times New Roman"/>
          <w:b w:val="false"/>
          <w:bCs w:val="false"/>
          <w:i w:val="false"/>
          <w:iCs w:val="false"/>
          <w:sz w:val="24"/>
          <w:szCs w:val="24"/>
        </w:rPr>
        <w:t xml:space="preserve"> residual diagnostics for normality and homoscedasticity; multiplicity control applied within each outcome family; effect sizes reported with 95% confidence intervals throughout. Analyses will be conducted in R and Python using reproducible, version-controlled scripts.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3.13 Ethical considerations</w:t>
      </w:r>
    </w:p>
    <w:p>
      <w:pPr>
        <w:spacing w:after="15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prior to recruitment. Written informed consent will be taken, with camera-based measurement consented separately and refusable without affecting participation. Participants may withdraw at any time without consequence. All camera processing is on-device with no video retention;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pageBreakBefore/>
        <w:spacing w:after="180" w:before="36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4.1 Expected outcomes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Quantified main effects</w:t>
      </w:r>
      <w:r>
        <w:rPr>
          <w:rFonts w:ascii="Times New Roman" w:cs="Times New Roman" w:eastAsia="Times New Roman" w:hAnsi="Times New Roman"/>
          <w:b w:val="false"/>
          <w:bCs w:val="false"/>
          <w:i w:val="false"/>
          <w:iCs w:val="false"/>
          <w:sz w:val="24"/>
          <w:szCs w:val="24"/>
        </w:rPr>
        <w:t xml:space="preserve">, with confidence intervals, of display polarity, text colour and ambient illumination on subjective visual fatigue, objective ocular behaviour, cognitive workload and task performance during prolonged tablet reading.</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The first estimate of the polarity × text-colour interaction</w:t>
      </w:r>
      <w:r>
        <w:rPr>
          <w:rFonts w:ascii="Times New Roman" w:cs="Times New Roman" w:eastAsia="Times New Roman" w:hAnsi="Times New Roman"/>
          <w:b w:val="false"/>
          <w:bCs w:val="false"/>
          <w:i w:val="false"/>
          <w:iCs w:val="false"/>
          <w:sz w:val="24"/>
          <w:szCs w:val="24"/>
        </w:rPr>
        <w:t xml:space="preserve"> on visual-fatigue outcomes, and the first test of whether the positive polarity advantage established for brief legibility tasks extends to hour-scale reading and to ocular-surface outcomes.</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An empirical adjudication of hue versus luminance contrast.</w:t>
      </w:r>
      <w:r>
        <w:rPr>
          <w:rFonts w:ascii="Times New Roman" w:cs="Times New Roman" w:eastAsia="Times New Roman" w:hAnsi="Times New Roman"/>
          <w:b w:val="false"/>
          <w:bCs w:val="false"/>
          <w:i w:val="false"/>
          <w:iCs w:val="false"/>
          <w:sz w:val="24"/>
          <w:szCs w:val="24"/>
        </w:rPr>
        <w:t xml:space="preserve"> Because the contrast ordering of colours reverses across polarity (Table 3.2), a crossover interaction will indicate contrast-mediated effects, whereas a preserved ordering will indicate genuine hue-specific effects. It is anticipated that luminance contrast will account for the majority of colour-related variance, with red a candidate exception.</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Characterisation of the polarity × illumination interaction</w:t>
      </w:r>
      <w:r>
        <w:rPr>
          <w:rFonts w:ascii="Times New Roman" w:cs="Times New Roman" w:eastAsia="Times New Roman" w:hAnsi="Times New Roman"/>
          <w:b w:val="false"/>
          <w:bCs w:val="false"/>
          <w:i w:val="false"/>
          <w:iCs w:val="false"/>
          <w:sz w:val="24"/>
          <w:szCs w:val="24"/>
        </w:rPr>
        <w:t xml:space="preserve">, establishing whether negative polarity is specifically costly under dim domestic lighting — the condition in which dark mode is most used and most advocated.</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An identified optimal configuration (or configurations)</w:t>
      </w:r>
      <w:r>
        <w:rPr>
          <w:rFonts w:ascii="Times New Roman" w:cs="Times New Roman" w:eastAsia="Times New Roman" w:hAnsi="Times New Roman"/>
          <w:b w:val="false"/>
          <w:bCs w:val="false"/>
          <w:i w:val="false"/>
          <w:iCs w:val="false"/>
          <w:sz w:val="24"/>
          <w:szCs w:val="24"/>
        </w:rPr>
        <w:t xml:space="preserve"> of polarity, text colour and illumination minimising fatigue and maximising performance, and a corresponding statement of the least favourable configurations.</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Evidence on whether a polarity-blind contrast criterion adequately predicts measured readability and comfort</w:t>
      </w:r>
      <w:r>
        <w:rPr>
          <w:rFonts w:ascii="Times New Roman" w:cs="Times New Roman" w:eastAsia="Times New Roman" w:hAnsi="Times New Roman"/>
          <w:b w:val="false"/>
          <w:bCs w:val="false"/>
          <w:i w:val="false"/>
          <w:iCs w:val="false"/>
          <w:sz w:val="24"/>
          <w:szCs w:val="24"/>
        </w:rPr>
        <w:t xml:space="preserve">, with a direction and magnitude of any misclassification — a contribution to the ongoing revision of accessibility contrast standards.</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An empirical characterisation of subjective–objective correspondence</w:t>
      </w:r>
      <w:r>
        <w:rPr>
          <w:rFonts w:ascii="Times New Roman" w:cs="Times New Roman" w:eastAsia="Times New Roman" w:hAnsi="Times New Roman"/>
          <w:b w:val="false"/>
          <w:bCs w:val="false"/>
          <w:i w:val="false"/>
          <w:iCs w:val="false"/>
          <w:sz w:val="24"/>
          <w:szCs w:val="24"/>
        </w:rPr>
        <w:t xml:space="preserve"> in digital eye strain, measured concurrently within condition and session.</w:t>
      </w:r>
    </w:p>
    <w:p>
      <w:pPr>
        <w:spacing w:after="13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 validated, scalable, offline-capable instrument and protocol</w:t>
      </w:r>
      <w:r>
        <w:rPr>
          <w:rFonts w:ascii="Times New Roman" w:cs="Times New Roman" w:eastAsia="Times New Roman" w:hAnsi="Times New Roman"/>
          <w:b w:val="false"/>
          <w:bCs w:val="false"/>
          <w:i w:val="false"/>
          <w:iCs w:val="false"/>
          <w:sz w:val="24"/>
          <w:szCs w:val="24"/>
        </w:rPr>
        <w:t xml:space="preserve"> for objective ocular measurement of digital eye strain outside the specialist laboratory, with reported agreement against manual annotation — a methodological contribution intended for reuse by other groups.</w:t>
      </w:r>
    </w:p>
    <w:p>
      <w:pPr>
        <w:spacing w:after="13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Evidence on moderation by individual characteristics</w:t>
      </w:r>
      <w:r>
        <w:rPr>
          <w:rFonts w:ascii="Times New Roman" w:cs="Times New Roman" w:eastAsia="Times New Roman" w:hAnsi="Times New Roman"/>
          <w:b w:val="false"/>
          <w:bCs w:val="false"/>
          <w:i w:val="false"/>
          <w:iCs w:val="false"/>
          <w:sz w:val="24"/>
          <w:szCs w:val="24"/>
        </w:rPr>
        <w:t xml:space="preserve">, indicating whether display recommendations should be uniform or personalised (for example, whether habitual dark-mode users differ in measured response).</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4.2 Significance of the study</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Interface and product design</w:t>
      </w:r>
      <w:r>
        <w:rPr>
          <w:rFonts w:ascii="Times New Roman" w:cs="Times New Roman" w:eastAsia="Times New Roman" w:hAnsi="Times New Roman"/>
          <w:b w:val="false"/>
          <w:bCs w:val="false"/>
          <w:i w:val="false"/>
          <w:iCs w:val="false"/>
          <w:sz w:val="24"/>
          <w:szCs w:val="24"/>
        </w:rPr>
        <w:t xml:space="preserve"> — empirically grounded specification of text presentation and dark-mode implementation for reading-centric applications, e-readers, e-learning platforms and operating-system themes.</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Accessibility standards</w:t>
      </w:r>
      <w:r>
        <w:rPr>
          <w:rFonts w:ascii="Times New Roman" w:cs="Times New Roman" w:eastAsia="Times New Roman" w:hAnsi="Times New Roman"/>
          <w:b w:val="false"/>
          <w:bCs w:val="false"/>
          <w:i w:val="false"/>
          <w:iCs w:val="false"/>
          <w:sz w:val="24"/>
          <w:szCs w:val="24"/>
        </w:rPr>
        <w:t xml:space="preserve"> — empirical input on whether and how polarity must enter a contrast criterion.</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Occupational and public health</w:t>
      </w:r>
      <w:r>
        <w:rPr>
          <w:rFonts w:ascii="Times New Roman" w:cs="Times New Roman" w:eastAsia="Times New Roman" w:hAnsi="Times New Roman"/>
          <w:b w:val="false"/>
          <w:bCs w:val="false"/>
          <w:i w:val="false"/>
          <w:iCs w:val="false"/>
          <w:sz w:val="24"/>
          <w:szCs w:val="24"/>
        </w:rPr>
        <w:t xml:space="preserve"> — display configuration as a zero-cost, population-scalable preventive measure for a condition affecting approximately seven in ten screen users, complementing exposure-management measures and substituting for filter and supplement approaches that current evidence does not support.</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Education</w:t>
      </w:r>
      <w:r>
        <w:rPr>
          <w:rFonts w:ascii="Times New Roman" w:cs="Times New Roman" w:eastAsia="Times New Roman" w:hAnsi="Times New Roman"/>
          <w:b w:val="false"/>
          <w:bCs w:val="false"/>
          <w:i w:val="false"/>
          <w:iCs w:val="false"/>
          <w:sz w:val="24"/>
          <w:szCs w:val="24"/>
        </w:rPr>
        <w:t xml:space="preserve"> — evidence for configuring tablet-based learning materials, where reading durations are long and users young.</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Optometric practice</w:t>
      </w:r>
      <w:r>
        <w:rPr>
          <w:rFonts w:ascii="Times New Roman" w:cs="Times New Roman" w:eastAsia="Times New Roman" w:hAnsi="Times New Roman"/>
          <w:b w:val="false"/>
          <w:bCs w:val="false"/>
          <w:i w:val="false"/>
          <w:iCs w:val="false"/>
          <w:sz w:val="24"/>
          <w:szCs w:val="24"/>
        </w:rPr>
        <w:t xml:space="preserve"> — actionable device-configuration advice for patients presenting with digital eye strain, in a domain where practitioners are documented to lack quality evidence.</w:t>
      </w:r>
    </w:p>
    <w:p>
      <w:pPr>
        <w:pStyle w:val="ListParagraph"/>
        <w:numPr>
          <w:ilvl w:val="0"/>
          <w:numId w:val="2"/>
        </w:numPr>
        <w:spacing w:after="100" w:line="360"/>
        <w:jc w:val="both"/>
      </w:pPr>
      <w:r>
        <w:rPr>
          <w:rFonts w:ascii="Times New Roman" w:cs="Times New Roman" w:eastAsia="Times New Roman" w:hAnsi="Times New Roman"/>
          <w:b/>
          <w:bCs/>
          <w:i w:val="false"/>
          <w:iCs w:val="false"/>
          <w:sz w:val="24"/>
          <w:szCs w:val="24"/>
        </w:rPr>
        <w:t xml:space="preserve">Research methodology</w:t>
      </w:r>
      <w:r>
        <w:rPr>
          <w:rFonts w:ascii="Times New Roman" w:cs="Times New Roman" w:eastAsia="Times New Roman" w:hAnsi="Times New Roman"/>
          <w:b w:val="false"/>
          <w:bCs w:val="false"/>
          <w:i w:val="false"/>
          <w:iCs w:val="false"/>
          <w:sz w:val="24"/>
          <w:szCs w:val="24"/>
        </w:rPr>
        <w:t xml:space="preserve"> — a scalable objective-measurement instrument relieving the manual-annotation bottleneck that has confined this literature to small samples, enabling larger and more diverse future studies.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Polarity and luminance contrast are not fully orthogonal.</w:t>
      </w:r>
      <w:r>
        <w:rPr>
          <w:rFonts w:ascii="Times New Roman" w:cs="Times New Roman" w:eastAsia="Times New Roman" w:hAnsi="Times New Roman"/>
          <w:b w:val="false"/>
          <w:bCs w:val="false"/>
          <w:i w:val="false"/>
          <w:iCs w:val="false"/>
          <w:sz w:val="24"/>
          <w:szCs w:val="24"/>
        </w:rPr>
        <w:t xml:space="preserve"> Because chromatic pigments differ intrinsically in luminance, contrast cannot be equalised across polarity while holding the colour set fixed. This is mitigated by measuring and modelling contrast, and is deliberately exploited as a crossover test (§3.6), but it constrains fully independent causal attribution.</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Screening-grade objective measurement.</w:t>
      </w:r>
      <w:r>
        <w:rPr>
          <w:rFonts w:ascii="Times New Roman" w:cs="Times New Roman" w:eastAsia="Times New Roman" w:hAnsi="Times New Roman"/>
          <w:b w:val="false"/>
          <w:bCs w:val="false"/>
          <w:i w:val="false"/>
          <w:iCs w:val="false"/>
          <w:sz w:val="24"/>
          <w:szCs w:val="24"/>
        </w:rPr>
        <w:t xml:space="preserve"> Webcam metrology is lower in spatial accuracy and sampling rate than infrared eye tracking and does not measure accommodation. Gaze measures are limited to coarse zones, and duration-based blink metrics are gated on achieved frame rate. Accommodative outcomes, which require open-field autorefractometry, are therefore outside the scope of this study and are addressed only through the literature.</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The manipulation cannot be blinded.</w:t>
      </w:r>
      <w:r>
        <w:rPr>
          <w:rFonts w:ascii="Times New Roman" w:cs="Times New Roman" w:eastAsia="Times New Roman" w:hAnsi="Times New Roman"/>
          <w:b w:val="false"/>
          <w:bCs w:val="false"/>
          <w:i w:val="false"/>
          <w:iCs w:val="false"/>
          <w:sz w:val="24"/>
          <w:szCs w:val="24"/>
        </w:rPr>
        <w:t xml:space="preserve"> Display polarity and text colour are visible to participants, so expectation and demand effects on subjective ratings cannot be excluded. Objective markers, absence of performance feedback and counterbalancing mitigate but do not eliminate this.</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Session length.</w:t>
      </w:r>
      <w:r>
        <w:rPr>
          <w:rFonts w:ascii="Times New Roman" w:cs="Times New Roman" w:eastAsia="Times New Roman" w:hAnsi="Times New Roman"/>
          <w:b w:val="false"/>
          <w:bCs w:val="false"/>
          <w:i w:val="false"/>
          <w:iCs w:val="false"/>
          <w:sz w:val="24"/>
          <w:szCs w:val="24"/>
        </w:rPr>
        <w:t xml:space="preserve"> Sessions of roughly two hours accumulate both visual fatigue and generic fatigue and boredom. These are counterbalanced, measured and modelled rather than eliminated, and the design permits subdivision into shorter sittings if piloting requires it.</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NASA-TLX resolution.</w:t>
      </w:r>
      <w:r>
        <w:rPr>
          <w:rFonts w:ascii="Times New Roman" w:cs="Times New Roman" w:eastAsia="Times New Roman" w:hAnsi="Times New Roman"/>
          <w:b w:val="false"/>
          <w:bCs w:val="false"/>
          <w:i w:val="false"/>
          <w:iCs w:val="false"/>
          <w:sz w:val="24"/>
          <w:szCs w:val="24"/>
        </w:rPr>
        <w:t xml:space="preserve"> Administering NASA-TLX once per session limits cognitive-workload inference to the illumination contrast and precludes condition-level workload comparison; per-condition subjective load relies on the shorter VAS and comfort/clarity ratings.</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Illumination is manipulated between sessions</w:t>
      </w:r>
      <w:r>
        <w:rPr>
          <w:rFonts w:ascii="Times New Roman" w:cs="Times New Roman" w:eastAsia="Times New Roman" w:hAnsi="Times New Roman"/>
          <w:b w:val="false"/>
          <w:bCs w:val="false"/>
          <w:i w:val="false"/>
          <w:iCs w:val="false"/>
          <w:sz w:val="24"/>
          <w:szCs w:val="24"/>
        </w:rPr>
        <w:t xml:space="preserve">, so its effect is estimated across sessions and is therefore more vulnerable to between-session variance (time of day, sleep, circadian phase) than the within-session factors. Order is counterbalanced and session covariates recorded, but this asymmetry in inferential strength is acknowledged.</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Sleepiness confounding.</w:t>
      </w:r>
      <w:r>
        <w:rPr>
          <w:rFonts w:ascii="Times New Roman" w:cs="Times New Roman" w:eastAsia="Times New Roman" w:hAnsi="Times New Roman"/>
          <w:b w:val="false"/>
          <w:bCs w:val="false"/>
          <w:i w:val="false"/>
          <w:iCs w:val="false"/>
          <w:sz w:val="24"/>
          <w:szCs w:val="24"/>
        </w:rPr>
        <w:t xml:space="preserve"> PERCLOS is used as a covariate but is itself insensitive to moderate drowsiness and to inattention or distraction.</w:t>
      </w:r>
    </w:p>
    <w:p>
      <w:pPr>
        <w:spacing w:after="13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Generalisability.</w:t>
      </w:r>
      <w:r>
        <w:rPr>
          <w:rFonts w:ascii="Times New Roman" w:cs="Times New Roman" w:eastAsia="Times New Roman" w:hAnsi="Times New Roman"/>
          <w:b w:val="false"/>
          <w:bCs w:val="false"/>
          <w:i w:val="false"/>
          <w:iCs w:val="false"/>
          <w:sz w:val="24"/>
          <w:szCs w:val="24"/>
        </w:rPr>
        <w:t xml:space="preserve"> Findings will be specific to the device, display technology, luminance range and population studied. The sample is delimited to adults aged 18–35 with normal or corrected-to-normal vision and no colour-vision deficiency; presbyopic, paediatric and colour-vision-deficient populations — for whom polarity effects may differ — are explicitly outside scope and identified as future work.</w:t>
      </w:r>
    </w:p>
    <w:p>
      <w:pPr>
        <w:spacing w:after="13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Screening, not diagnosis.</w:t>
      </w:r>
      <w:r>
        <w:rPr>
          <w:rFonts w:ascii="Times New Roman" w:cs="Times New Roman" w:eastAsia="Times New Roman" w:hAnsi="Times New Roman"/>
          <w:b w:val="false"/>
          <w:bCs w:val="false"/>
          <w:i w:val="false"/>
          <w:iCs w:val="false"/>
          <w:sz w:val="24"/>
          <w:szCs w:val="24"/>
        </w:rPr>
        <w:t xml:space="preserve"> Colour-vision screening on a display is a group-screening instrument and not a clinical diagnosis.</w:t>
      </w:r>
    </w:p>
    <w:p>
      <w:pPr>
        <w:pStyle w:val="Heading2"/>
        <w:keepNext/>
        <w:spacing w:after="180" w:before="280" w:line="360"/>
        <w:jc w:val="left"/>
      </w:pPr>
      <w:r>
        <w:rPr>
          <w:rFonts w:ascii="Times New Roman" w:cs="Times New Roman" w:eastAsia="Times New Roman" w:hAnsi="Times New Roman"/>
          <w:b/>
          <w:bCs/>
          <w:i w:val="false"/>
          <w:iCs w:val="false"/>
          <w:sz w:val="27"/>
          <w:szCs w:val="27"/>
        </w:rPr>
        <w:t xml:space="preserve">4.4 Concluding remarks</w:t>
      </w:r>
    </w:p>
    <w:p>
      <w:pPr>
        <w:spacing w:after="15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simultaneously ubiquitous, freely modifiable and inadequately evidenced. By crossing display polarity with text colour under two ecologically relevant ambient-illumination levels, and by measuring validated subjective symptoms alongside objective ocular behaviour, cognitive workload and multi-domain task performance within a single instrumented protocol, the study is positioned to convert a widely held but weakly supported set of beliefs about "dark mode" and coloured text into quantified, standards-relevant design guidance — while contributing a scalable measurement instrument that removes a long-standing methodological bottleneck in digital-eye-strain research.</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pageBreakBefore/>
        <w:spacing w:after="180" w:before="360" w:line="360"/>
        <w:jc w:val="center"/>
      </w:pPr>
      <w:r>
        <w:rPr>
          <w:rFonts w:ascii="Times New Roman" w:cs="Times New Roman" w:eastAsia="Times New Roman" w:hAnsi="Times New Roman"/>
          <w:b/>
          <w:bCs/>
          <w:i w:val="false"/>
          <w:iCs w:val="false"/>
          <w:sz w:val="30"/>
          <w:szCs w:val="30"/>
        </w:rPr>
        <w:t xml:space="preserve">REFERENCES</w:t>
      </w:r>
    </w:p>
    <w:p>
      <w:pPr>
        <w:spacing w:after="13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Ccami-Bernal F, Soriano-Moreno DR, Romero-Robles MA, Barriga-Chambi F, Tuco KG, Castro-Diaz SD, et al.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2024;17(1):100482. https://doi.org/10.1016/j.optom.2023.100482</w:t>
      </w:r>
    </w:p>
    <w:p>
      <w:pPr>
        <w:spacing w:after="13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Kaur K, Gurnani B, Nayak S, Deori N, Kaur S, Jethani J, et al. Digital Eye Strain —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2022;11(5):1655–1680. https://doi.org/10.1007/s40123-022-00540-9</w:t>
      </w:r>
    </w:p>
    <w:p>
      <w:pPr>
        <w:spacing w:after="13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Sheppard AL, Wolffsohn JS.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2018;3(1):e000146. https://doi.org/10.1136/bmjophth-2018-000146</w:t>
      </w:r>
    </w:p>
    <w:p>
      <w:pPr>
        <w:spacing w:after="13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Pucker AD, Kerr AM, Sanderson J, Lievens C.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2024;16:233–246. https://doi.org/10.2147/OPTO.S412382</w:t>
      </w:r>
    </w:p>
    <w:p>
      <w:pPr>
        <w:spacing w:after="13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Kahal F, Al Darra A, Torbey A. Computer vision syndrome: a comprehensive literature review. </w:t>
      </w:r>
      <w:r>
        <w:rPr>
          <w:rFonts w:ascii="Times New Roman" w:cs="Times New Roman" w:eastAsia="Times New Roman" w:hAnsi="Times New Roman"/>
          <w:b w:val="false"/>
          <w:bCs w:val="false"/>
          <w:i/>
          <w:iCs/>
          <w:sz w:val="24"/>
          <w:szCs w:val="24"/>
        </w:rPr>
        <w:t xml:space="preserve">Future Science OA.</w:t>
      </w:r>
      <w:r>
        <w:rPr>
          <w:rFonts w:ascii="Times New Roman" w:cs="Times New Roman" w:eastAsia="Times New Roman" w:hAnsi="Times New Roman"/>
          <w:b w:val="false"/>
          <w:bCs w:val="false"/>
          <w:i w:val="false"/>
          <w:iCs w:val="false"/>
          <w:sz w:val="24"/>
          <w:szCs w:val="24"/>
        </w:rPr>
        <w:t xml:space="preserve"> 2025;11(1):2476923. https://doi.org/10.1080/20565623.2025.2476923</w:t>
      </w:r>
    </w:p>
    <w:p>
      <w:pPr>
        <w:spacing w:after="13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Auffret É, Gomart G, Bourcier T, Gaucher D, Speeg-Schatz C, Sauer A. Digital eye strain. Symptoms, prevalence, pathophysiology, and management. </w:t>
      </w:r>
      <w:r>
        <w:rPr>
          <w:rFonts w:ascii="Times New Roman" w:cs="Times New Roman" w:eastAsia="Times New Roman" w:hAnsi="Times New Roman"/>
          <w:b w:val="false"/>
          <w:bCs w:val="false"/>
          <w:i/>
          <w:iCs/>
          <w:sz w:val="24"/>
          <w:szCs w:val="24"/>
        </w:rPr>
        <w:t xml:space="preserve">Journal Français d'Ophtalmologie.</w:t>
      </w:r>
      <w:r>
        <w:rPr>
          <w:rFonts w:ascii="Times New Roman" w:cs="Times New Roman" w:eastAsia="Times New Roman" w:hAnsi="Times New Roman"/>
          <w:b w:val="false"/>
          <w:bCs w:val="false"/>
          <w:i w:val="false"/>
          <w:iCs w:val="false"/>
          <w:sz w:val="24"/>
          <w:szCs w:val="24"/>
        </w:rPr>
        <w:t xml:space="preserve"> 2021;44(10):1605–1610. https://doi.org/10.1016/j.jfo.2020.10.002</w:t>
      </w:r>
    </w:p>
    <w:p>
      <w:pPr>
        <w:spacing w:after="13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Coles-Brennan C, Sulley A, Young G. Management of digital eye strain. </w:t>
      </w:r>
      <w:r>
        <w:rPr>
          <w:rFonts w:ascii="Times New Roman" w:cs="Times New Roman" w:eastAsia="Times New Roman" w:hAnsi="Times New Roman"/>
          <w:b w:val="false"/>
          <w:bCs w:val="false"/>
          <w:i/>
          <w:iCs/>
          <w:sz w:val="24"/>
          <w:szCs w:val="24"/>
        </w:rPr>
        <w:t xml:space="preserve">Clinical and Experimental Optometry.</w:t>
      </w:r>
      <w:r>
        <w:rPr>
          <w:rFonts w:ascii="Times New Roman" w:cs="Times New Roman" w:eastAsia="Times New Roman" w:hAnsi="Times New Roman"/>
          <w:b w:val="false"/>
          <w:bCs w:val="false"/>
          <w:i w:val="false"/>
          <w:iCs w:val="false"/>
          <w:sz w:val="24"/>
          <w:szCs w:val="24"/>
        </w:rPr>
        <w:t xml:space="preserve"> 2019;102(1):18–29. https://doi.org/10.1111/cxo.12798</w:t>
      </w:r>
    </w:p>
    <w:p>
      <w:pPr>
        <w:spacing w:after="13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Singh S, McGuinness MB, Anderson AJ, Downie LE.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2022;129(10):1192–1215. https://doi.org/10.1016/j.ophtha.2022.05.009</w:t>
      </w:r>
    </w:p>
    <w:p>
      <w:pPr>
        <w:spacing w:after="13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Mataftsi A, Seliniotaki AK, Moutzouri S, Prousali E, Darusman KR, Adio AO, et al.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2023;170:107493. https://doi.org/10.1016/j.ypmed.2023.107493</w:t>
      </w:r>
    </w:p>
    <w:p>
      <w:pPr>
        <w:spacing w:after="130" w:line="360"/>
        <w:ind w:left="640" w:hanging="64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Kamøy B, Magno M, Nøland ST, Moe MC, Petrovski G, Vehof J, Utheim TP.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2022;100(7):723–739. https://doi.org/10.1111/aos.15105</w:t>
      </w:r>
    </w:p>
    <w:p>
      <w:pPr>
        <w:spacing w:after="130" w:line="360"/>
        <w:ind w:left="640" w:hanging="64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Fjaervoll K, Fjaervoll H, Magno M, Nøland ST, Dartt DA, Vehof J, Utheim TP.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2022;100(8):861–877. https://doi.org/10.1111/aos.15150</w:t>
      </w:r>
    </w:p>
    <w:p>
      <w:pPr>
        <w:spacing w:after="130" w:line="360"/>
        <w:ind w:left="640" w:hanging="64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Buchner A, Baumgartner N. Text — 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2007;50(7):1036–1063. https://doi.org/10.1080/00140130701306413</w:t>
      </w:r>
    </w:p>
    <w:p>
      <w:pPr>
        <w:spacing w:after="130" w:line="360"/>
        <w:ind w:left="640" w:hanging="64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2014;57(11):1670–1677. https://doi.org/10.1080/00140139.2014.948496</w:t>
      </w:r>
    </w:p>
    <w:p>
      <w:pPr>
        <w:spacing w:after="130" w:line="360"/>
        <w:ind w:left="640" w:hanging="64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2014;56(5):942–951. https://doi.org/10.1177/0018720813515509</w:t>
      </w:r>
    </w:p>
    <w:p>
      <w:pPr>
        <w:spacing w:after="130" w:line="360"/>
        <w:ind w:left="640" w:hanging="640"/>
        <w:jc w:val="both"/>
      </w:pP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2017;60:68–73. https://doi.org/10.1016/j.apergo.2016.11.001</w:t>
      </w:r>
    </w:p>
    <w:p>
      <w:pPr>
        <w:spacing w:after="130" w:line="360"/>
        <w:ind w:left="640" w:hanging="640"/>
        <w:jc w:val="both"/>
      </w:pP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Gould D, Mehler B, Coughlin JF.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2016;59(10):1377–1391. https://doi.org/10.1080/00140139.2015.1137637</w:t>
      </w:r>
    </w:p>
    <w:p>
      <w:pPr>
        <w:spacing w:after="130" w:line="360"/>
        <w:ind w:left="640" w:hanging="640"/>
        <w:jc w:val="both"/>
      </w:pP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polarity effect in virtual and video see-through mixed reality — better proofreading performance and faster optotype identification with positive display polarity.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2025. https://doi.org/10.1080/00140139.2025.2457470</w:t>
      </w:r>
    </w:p>
    <w:p>
      <w:pPr>
        <w:spacing w:after="130" w:line="360"/>
        <w:ind w:left="640" w:hanging="640"/>
        <w:jc w:val="both"/>
      </w:pPr>
      <w:r>
        <w:rPr>
          <w:rFonts w:ascii="Times New Roman" w:cs="Times New Roman" w:eastAsia="Times New Roman" w:hAnsi="Times New Roman"/>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Jiménez R, Redondo B, Molina R, Martínez-Domingo MÁ, Hernández-Andrés J, Vera J.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2020;166:33–42. https://doi.org/10.1016/j.visres.2019.11.006</w:t>
      </w:r>
    </w:p>
    <w:p>
      <w:pPr>
        <w:spacing w:after="130" w:line="360"/>
        <w:ind w:left="640" w:hanging="640"/>
        <w:jc w:val="both"/>
      </w:pP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Fan Q, Xie J, Dong Z, Wang Y.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2024;24(11):3516. https://doi.org/10.3390/s24113516</w:t>
      </w:r>
    </w:p>
    <w:p>
      <w:pPr>
        <w:spacing w:after="130" w:line="360"/>
        <w:ind w:left="640" w:hanging="640"/>
        <w:jc w:val="both"/>
      </w:pP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Delgado P, Vargas C, Ackerman R, Salmerón L.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2018;25:23–38. https://doi.org/10.1016/j.edurev.2018.09.003</w:t>
      </w:r>
    </w:p>
    <w:p>
      <w:pPr>
        <w:spacing w:after="130" w:line="360"/>
        <w:ind w:left="640" w:hanging="640"/>
        <w:jc w:val="both"/>
      </w:pP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Warm JS, Parasuraman R, Matthews G.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2008;50(3):433–441. https://doi.org/10.1518/001872008X312152</w:t>
      </w:r>
    </w:p>
    <w:p>
      <w:pPr>
        <w:spacing w:after="130" w:line="360"/>
        <w:ind w:left="640" w:hanging="640"/>
        <w:jc w:val="both"/>
      </w:pP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Mollicone D, Basner M, Dinges DF.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2014;12(2):74–84. https://doi.org/10.1111/sbr.12067</w:t>
      </w:r>
    </w:p>
    <w:p>
      <w:pPr>
        <w:spacing w:after="130" w:line="360"/>
        <w:ind w:left="640" w:hanging="640"/>
        <w:jc w:val="both"/>
      </w:pP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Seguí MdelM, Cabrero-García J, Crespo A, Verdú J, Ronda E.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2015;68(6):662–673. https://doi.org/10.1016/j.jclinepi.2015.01.015</w:t>
      </w:r>
    </w:p>
    <w:p>
      <w:pPr>
        <w:spacing w:after="130" w:line="360"/>
        <w:ind w:left="640" w:hanging="640"/>
        <w:jc w:val="both"/>
      </w:pP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Cantó-Sancho N, Linhares J, Ronda-Pérez E, Franco S, Perales E, Seguí-Crespo M.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2024;87(6):e20220256. https://doi.org/10.5935/0004-2749.2022-0256</w:t>
      </w:r>
    </w:p>
    <w:p>
      <w:pPr>
        <w:spacing w:after="130" w:line="360"/>
        <w:ind w:left="640" w:hanging="640"/>
        <w:jc w:val="both"/>
      </w:pP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Seguí-Crespo MdelM, Cantó Sancho N, Ronda E, Colombo R, Porru S, Carta A. Italian cross-cultural adaptation of the Computer Vision Syndrome Questionnaire. </w:t>
      </w:r>
      <w:r>
        <w:rPr>
          <w:rFonts w:ascii="Times New Roman" w:cs="Times New Roman" w:eastAsia="Times New Roman" w:hAnsi="Times New Roman"/>
          <w:b w:val="false"/>
          <w:bCs w:val="false"/>
          <w:i/>
          <w:iCs/>
          <w:sz w:val="24"/>
          <w:szCs w:val="24"/>
        </w:rPr>
        <w:t xml:space="preserve">La Medicina del Lavoro.</w:t>
      </w:r>
      <w:r>
        <w:rPr>
          <w:rFonts w:ascii="Times New Roman" w:cs="Times New Roman" w:eastAsia="Times New Roman" w:hAnsi="Times New Roman"/>
          <w:b w:val="false"/>
          <w:bCs w:val="false"/>
          <w:i w:val="false"/>
          <w:iCs w:val="false"/>
          <w:sz w:val="24"/>
          <w:szCs w:val="24"/>
        </w:rPr>
        <w:t xml:space="preserve"> 2019;110(1):37–45. https://doi.org/10.23749/mdl.v110i1.7499</w:t>
      </w:r>
    </w:p>
    <w:p>
      <w:pPr>
        <w:spacing w:after="130" w:line="360"/>
        <w:ind w:left="640" w:hanging="640"/>
        <w:jc w:val="both"/>
      </w:pPr>
      <w:r>
        <w:rPr>
          <w:rFonts w:ascii="Times New Roman" w:cs="Times New Roman" w:eastAsia="Times New Roman" w:hAnsi="Times New Roman"/>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Portello JK, Rosenfield M, Chu CA.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2013;90(5):482–487. https://doi.org/10.1097/OPX.0b013e31828f09a7</w:t>
      </w:r>
    </w:p>
    <w:p>
      <w:pPr>
        <w:spacing w:after="130" w:line="360"/>
        <w:ind w:left="640" w:hanging="640"/>
        <w:jc w:val="both"/>
      </w:pP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Argilés M, Cardona G, Pérez-Cabré E, Rodríguez M.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2015;56(11):6679–6685. https://doi.org/10.1167/iovs.15-16967</w:t>
      </w:r>
    </w:p>
    <w:p>
      <w:pPr>
        <w:spacing w:after="130" w:line="360"/>
        <w:ind w:left="640" w:hanging="640"/>
        <w:jc w:val="both"/>
      </w:pP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Cardona G, García C, Serés C, Vilaseca M, Gispets J.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2011;36(3):190–197. https://doi.org/10.3109/02713683.2010.544442</w:t>
      </w:r>
    </w:p>
    <w:p>
      <w:pPr>
        <w:spacing w:after="130" w:line="360"/>
        <w:ind w:left="640" w:hanging="640"/>
        <w:jc w:val="both"/>
      </w:pP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Hirota M, Uozato H, Kawamorita T, Shibata Y, Yamamoto S.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2013;90(7):650–657. https://doi.org/10.1097/OPX.0b013e31829962ec</w:t>
      </w:r>
    </w:p>
    <w:p>
      <w:pPr>
        <w:spacing w:after="130" w:line="360"/>
        <w:ind w:left="640" w:hanging="640"/>
        <w:jc w:val="both"/>
      </w:pP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Redondo B, Jiménez R, Vera J, Rosenfield M.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2025;258:110463. https://doi.org/10.1016/j.exer.2025.110463</w:t>
      </w:r>
    </w:p>
    <w:p>
      <w:pPr>
        <w:spacing w:after="130" w:line="360"/>
        <w:ind w:left="640" w:hanging="640"/>
        <w:jc w:val="both"/>
      </w:pP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2023;4(1):zpad006. https://doi.org/10.1093/sleepadvances/zpad006</w:t>
      </w:r>
    </w:p>
    <w:p>
      <w:pPr>
        <w:spacing w:after="130" w:line="360"/>
        <w:ind w:left="640" w:hanging="640"/>
        <w:jc w:val="both"/>
      </w:pP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Jackson ML, Raj S, Croft RJ, Hayley AC, Downey LA, Kennedy GA, Howard ME.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2016;17(3):251–257. https://doi.org/10.1080/15389588.2015.1055327</w:t>
      </w:r>
    </w:p>
    <w:p>
      <w:pPr>
        <w:spacing w:after="130" w:line="360"/>
        <w:ind w:left="640" w:hanging="640"/>
        <w:jc w:val="both"/>
      </w:pPr>
      <w:r>
        <w:rPr>
          <w:rFonts w:ascii="Times New Roman" w:cs="Times New Roman" w:eastAsia="Times New Roman" w:hAnsi="Times New Roman"/>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Klinke T, Hannak W, Böning K, Jakstat H.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2024;74(4):892–896. https://doi.org/10.1016/j.identj.2023.12.009</w:t>
      </w:r>
    </w:p>
    <w:p>
      <w:pPr>
        <w:spacing w:after="130" w:line="360"/>
        <w:ind w:left="640" w:hanging="640"/>
        <w:jc w:val="both"/>
      </w:pP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Pavel IA, Bogdanici CM, Donica VC, Anton N, Savu B, Chiriac CP, et al. Computer Vision Syndrome: An Ophthalmic Pathology of the Modern Era. </w:t>
      </w:r>
      <w:r>
        <w:rPr>
          <w:rFonts w:ascii="Times New Roman" w:cs="Times New Roman" w:eastAsia="Times New Roman" w:hAnsi="Times New Roman"/>
          <w:b w:val="false"/>
          <w:bCs w:val="false"/>
          <w:i/>
          <w:iCs/>
          <w:sz w:val="24"/>
          <w:szCs w:val="24"/>
        </w:rPr>
        <w:t xml:space="preserve">Medicina.</w:t>
      </w:r>
      <w:r>
        <w:rPr>
          <w:rFonts w:ascii="Times New Roman" w:cs="Times New Roman" w:eastAsia="Times New Roman" w:hAnsi="Times New Roman"/>
          <w:b w:val="false"/>
          <w:bCs w:val="false"/>
          <w:i w:val="false"/>
          <w:iCs w:val="false"/>
          <w:sz w:val="24"/>
          <w:szCs w:val="24"/>
        </w:rPr>
        <w:t xml:space="preserve"> 2023;59(2):412. https://doi.org/10.3390/medicina59020412</w:t>
      </w:r>
    </w:p>
    <w:p>
      <w:pPr>
        <w:spacing w:after="130" w:line="360"/>
        <w:ind w:left="640" w:hanging="640"/>
        <w:jc w:val="both"/>
      </w:pPr>
      <w:r>
        <w:rPr>
          <w:rFonts w:ascii="Times New Roman" w:cs="Times New Roman" w:eastAsia="Times New Roman" w:hAnsi="Times New Roman"/>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Soukupová T, Čech J.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 (CVWW).</w:t>
      </w:r>
      <w:r>
        <w:rPr>
          <w:rFonts w:ascii="Times New Roman" w:cs="Times New Roman" w:eastAsia="Times New Roman" w:hAnsi="Times New Roman"/>
          <w:b w:val="false"/>
          <w:bCs w:val="false"/>
          <w:i w:val="false"/>
          <w:iCs w:val="false"/>
          <w:sz w:val="24"/>
          <w:szCs w:val="24"/>
        </w:rPr>
        <w:t xml:space="preserve"> Rimske Toplice, Slovenia; 2016.</w:t>
      </w:r>
    </w:p>
    <w:p>
      <w:pPr>
        <w:spacing w:after="130" w:line="360"/>
        <w:ind w:left="640" w:hanging="640"/>
        <w:jc w:val="both"/>
      </w:pPr>
      <w:r>
        <w:rPr>
          <w:rFonts w:ascii="Times New Roman" w:cs="Times New Roman" w:eastAsia="Times New Roman" w:hAnsi="Times New Roman"/>
          <w:sz w:val="24"/>
          <w:szCs w:val="24"/>
        </w:rPr>
        <w:t xml:space="preserve">36.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World Wide Web Consortium (W3C).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 Success Criteria 1.4.3 and 1.4.6; definitions of contrast ratio and relative luminance. W3C Recommendation. https://www.w3.org/TR/WCAG22/</w:t>
      </w:r>
    </w:p>
    <w:p>
      <w:pPr>
        <w:spacing w:after="130" w:line="360"/>
        <w:ind w:left="640" w:hanging="640"/>
        <w:jc w:val="both"/>
      </w:pPr>
      <w:r>
        <w:rPr>
          <w:rFonts w:ascii="Times New Roman" w:cs="Times New Roman" w:eastAsia="Times New Roman" w:hAnsi="Times New Roman"/>
          <w:sz w:val="24"/>
          <w:szCs w:val="24"/>
        </w:rPr>
        <w:t xml:space="preserve">37.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Advanced Perceptual Contrast Algorithm (APCA) — candidate perceptual contrast method incorporating polarity and typographic parameters, under development for a future generation of the accessibility guidelines. https://git.apcacontrast.com/</w:t>
      </w:r>
    </w:p>
    <w:p>
      <w:pPr>
        <w:spacing w:after="130" w:line="360"/>
        <w:ind w:left="640" w:hanging="640"/>
        <w:jc w:val="both"/>
      </w:pPr>
      <w:r>
        <w:rPr>
          <w:rFonts w:ascii="Times New Roman" w:cs="Times New Roman" w:eastAsia="Times New Roman" w:hAnsi="Times New Roman"/>
          <w:sz w:val="24"/>
          <w:szCs w:val="24"/>
        </w:rPr>
        <w:t xml:space="preserve">38.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Sethi T, Ziat M.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2023;66(12):1814–1828. https://doi.org/10.1080/00140139.2022.2160879</w:t>
      </w:r>
    </w:p>
    <w:p>
      <w:pPr>
        <w:spacing w:after="130" w:line="360"/>
        <w:ind w:left="640" w:hanging="640"/>
        <w:jc w:val="both"/>
      </w:pPr>
      <w:r>
        <w:rPr>
          <w:rFonts w:ascii="Times New Roman" w:cs="Times New Roman" w:eastAsia="Times New Roman" w:hAnsi="Times New Roman"/>
          <w:sz w:val="24"/>
          <w:szCs w:val="24"/>
        </w:rPr>
        <w:t xml:space="preserve">39.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Lin C, et al.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2024;67(11):1491–1503. https://doi.org/10.1080/00140139.2024.2339439</w:t>
      </w:r>
    </w:p>
    <w:p>
      <w:pPr>
        <w:spacing w:after="130" w:line="360"/>
        <w:ind w:left="640" w:hanging="640"/>
        <w:jc w:val="both"/>
      </w:pPr>
      <w:r>
        <w:rPr>
          <w:rFonts w:ascii="Times New Roman" w:cs="Times New Roman" w:eastAsia="Times New Roman" w:hAnsi="Times New Roman"/>
          <w:sz w:val="24"/>
          <w:szCs w:val="24"/>
        </w:rPr>
        <w:t xml:space="preserve">40.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Hart SG, Staveland LE. Development of NASA-TLX (Task Load Index): Results of empirical and theoretical research. In: Hancock PA, Meshkati N, editors.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Amsterdam: North-Holland; 1988. p. 139–183.</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320" w:line="36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320" w:line="36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320" w:line="36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60" w:before="3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140" w:before="26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120" w:before="22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2026-08-06T13:38:18.172Z</dcterms:created>
  <dcterms:modified xsi:type="dcterms:W3CDTF">2026-08-06T13:38:18.172Z</dcterms:modified>
</cp:coreProperties>
</file>

<file path=docProps/custom.xml><?xml version="1.0" encoding="utf-8"?>
<Properties xmlns="http://schemas.openxmlformats.org/officeDocument/2006/custom-properties" xmlns:vt="http://schemas.openxmlformats.org/officeDocument/2006/docPropsVTypes"/>
</file>