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1.1 Background</w:t>
      </w:r>
    </w:p>
    <w:p>
      <w:pPr>
        <w:spacing w:after="60" w:line="36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60" w:line="36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60" w:line="36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themselves, which need not be black or white.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is the amount of light the screen emits.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60" w:line="36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60" w:line="36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60" w: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et al., 2024). Prevalence was higher among women (71.4 versus 61.8 per cent) and university students (76.1 per cent), and reviews report a further rise with remote work and study, reaching 50 to 60 per cent among children (Kaur et al., 2022; Sheppard &amp; Wolffsohn, 2018). The wide spread between studies is itself informative: case definitions remain unstandardised, and the prevalence synthesis closes by calling for one (Ccami-Bernal et al., 2024).</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1.2 Biophysiological basis</w:t>
      </w:r>
    </w:p>
    <w:p>
      <w:pPr>
        <w:spacing w:after="60" w:line="36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60" w:line="360"/>
        <w:jc w:val="both"/>
      </w:pPr>
      <w:r>
        <w:rPr>
          <w:rFonts w:ascii="Times New Roman" w:cs="Times New Roman" w:eastAsia="Times New Roman" w:hAnsi="Times New Roman"/>
          <w:b w:val="false"/>
          <w:bCs w:val="false"/>
          <w:i w:val="false"/>
          <w:iCs w:val="false"/>
          <w:sz w:val="24"/>
          <w:szCs w:val="24"/>
        </w:rPr>
        <w:t xml:space="preserve">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To read at arm's length the eye must bend light more strongly, which it does by changing the shape of its lens; this is called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At the same time both eyes must turn slightly inward so that the two images fuse into one, which is called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Holding both for a long period is effortful, and when that effort accumulates it produces difficulty focusing, blurred vision, a temporary shift towards short-sightedness after close work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w:t>
      </w:r>
    </w:p>
    <w:p>
      <w:pPr>
        <w:spacing w:after="60" w:line="360"/>
        <w:jc w:val="both"/>
      </w:pPr>
      <w:r>
        <w:rPr>
          <w:rFonts w:ascii="Times New Roman" w:cs="Times New Roman" w:eastAsia="Times New Roman" w:hAnsi="Times New Roman"/>
          <w:b w:val="false"/>
          <w:bCs w:val="false"/>
          <w:i w:val="false"/>
          <w:iCs w:val="false"/>
          <w:sz w:val="24"/>
          <w:szCs w:val="24"/>
        </w:rPr>
        <w:t xml:space="preserve">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the exposed front of the eye. It is kept smooth and comfortable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which is renewed each time the eyelids close fully. When that renewal is disrupted, the surface dries and the result is dryness, burning and irritation. It is this second mechanism that the present study measures most directly.</w:t>
      </w:r>
    </w:p>
    <w:p>
      <w:pPr>
        <w:spacing w:after="60" w: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and unprotected, so the tear film thins and breaks up sooner, and the surface enters the recognised inflammatory cycle of dry eye disease (Fjaervoll et al., 2022; Kamøy et al.,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et al., 2022). The accommodative route is more heterogeneously evidenced but responds measurably to display parameters (Jiménez et al., 2020; Redondo et al.,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60" w: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et al., 2014; Piepenbrock et al.,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et al., 2024; Jiménez et al.,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interacting with the same mechanism (Dobres et al., 2017; Fan et al., 2024).</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1.4 Statement of the problem</w:t>
      </w:r>
    </w:p>
    <w:p>
      <w:pPr>
        <w:spacing w:after="6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et al.,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et al., 2022). A separate review in younger users reached the same conclusion on blue-blocking filters, supporting ergonomic optimisation and shorter exposure instead (Mataftsi et al., 2023).</w:t>
      </w:r>
    </w:p>
    <w:p>
      <w:pPr>
        <w:spacing w:after="60" w: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et al., 2020), or to a single polarity (Fan et al., 2024).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(Argilés et al., 2015; Hirota et al., 2013; Portello et al., 2013).</w:t>
      </w:r>
    </w:p>
    <w:p>
      <w:pPr>
        <w:spacing w:after="60" w: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1.5 Rationale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60" w:line="36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60" w: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et al.,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1.6 Aim</w:t>
      </w:r>
    </w:p>
    <w:p>
      <w:pPr>
        <w:spacing w:after="6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1.7 Objectives</w:t>
      </w:r>
    </w:p>
    <w:p>
      <w:pPr>
        <w:spacing w:after="60" w:line="360"/>
        <w:jc w:val="both"/>
      </w:pPr>
      <w:r>
        <w:rPr>
          <w:rFonts w:ascii="Times New Roman" w:cs="Times New Roman" w:eastAsia="Times New Roman" w:hAnsi="Times New Roman"/>
          <w:b/>
          <w:bCs/>
          <w:i w:val="false"/>
          <w:iCs w:val="false"/>
          <w:sz w:val="24"/>
          <w:szCs w:val="24"/>
        </w:rPr>
        <w:t xml:space="preserve">Primary objectives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60" w:line="360"/>
        <w:jc w:val="both"/>
      </w:pPr>
      <w:r>
        <w:rPr>
          <w:rFonts w:ascii="Times New Roman" w:cs="Times New Roman" w:eastAsia="Times New Roman" w:hAnsi="Times New Roman"/>
          <w:b/>
          <w:bCs/>
          <w:i w:val="false"/>
          <w:iCs w:val="false"/>
          <w:sz w:val="24"/>
          <w:szCs w:val="24"/>
        </w:rPr>
        <w:t xml:space="preserve">Methodological objective</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1.8 Hypotheses</w:t>
      </w:r>
    </w:p>
    <w:p>
      <w:pPr>
        <w:spacing w:after="6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w:t>
      </w:r>
    </w:p>
    <w:p>
      <w:pPr>
        <w:spacing w:after="60" w:line="36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60" w:line="36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60" w: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60" w: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(Dobres et al., 2017).</w:t>
      </w:r>
    </w:p>
    <w:p>
      <w:pPr>
        <w:spacing w:after="60" w: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et al., 2024).</w:t>
      </w:r>
    </w:p>
    <w:p>
      <w:pPr>
        <w:spacing w:after="60" w: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1.9 Conceptual framework</w:t>
      </w:r>
    </w:p>
    <w:p>
      <w:pPr>
        <w:spacing w:after="6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et al., 2014; Warm et al., 2008); sleepiness, indexed by PERCLOS, and disengagement are treated as measured confounders; participant characteristics modulate susceptibility throughout.</w:t>
      </w:r>
    </w:p>
    <w:p>
      <w:pPr>
        <w:spacing w:after="60" w: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330"/>
        <w:gridCol w:w="1068"/>
        <w:gridCol w:w="1047"/>
        <w:gridCol w:w="1701"/>
        <w:gridCol w:w="1744"/>
        <w:gridCol w:w="1531"/>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Pathway</w:t>
            </w:r>
          </w:p>
        </w:tc>
        <w:tc>
          <w:tcPr>
            <w:tcW w:type="dxa" w:w="133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Antecedent (independent variable)</w:t>
            </w:r>
          </w:p>
        </w:tc>
        <w:tc>
          <w:tcPr>
            <w:tcW w:type="dxa" w:w="10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Proximal mechanism</w:t>
            </w:r>
          </w:p>
        </w:tc>
        <w:tc>
          <w:tcPr>
            <w:tcW w:type="dxa" w:w="104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Mediating state</w:t>
            </w:r>
          </w:p>
        </w:tc>
        <w:tc>
          <w:tcPr>
            <w:tcW w:type="dxa" w:w="170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Symptom cluster</w:t>
            </w:r>
          </w:p>
        </w:tc>
        <w:tc>
          <w:tcPr>
            <w:tcW w:type="dxa" w:w="174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Measured outcome (P = primary, S = secondary)</w:t>
            </w:r>
          </w:p>
        </w:tc>
        <w:tc>
          <w:tcPr>
            <w:tcW w:type="dxa" w:w="153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Evidence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Optical / refractive</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luminance and polarity; ambient illuminance</w:t>
            </w:r>
          </w:p>
        </w:tc>
        <w:tc>
          <w:tcPr>
            <w:tcW w:type="dxa" w:w="10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Pupil diameter → aberration and depth of focus</w:t>
            </w:r>
          </w:p>
        </w:tc>
        <w:tc>
          <w:tcPr>
            <w:tcW w:type="dxa" w:w="10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Retinal image quality; accommodative demand</w:t>
            </w:r>
          </w:p>
        </w:tc>
        <w:tc>
          <w:tcPr>
            <w:tcW w:type="dxa" w:w="17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Accommodative/vergence (blur, focusing difficulty, headache, transient myopia)</w:t>
            </w:r>
          </w:p>
        </w:tc>
        <w:tc>
          <w:tcPr>
            <w:tcW w:type="dxa" w:w="17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rate (S); comprehension (S); visual search (S); perceived clarity (S)</w:t>
            </w:r>
          </w:p>
        </w:tc>
        <w:tc>
          <w:tcPr>
            <w:tcW w:type="dxa" w:w="153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2017; Jiménez et al., 2020; Piepenbrock et al., 2014; Piepenbrock et al., 2014; Redondo et al., 2025)</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surface</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Luminance contrast; chromaticity; visual and cognitive demand</w:t>
            </w:r>
          </w:p>
        </w:tc>
        <w:tc>
          <w:tcPr>
            <w:tcW w:type="dxa" w:w="10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Reduced blink rate; increased incomplete blinking</w:t>
            </w:r>
          </w:p>
        </w:tc>
        <w:tc>
          <w:tcPr>
            <w:tcW w:type="dxa" w:w="10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Exposed evaporative area; tear-film stability</w:t>
            </w:r>
          </w:p>
        </w:tc>
        <w:tc>
          <w:tcPr>
            <w:tcW w:type="dxa" w:w="17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surface (dryness, burning, irritation)</w:t>
            </w:r>
          </w:p>
        </w:tc>
        <w:tc>
          <w:tcPr>
            <w:tcW w:type="dxa" w:w="17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Incomplete-blink ratio (P); CVS-Q change (key S); blink rate, inter-blink interval, VAS (S)</w:t>
            </w:r>
          </w:p>
        </w:tc>
        <w:tc>
          <w:tcPr>
            <w:tcW w:type="dxa" w:w="153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 2015; Fjaervoll et al., 2022; Hirota et al., 2013; Kamøy et al., 2022; Portello et al., 2013)</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Cross-cutting</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Time on task; sleepiness; disengagement; participant factors</w:t>
            </w:r>
          </w:p>
        </w:tc>
        <w:tc>
          <w:tcPr>
            <w:tcW w:type="dxa" w:w="10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Resource depletion; arousal state; habituation</w:t>
            </w:r>
          </w:p>
        </w:tc>
        <w:tc>
          <w:tcPr>
            <w:tcW w:type="dxa" w:w="10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Sustained-attention capacity; response criterion</w:t>
            </w:r>
          </w:p>
        </w:tc>
        <w:tc>
          <w:tcPr>
            <w:tcW w:type="dxa" w:w="17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17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RT variability and lapses (S); PERCLOS (covariate); engagement flags (quality control)</w:t>
            </w:r>
          </w:p>
        </w:tc>
        <w:tc>
          <w:tcPr>
            <w:tcW w:type="dxa" w:w="153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(Abe et al., 2014; Abe, 2023; Jackson et al., 2016; Warm et al., 2008)</w:t>
            </w:r>
          </w:p>
        </w:tc>
      </w:tr>
    </w:tbl>
    <w:p>
      <w:pPr>
        <w:spacing w:after="90"/>
      </w:pPr>
      <w:r>
        <w:rPr>
          <w:sz w:val="12"/>
          <w:szCs w:val="12"/>
        </w:rPr>
        <w:t xml:space="preserve"/>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et al., 2024). One finding carries methodological force: prevalence was higher in studies that did not use the Computer Vision Syndrome Questionnaire (75.4 per cent), and meta-regression associated use of that instrument with lower estimates (Ccami-Bernal et al.,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et al., 2024; Mataftsi et al., 2023; Pucker et al., 2024; Sheppard &amp; Wolffsohn, 2018), and note that preventive measures acting at different points of the dry-eye cycle may be complementary (Kamøy et al., 2022).</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2.2 Display polarity</w:t>
      </w:r>
    </w:p>
    <w:p>
      <w:pPr>
        <w:spacing w:after="6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60" w: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71"/>
        <w:gridCol w:w="650"/>
        <w:gridCol w:w="650"/>
        <w:gridCol w:w="2938"/>
        <w:gridCol w:w="2938"/>
        <w:gridCol w:w="474"/>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77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93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 and manipulation</w:t>
            </w:r>
          </w:p>
        </w:tc>
        <w:tc>
          <w:tcPr>
            <w:tcW w:type="dxa" w:w="293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47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polarity × illumination × chromaticity</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Polarity advantage independent of lighting and chromaticity; colour contrast cannot replace luminance contrast</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Short task; no ocular or symptom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Piepenbrock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Pupillometry with proofreading; polarity</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Smaller pupils and better performance under positive polarity</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 only; no fatigue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Piepenbrock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polarity × character size</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Advantage increased linearly as character size decreased</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 brief exposure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Adaptive-staircase psychophysics; typeface × polarity × size × age</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Black-on-white more legible than white-on-black; typeface interacted with age</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Glance reading only; threshold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Lexical decision; polarity × illumination × size</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Thresholds worst for negative polarity under near-dark light</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 fatigue or ocular-surface outcomes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Sethi &amp; Ziat</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with subjective and affective measures; polarity × environment × age × task</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Higher cognitive load under negative polarity, conditional on age and lighting</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Search and writing tasks; no ocular-surface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w:t>
            </w:r>
          </w:p>
        </w:tc>
        <w:tc>
          <w:tcPr>
            <w:tcW w:type="dxa" w:w="7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Lin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Visual-ergonomic optimisation; luminance × polarity at 300 lux</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Positive polarity preferable; optimum display luminance 153 cd/m²</w:t>
            </w:r>
          </w:p>
        </w:tc>
        <w:tc>
          <w:tcPr>
            <w:tcW w:type="dxa" w:w="4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Desktop head-up display; office lighting only; achromatic</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6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60" w: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38"/>
        <w:gridCol w:w="650"/>
        <w:gridCol w:w="650"/>
        <w:gridCol w:w="2813"/>
        <w:gridCol w:w="2813"/>
        <w:gridCol w:w="757"/>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73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81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 and manipulation</w:t>
            </w:r>
          </w:p>
        </w:tc>
        <w:tc>
          <w:tcPr>
            <w:tcW w:type="dxa" w:w="281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75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7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colour contrast vs luminance contrast (red-on-green)</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contrast cannot compensate for absent luminance contrast</w:t>
            </w:r>
          </w:p>
        </w:tc>
        <w:tc>
          <w:tcPr>
            <w:tcW w:type="dxa" w:w="75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chromatic pair; short task</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7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Jiménez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Binocular open-field autorefractometry; 14 text–background colour combinations, 2-min passages</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modulated accommodative and pupillary dynamics; low-contrast pairs rated less legible; reading speed unaffected</w:t>
            </w:r>
          </w:p>
        </w:tc>
        <w:tc>
          <w:tcPr>
            <w:tcW w:type="dxa" w:w="75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2-min exposure; no symptom-level outcome; lab instrumentation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7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Xie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and Likert scales; 2 colour modes × 6 luminance-contrast ratios at night</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mode raised blink rate and pupil accommodation, yet light mode was rated less fatiguing and preferred</w:t>
            </w:r>
          </w:p>
        </w:tc>
        <w:tc>
          <w:tcPr>
            <w:tcW w:type="dxa" w:w="75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Objective–subjective dissociation unexplained; night conditions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7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Tian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tracker and EEG; paradigm colour × screen brightness in a dark environment</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screen brightness reduced fatigue; blue preferred to red; no EEG colour effect</w:t>
            </w:r>
          </w:p>
        </w:tc>
        <w:tc>
          <w:tcPr>
            <w:tcW w:type="dxa" w:w="75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Non-reading paradigm stimuli; no ocular-surface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7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during reading; ambient illumination × text colour, negative polarity only</w:t>
            </w:r>
          </w:p>
        </w:tc>
        <w:tc>
          <w:tcPr>
            <w:tcW w:type="dxa" w:w="281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 most fatiguing, yellow least; performance better with yellow and white</w:t>
            </w:r>
          </w:p>
        </w:tc>
        <w:tc>
          <w:tcPr>
            <w:tcW w:type="dxa" w:w="75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only; hue confounded with contrast</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et al., 2020) and those finding effects on fatigue and performance (Fan et al., 2024), which neither was designed to estimate. More consequentially, none separates hue from luminance contrast: because chromatic pigments differ in relative luminance, a fixed colour set rendered on light and dark fields produces unequal, polarity-asymmetric contrasts, so contrast is an inseparable covarying property of any colour manipulation and must be modelled (Buchner &amp; Baumgartner, 2007). Xie and colleagues add (2021) a complication directly relevant here, their objective and subjective indices pointing in opposite directions, dark mode improving blink measures while light mode was preferred and rated less fatiguing.</w:t>
      </w:r>
    </w:p>
    <w:p>
      <w:pPr>
        <w:spacing w:after="60" w: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et al., 2017; Piepenbrock et al., 2014; Piepenbrock et al., 2014a, 2014b) is a problem to which empirical work can contribute.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et al., 2017) and the fatigue cost of coloured text under it (Fan et al., 2024), consistent with a pupil-mediated account in which room light and display polarity trade against one another (Table 2.3).</w:t>
      </w:r>
    </w:p>
    <w:p>
      <w:pPr>
        <w:spacing w:after="60" w: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814"/>
        <w:gridCol w:w="650"/>
        <w:gridCol w:w="650"/>
        <w:gridCol w:w="2058"/>
        <w:gridCol w:w="2791"/>
        <w:gridCol w:w="458"/>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181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05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Illumination manipulated</w:t>
            </w:r>
          </w:p>
        </w:tc>
        <w:tc>
          <w:tcPr>
            <w:tcW w:type="dxa" w:w="279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45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181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0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Darkness vs typical office lighting</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Positive polarity advantage independent of ambient lighting</w:t>
            </w:r>
          </w:p>
        </w:tc>
        <w:tc>
          <w:tcPr>
            <w:tcW w:type="dxa" w:w="4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coarse levels; proofreading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181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0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Near-dark vs daylight-like</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worst under near-dark; raising illumination or switching polarity restored legibility</w:t>
            </w:r>
          </w:p>
        </w:tc>
        <w:tc>
          <w:tcPr>
            <w:tcW w:type="dxa" w:w="4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Threshold legibility only; no fatigue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181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Xie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0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ambient illumination at night, 6 contrast ratios</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mode and contrast jointly affected fatigue under low light</w:t>
            </w:r>
          </w:p>
        </w:tc>
        <w:tc>
          <w:tcPr>
            <w:tcW w:type="dxa" w:w="4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Night conditions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181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Tian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0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environment, graded screen brightness</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screen brightness in darkness reduced fatigue; sensitivity most vulnerable at medium-high brightness</w:t>
            </w:r>
          </w:p>
        </w:tc>
        <w:tc>
          <w:tcPr>
            <w:tcW w:type="dxa" w:w="4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Non-reading stimuli</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181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0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Graded ambient illumination, negative polarity</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Higher illumination reduced fatigue, by an amount depending on text colour</w:t>
            </w:r>
          </w:p>
        </w:tc>
        <w:tc>
          <w:tcPr>
            <w:tcW w:type="dxa" w:w="4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181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([Authors], 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20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Bright vs dark room × bright vs dark screen, 30-min reading</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room with bright screen most destabilised the tear film; incomplete-blink rate rose over time in all groups</w:t>
            </w:r>
          </w:p>
        </w:tc>
        <w:tc>
          <w:tcPr>
            <w:tcW w:type="dxa" w:w="4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Smartphone; four combinations only; polarity not manipulated</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(Buchner &amp; Baumgartner, 2007) whereas threshold legibility showed a clear interaction (Dobres et al., 2017),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([Authors], 2025).</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6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et al., 2022; Kamøy et al., 2022; Sheppard &amp; Wolffsohn, 2018), and the proportion of blinks that fail to close fully has the strongest claim to specificity (Table 2.4).</w:t>
      </w:r>
    </w:p>
    <w:p>
      <w:pPr>
        <w:spacing w:after="60" w: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728"/>
        <w:gridCol w:w="650"/>
        <w:gridCol w:w="650"/>
        <w:gridCol w:w="2658"/>
        <w:gridCol w:w="2658"/>
        <w:gridCol w:w="77"/>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172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65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 and task</w:t>
            </w:r>
          </w:p>
        </w:tc>
        <w:tc>
          <w:tcPr>
            <w:tcW w:type="dxa" w:w="265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7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172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Cardona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25</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amplitude, tear film; fast vs slow display task</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fell to one-third (fast) and one-half (slow) of baseline; more incomplete blinks when dynamic</w:t>
            </w:r>
          </w:p>
        </w:tc>
        <w:tc>
          <w:tcPr>
            <w:tcW w:type="dxa" w:w="7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Game task, not reading; manual video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172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Portello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completeness, symptom score; 15-min reading</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 blinks 0.9–56.5% (mean 16.1); symptoms correlated with incomplete-blink % (p = 0.002); raising blink rate did not help</w:t>
            </w:r>
          </w:p>
        </w:tc>
        <w:tc>
          <w:tcPr>
            <w:tcW w:type="dxa" w:w="7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condition; small sample; manual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172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Hirota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composition and tear break-up time; 60-min task</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Break-up time fell 8.62→4.33 s at 30 min, recovering as incomplete blinking declined; quality, not frequency, governs stability</w:t>
            </w:r>
          </w:p>
        </w:tc>
        <w:tc>
          <w:tcPr>
            <w:tcW w:type="dxa" w:w="7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Very small sample; single display condition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172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50</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completeness across 6 hard-copy and electronic reading conditions</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All reading reduced blink rate; incomplete blinks rose only on electronic platforms</w:t>
            </w:r>
          </w:p>
        </w:tc>
        <w:tc>
          <w:tcPr>
            <w:tcW w:type="dxa" w:w="7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parameters not manipulated; manual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172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Jackson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and driving performance after 24-h sleep deprivation</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correlated with vigilance variability (r = 0.68) and lane position (r = 0.61)</w:t>
            </w:r>
          </w:p>
        </w:tc>
        <w:tc>
          <w:tcPr>
            <w:tcW w:type="dxa" w:w="7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Drowsiness, not visual fatigue; extreme manipulation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172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([Authors], 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Tear-film indices and blink parameters; 30-min reading, 4 lighting–brightness combinations</w:t>
            </w:r>
          </w:p>
        </w:tc>
        <w:tc>
          <w:tcPr>
            <w:tcW w:type="dxa" w:w="265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room with bright screen most destabilised the tear film; incomplete-blink rate rose over time in all groups</w:t>
            </w:r>
          </w:p>
        </w:tc>
        <w:tc>
          <w:tcPr>
            <w:tcW w:type="dxa" w:w="7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Smartphone; polarity and text colour not manipulated</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Three findings together forbid reading blink rate as a simple index of fatigue: it is suppressed by reading irrespective of medium (Argilés et al., 2015) and by task dynamism at matched cognitive load (Cardona et al., 2011); total rate can remain stable while the complete-to-incomplete composition shifts (Hirota et al., 2013); and raising blink rate experimentally produced no change in symptom score (Portello et al., 2013). The incomplete-blink ratio, referenced to a within-participant baseline, is therefore the better-justified primary marker. Every study in Table 2.4 relied on manual frame-by-frame coding or dedicated hardware, and none manipulated display polarity or text colour.</w:t>
      </w:r>
    </w:p>
    <w:p>
      <w:pPr>
        <w:spacing w:after="60" w: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et al., 2016). Its documented insensitivity in moderate drowsiness (Abe, 2023) dictates its role here as a covariate for sleepiness rather than a measure of visual fatigue.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6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et al.,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et al., 2008), with lapses and reaction-time variability its most fatigue-sensitive indices (Abe et al., 2014). Attentional and visual-fatigue outcomes therefore share time on task as a driver and must be measured together if they are to be distinguished.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et al., 2015). Cross-cultural validation reports internal consistency of 0.793, sensitivity 78.5 per cent, specificity 70.7 per cent, convergent validity with the Ocular Surface Disease Index of 0.728 and a cut-off of seven (Cantó-Sancho et al.,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60" w: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et al., 2015; Hirota et al., 2013; Portello et al.,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2.8 Research gaps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the best of the available evidence the interaction between polarity and text colour on visual fatigue remains unestimated, since the only located text-colour fatigue study held polarity constant (Fan et al., 2024), and hue has not been separated from luminance contrast in the studies located (Buchner &amp; Baumgartner, 2007; Fan et al., 2024; Jiménez et al., 2020; Xie et al., 2021).</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study reports contrast metrics alongside measured display photometry, and the prevailing standard is polarity-blind (Advanced Perceptual Contrast Algorithm, n.d.; World Wide Web Consortium, 2023). Three-way effects of polarity, colour and illumination remain uncharacterised, the available two-way findings being in partial conflict (Buchner &amp; Baumgartner, 2007; Dobres et al., 2017; Fan et al., 2024).</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have been measured, they have pointed in opposite directions (Xie et al., 2021).</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display-parameter manipulation despite its specificity ([Authors], 2025; Argilés et al., 2015; Hirota et al., 2013; Portello et al., 2013), and its measurement does not scale, no automated implementation having been validated against manual annotation in the literature located.</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 Study design</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All three factors are therefore within-participant, but illumination acts as the session-level (whole-plot) factor and polarity × text colour as within-session (sub-plot) factors.</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60" w: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 — Preparation: ethics approval; instrument development and pilot; photometric characterisation of the tablet</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 (Figure 3.2)</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III — Session 1: 10 display conditions under illumination level A, in Williams order</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IV — Session 2 after 48–72 h: the same 10 conditions under illumination level B</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V — Data processing: automated ocular metrics, quality-control gating, manual-annotation validation sub-study</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VI — Mixed-effects analysis, design recommendations, thesis</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60" w: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60" w:line="360"/>
        <w:jc w:val="both"/>
      </w:pPr>
      <w:r>
        <w:rPr>
          <w:rFonts w:ascii="Times New Roman" w:cs="Times New Roman" w:eastAsia="Times New Roman" w:hAnsi="Times New Roman"/>
          <w:b w:val="false"/>
          <w:bCs w:val="false"/>
          <w:i w:val="false"/>
          <w:iCs w:val="false"/>
          <w:sz w:val="24"/>
          <w:szCs w:val="24"/>
        </w:rPr>
        <w:t xml:space="preserve">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attrition across the two sessions. The figure is a multiple of ten, which the Williams counterbalancing scheme requires for complete balance (§3.8), and it follows from a simulation-based power analysis rather than from a formula that assumes independent observations, which would be inappropriate here.</w:t>
      </w:r>
    </w:p>
    <w:p>
      <w:pPr>
        <w:spacing w:after="60" w:line="360"/>
        <w:jc w:val="both"/>
      </w:pPr>
      <w:r>
        <w:rPr>
          <w:rFonts w:ascii="Times New Roman" w:cs="Times New Roman" w:eastAsia="Times New Roman" w:hAnsi="Times New Roman"/>
          <w:b w:val="false"/>
          <w:bCs w:val="false"/>
          <w:i w:val="false"/>
          <w:iCs w:val="false"/>
          <w:sz w:val="24"/>
          <w:szCs w:val="24"/>
        </w:rPr>
        <w:t xml:space="preserve">The design has two distinct units of replication, and the required sample differs between them. Within-participant contrasts, which cover Objectives 1 and 2 and both the primary and key secondary outcomes, are tested on participant-level difference scores; each participant contributes twenty condition-runs, so these contrasts are efficient. Between-participant moderation, which is Objective 3, is tested across participants and is far more demanding. Table 3.1 gives the simulated power.</w:t>
      </w:r>
    </w:p>
    <w:p>
      <w:pPr>
        <w:spacing w:after="60" w:line="360"/>
        <w:jc w:val="both"/>
      </w:pPr>
      <w:r>
        <w:rPr>
          <w:rFonts w:ascii="Times New Roman" w:cs="Times New Roman" w:eastAsia="Times New Roman" w:hAnsi="Times New Roman"/>
          <w:b/>
          <w:bCs/>
          <w:i w:val="false"/>
          <w:iCs w:val="false"/>
          <w:sz w:val="24"/>
          <w:szCs w:val="24"/>
        </w:rPr>
        <w:t xml:space="preserve">Table 3.1 — Simulation-based power (20,000 replications per cell, two-sided α =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475"/>
        <w:gridCol w:w="1330"/>
        <w:gridCol w:w="726"/>
        <w:gridCol w:w="847"/>
        <w:gridCol w:w="847"/>
        <w:gridCol w:w="846"/>
      </w:tblGrid>
      <w:tr>
        <w:trPr>
          <w:tblHeader/>
        </w:trPr>
        <w:tc>
          <w:tcPr>
            <w:tcW w:type="dxa" w:w="4475"/>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Analysis</w:t>
            </w:r>
          </w:p>
        </w:tc>
        <w:tc>
          <w:tcPr>
            <w:tcW w:type="dxa" w:w="133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Effect size</w:t>
            </w:r>
          </w:p>
        </w:tc>
        <w:tc>
          <w:tcPr>
            <w:tcW w:type="dxa" w:w="726"/>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 = 60</w:t>
            </w:r>
          </w:p>
        </w:tc>
        <w:tc>
          <w:tcPr>
            <w:tcW w:type="dxa" w:w="84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 = 100</w:t>
            </w:r>
          </w:p>
        </w:tc>
        <w:tc>
          <w:tcPr>
            <w:tcW w:type="dxa" w:w="84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 = 130</w:t>
            </w:r>
          </w:p>
        </w:tc>
        <w:tc>
          <w:tcPr>
            <w:tcW w:type="dxa" w:w="846"/>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 = 200</w:t>
            </w:r>
          </w:p>
        </w:tc>
      </w:tr>
      <w:tr>
        <w:tc>
          <w:tcPr>
            <w:tcW w:type="dxa" w:w="44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Within: polarity main effect</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d_z = 0.40</w:t>
            </w:r>
          </w:p>
        </w:tc>
        <w:tc>
          <w:tcPr>
            <w:tcW w:type="dxa" w:w="72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86%</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98%</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&gt;99%</w:t>
            </w:r>
          </w:p>
        </w:tc>
        <w:tc>
          <w:tcPr>
            <w:tcW w:type="dxa" w:w="84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&gt;99%</w:t>
            </w:r>
          </w:p>
        </w:tc>
      </w:tr>
      <w:tr>
        <w:tc>
          <w:tcPr>
            <w:tcW w:type="dxa" w:w="44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Within: polarity main effect</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d_z = 0.30</w:t>
            </w:r>
          </w:p>
        </w:tc>
        <w:tc>
          <w:tcPr>
            <w:tcW w:type="dxa" w:w="72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62%</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84%</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92%</w:t>
            </w:r>
          </w:p>
        </w:tc>
        <w:tc>
          <w:tcPr>
            <w:tcW w:type="dxa" w:w="84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99%</w:t>
            </w:r>
          </w:p>
        </w:tc>
      </w:tr>
      <w:tr>
        <w:tc>
          <w:tcPr>
            <w:tcW w:type="dxa" w:w="44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Within: polarity × colour interaction</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d_z = 0.25</w:t>
            </w:r>
          </w:p>
        </w:tc>
        <w:tc>
          <w:tcPr>
            <w:tcW w:type="dxa" w:w="72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47%</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71%</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81%</w:t>
            </w:r>
          </w:p>
        </w:tc>
        <w:tc>
          <w:tcPr>
            <w:tcW w:type="dxa" w:w="84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94%</w:t>
            </w:r>
          </w:p>
        </w:tc>
      </w:tr>
      <w:tr>
        <w:tc>
          <w:tcPr>
            <w:tcW w:type="dxa" w:w="44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Between: moderation, large</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0.60 SD</w:t>
            </w:r>
          </w:p>
        </w:tc>
        <w:tc>
          <w:tcPr>
            <w:tcW w:type="dxa" w:w="72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62%</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84%</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92%</w:t>
            </w:r>
          </w:p>
        </w:tc>
        <w:tc>
          <w:tcPr>
            <w:tcW w:type="dxa" w:w="84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99%</w:t>
            </w:r>
          </w:p>
        </w:tc>
      </w:tr>
      <w:tr>
        <w:tc>
          <w:tcPr>
            <w:tcW w:type="dxa" w:w="44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Between: moderation, moderate</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0.50 SD</w:t>
            </w:r>
          </w:p>
        </w:tc>
        <w:tc>
          <w:tcPr>
            <w:tcW w:type="dxa" w:w="72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48%</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70%</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81%</w:t>
            </w:r>
          </w:p>
        </w:tc>
        <w:tc>
          <w:tcPr>
            <w:tcW w:type="dxa" w:w="84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94%</w:t>
            </w:r>
          </w:p>
        </w:tc>
      </w:tr>
      <w:tr>
        <w:tc>
          <w:tcPr>
            <w:tcW w:type="dxa" w:w="44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Between: moderation, small</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0.40 SD</w:t>
            </w:r>
          </w:p>
        </w:tc>
        <w:tc>
          <w:tcPr>
            <w:tcW w:type="dxa" w:w="72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34%</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51%</w:t>
            </w:r>
          </w:p>
        </w:tc>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62%</w:t>
            </w:r>
          </w:p>
        </w:tc>
        <w:tc>
          <w:tcPr>
            <w:tcW w:type="dxa" w:w="84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80%</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The binding constraint is the polarity-by-colour interaction, which is central to Objective 2 and to the contrast-mediation hypothesis. Achieving 80 per cent power for that interaction at d_z = 0.25 requires approximately 128 participants, and moderate between-participant moderation (0.50 SD) requires approximately 127. A sample of 130 therefore satisfies both at 80 per cent power, while giving better than 90 per cent power for the polarity main effect. Detecting small moderation effects of 0.40 SD would require approximately 200 participants; moderation of that magnitude is accordingly declared exploratory and hypothesis-generating, and will be reported with confidence intervals rather than as a confirmatory test.</w:t>
      </w:r>
    </w:p>
    <w:p>
      <w:pPr>
        <w:spacing w:after="60" w:line="36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not the number of participants. Table 3.2 sets the proposed design against the published studies from which its measures are drawn.</w:t>
      </w:r>
    </w:p>
    <w:p>
      <w:pPr>
        <w:spacing w:after="60" w:line="360"/>
        <w:jc w:val="both"/>
      </w:pPr>
      <w:r>
        <w:rPr>
          <w:rFonts w:ascii="Times New Roman" w:cs="Times New Roman" w:eastAsia="Times New Roman" w:hAnsi="Times New Roman"/>
          <w:b/>
          <w:bCs/>
          <w:i w:val="false"/>
          <w:iCs w:val="false"/>
          <w:sz w:val="24"/>
          <w:szCs w:val="24"/>
        </w:rPr>
        <w:t xml:space="preserve">Table 3.2 —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536"/>
        <w:gridCol w:w="650"/>
        <w:gridCol w:w="650"/>
        <w:gridCol w:w="1268"/>
        <w:gridCol w:w="975"/>
        <w:gridCol w:w="2341"/>
        <w:gridCol w:w="651"/>
      </w:tblGrid>
      <w:tr>
        <w:trPr>
          <w:tblHeader/>
        </w:trPr>
        <w:tc>
          <w:tcPr>
            <w:tcW w:type="dxa" w:w="2536"/>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12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Conditions per participant</w:t>
            </w:r>
          </w:p>
        </w:tc>
        <w:tc>
          <w:tcPr>
            <w:tcW w:type="dxa" w:w="975"/>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Total condition-runs</w:t>
            </w:r>
          </w:p>
        </w:tc>
        <w:tc>
          <w:tcPr>
            <w:tcW w:type="dxa" w:w="234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Ocular measure</w:t>
            </w:r>
          </w:p>
        </w:tc>
        <w:tc>
          <w:tcPr>
            <w:tcW w:type="dxa" w:w="65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Display parameter manipulated</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Hirota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composition, tear break-up</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None</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Jackson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24</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None</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Jiménez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14</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280</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Accommodation, pupil</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Text–background colour</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Portello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42</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completeness</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None</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Cardona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25</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75</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amplitude</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Task dynamism</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([Authors], 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120</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patterns, tear film</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Ambient light × screen brightness</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50</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300</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completeness</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medium</w:t>
            </w:r>
          </w:p>
        </w:tc>
      </w:tr>
      <w:tr>
        <w:tc>
          <w:tcPr>
            <w:tcW w:type="dxa" w:w="2536"/>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Proposed study</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130</w:t>
            </w:r>
          </w:p>
        </w:tc>
        <w:tc>
          <w:tcPr>
            <w:tcW w:type="dxa" w:w="1268"/>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20</w:t>
            </w:r>
          </w:p>
        </w:tc>
        <w:tc>
          <w:tcPr>
            <w:tcW w:type="dxa" w:w="975"/>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2,600</w:t>
            </w:r>
          </w:p>
        </w:tc>
        <w:tc>
          <w:tcPr>
            <w:tcW w:type="dxa" w:w="2341"/>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Incomplete-blink ratio, blink rate, IBI, PERCLOS</w:t>
            </w:r>
          </w:p>
        </w:tc>
        <w:tc>
          <w:tcPr>
            <w:tcW w:type="dxa" w:w="651"/>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Polarity × colour × illumination</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No located study has combined a sample of this size with per-condition ocular measurement under a manipulated display parameter. The proposed design yields roughly nine times the condition-runs of the largest comparable study, and is the first in this group to manipulate polarity, text colour and ambient illumination together.</w:t>
      </w:r>
    </w:p>
    <w:p>
      <w:pPr>
        <w:spacing w:after="60" w: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60" w:line="360"/>
        <w:jc w:val="both"/>
      </w:pPr>
      <w:r>
        <w:rPr>
          <w:rFonts w:ascii="Times New Roman" w:cs="Times New Roman" w:eastAsia="Times New Roman" w:hAnsi="Times New Roman"/>
          <w:b/>
          <w:bCs/>
          <w:i w:val="false"/>
          <w:iCs w:val="false"/>
          <w:sz w:val="24"/>
          <w:szCs w:val="24"/>
        </w:rPr>
        <w:t xml:space="preserve">Table 3.3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Inclusion</w:t>
            </w:r>
          </w:p>
        </w:tc>
        <w:tc>
          <w:tcPr>
            <w:tcW w:type="dxa" w:w="4535"/>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Exclusion</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Age 18 to 35 years</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Refractive error beyond ±3.00 D</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Distance visual acuity 6/6 or better, with or without correction</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Manifest binocular vision disorder</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Habitual screen use of at least four hours daily</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Colour-vision deficiency on screening</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 known ocular, systemic or neurological illness</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History of photosensitivity or migraine</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Able to give written informed consent</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Medication affecting vision, accommodation or tear film</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Available for two sessions 48 to 72 hours apart</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Diagnosed learning or psychiatric disorder</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Contact-lens wear on test days; ocular surgery within six months</w:t>
            </w:r>
          </w:p>
        </w:tc>
      </w:tr>
    </w:tbl>
    <w:p>
      <w:pPr>
        <w:spacing w:after="90"/>
      </w:pPr>
      <w:r>
        <w:rPr>
          <w:sz w:val="12"/>
          <w:szCs w:val="12"/>
        </w:rPr>
        <w:t xml:space="preserve"/>
      </w:r>
    </w:p>
    <w:p>
      <w:pPr>
        <w:spacing w:after="60" w: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(Klinke et al., 2024).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60" w: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Screening: visual acuity, refraction, binocular status, colour vision</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Excluded: criteria not met, or declined to participate</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Enrolled and consented (n = 145), assigned a sequential enrolment number</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Allocated to a Williams row and to an illumination order (dim-first or moderate-first)</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1: 10 display conditions under illumination level A</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2 (48–72 h later): 10 display conditions under illumination level B</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Withdrawal, non-attendance or data-quality exclusion recorded and reported</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Analysed (target n = 130; 20 condition-runs each, 2,600 condition-runs in total)</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6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(Lin et al., 2024)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(World Wide Web Consortium, 2023). The five text colours were retained from the locked condition set used earlier in this programme, with green added so that the number of sub-AA conditions is balanced at two per polarity.</w:t>
      </w:r>
    </w:p>
    <w:p>
      <w:pPr>
        <w:spacing w:after="60" w:line="360"/>
        <w:jc w:val="both"/>
      </w:pPr>
      <w:r>
        <w:rPr>
          <w:rFonts w:ascii="Times New Roman" w:cs="Times New Roman" w:eastAsia="Times New Roman" w:hAnsi="Times New Roman"/>
          <w:b w:val="false"/>
          <w:bCs w:val="false"/>
          <w:i w:val="false"/>
          <w:iCs w:val="false"/>
          <w:sz w:val="24"/>
          <w:szCs w:val="24"/>
        </w:rPr>
        <w:t xml:space="preserve">The adequacy of this set was examined against three alternatives before it was fixed: the original three-chromatic set without green, a luminance-matched chromatic set in which all four hues carry approximately equal relative luminance, and the web-default hues. The comparison used three criteria: balance of sub-AA conditions across polarity, the correlation between polarity and log contrast across the condition set (a confounding index, where zero is ideal), and the contrast of the weakest condition. The retained set balances sub-AA conditions two per polarity, gives a polarity-to-contrast correlation of +0.11 and a weakest condition of 2.39:1. The luminance-matched set performs worst, placing all four sub-AA conditions in one polarity and raising the confounding correlation to +0.43, because equalising luminance across hues necessarily makes every chromatic colour low-contrast on white and high-contrast on black. The web-default set yields an unusable condition (yellow on white, 1.07:1). The retained set is therefore the most defensible of those considered, and no change is proposed.</w:t>
      </w:r>
    </w:p>
    <w:p>
      <w:pPr>
        <w:spacing w:after="60" w:line="360"/>
        <w:jc w:val="both"/>
      </w:pPr>
      <w:r>
        <w:rPr>
          <w:rFonts w:ascii="Times New Roman" w:cs="Times New Roman" w:eastAsia="Times New Roman" w:hAnsi="Times New Roman"/>
          <w:b/>
          <w:bCs/>
          <w:i w:val="false"/>
          <w:iCs w:val="false"/>
          <w:sz w:val="24"/>
          <w:szCs w:val="24"/>
        </w:rPr>
        <w:t xml:space="preserve">Table 3.4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47"/>
        <w:gridCol w:w="650"/>
        <w:gridCol w:w="1330"/>
        <w:gridCol w:w="968"/>
        <w:gridCol w:w="1209"/>
        <w:gridCol w:w="1209"/>
        <w:gridCol w:w="968"/>
        <w:gridCol w:w="1089"/>
        <w:gridCol w:w="801"/>
      </w:tblGrid>
      <w:tr>
        <w:trPr>
          <w:tblHeader/>
        </w:trPr>
        <w:tc>
          <w:tcPr>
            <w:tcW w:type="dxa" w:w="84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 No.</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Code</w:t>
            </w:r>
          </w:p>
        </w:tc>
        <w:tc>
          <w:tcPr>
            <w:tcW w:type="dxa" w:w="133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Text colour</w:t>
            </w:r>
          </w:p>
        </w:tc>
        <w:tc>
          <w:tcPr>
            <w:tcW w:type="dxa" w:w="9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Text hex</w:t>
            </w:r>
          </w:p>
        </w:tc>
        <w:tc>
          <w:tcPr>
            <w:tcW w:type="dxa" w:w="120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Background</w:t>
            </w:r>
          </w:p>
        </w:tc>
        <w:tc>
          <w:tcPr>
            <w:tcW w:type="dxa" w:w="120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WCAG ratio</w:t>
            </w:r>
          </w:p>
        </w:tc>
        <w:tc>
          <w:tcPr>
            <w:tcW w:type="dxa" w:w="9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Level</w:t>
            </w:r>
          </w:p>
        </w:tc>
        <w:tc>
          <w:tcPr>
            <w:tcW w:type="dxa" w:w="108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Michelson</w:t>
            </w:r>
          </w:p>
        </w:tc>
        <w:tc>
          <w:tcPr>
            <w:tcW w:type="dxa" w:w="80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Below AA</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P1</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21.00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P2</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Blue</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#1E4ED8</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6.70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0.807</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P3</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#C81E1E</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5.74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0.765</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P4</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Yellow</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#C9A400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2.39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Fail</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0.439</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P5</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Green</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#00A651</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3.19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0.564</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N1</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21.00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N2</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Blue</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#1E4ED8</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3.14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N3</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#C81E1E</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3.66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N4</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Yellow</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#C9A400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8.79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N5</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Green</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#00A651</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6.57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Four properties of this matrix matter for the analysis, and are stated here in plain terms before the technical consequence is drawn.</w:t>
      </w:r>
    </w:p>
    <w:p>
      <w:pPr>
        <w:spacing w:after="60" w:line="360"/>
        <w:jc w:val="both"/>
      </w:pPr>
      <w:r>
        <w:rPr>
          <w:rFonts w:ascii="Times New Roman" w:cs="Times New Roman" w:eastAsia="Times New Roman" w:hAnsi="Times New Roman"/>
          <w:b w:val="false"/>
          <w:bCs w:val="false"/>
          <w:i/>
          <w:iCs/>
          <w:sz w:val="24"/>
          <w:szCs w:val="24"/>
        </w:rPr>
        <w:t xml:space="preserve">The contrast ordering is inverted between the polarities, and this is arithmetic rather than design.</w:t>
      </w:r>
      <w:r>
        <w:rPr>
          <w:rFonts w:ascii="Times New Roman" w:cs="Times New Roman" w:eastAsia="Times New Roman" w:hAnsi="Times New Roman"/>
          <w:b w:val="false"/>
          <w:bCs w:val="false"/>
          <w:i w:val="false"/>
          <w:iCs w:val="false"/>
          <w:sz w:val="24"/>
          <w:szCs w:val="24"/>
        </w:rPr>
        <w:t xml:space="preserve"> On a white field, contrast falls as the text becomes lighter; on a black field it rises. Both depend on the same quantity, the text's relative luminance, so for any set of colours the ranking on white must be the exact reverse of the ranking on black. Blue and red are therefore the higher-contrast colours on white and the lower-contrast colours on black, with yellow and green the reverse. This is not something the choice of colours creates, and the design does not claim credit for it; what the choice of colours does determine is how balanced the two polarities are and whether any condition is too faint to read.</w:t>
      </w:r>
    </w:p>
    <w:p>
      <w:pPr>
        <w:spacing w:after="60" w:line="360"/>
        <w:jc w:val="both"/>
      </w:pPr>
      <w:r>
        <w:rPr>
          <w:rFonts w:ascii="Times New Roman" w:cs="Times New Roman" w:eastAsia="Times New Roman" w:hAnsi="Times New Roman"/>
          <w:b w:val="false"/>
          <w:bCs w:val="false"/>
          <w:i/>
          <w:iCs/>
          <w:sz w:val="24"/>
          <w:szCs w:val="24"/>
        </w:rPr>
        <w:t xml:space="preserve">The achromatic pair is contrast-matched and provides the cleanest test of polarity.</w:t>
      </w:r>
      <w:r>
        <w:rPr>
          <w:rFonts w:ascii="Times New Roman" w:cs="Times New Roman" w:eastAsia="Times New Roman" w:hAnsi="Times New Roman"/>
          <w:b w:val="false"/>
          <w:bCs w:val="false"/>
          <w:i w:val="false"/>
          <w:iCs w:val="false"/>
          <w:sz w:val="24"/>
          <w:szCs w:val="24"/>
        </w:rPr>
        <w:t xml:space="preserve"> Black-on-white and white-on-black both yield 21.00:1. That pair therefore changes polarity while holding luminance contrast constant, which is an experimental rather than merely statistical control, and it is the one comparison in the design where a polarity effect cannot be attributed to contrast.</w:t>
      </w:r>
    </w:p>
    <w:p>
      <w:pPr>
        <w:spacing w:after="60" w:line="360"/>
        <w:jc w:val="both"/>
      </w:pPr>
      <w:r>
        <w:rPr>
          <w:rFonts w:ascii="Times New Roman" w:cs="Times New Roman" w:eastAsia="Times New Roman" w:hAnsi="Times New Roman"/>
          <w:b w:val="false"/>
          <w:bCs w:val="false"/>
          <w:i/>
          <w:iCs/>
          <w:sz w:val="24"/>
          <w:szCs w:val="24"/>
        </w:rPr>
        <w:t xml:space="preserve">Conditions falling below the accessibility minimum are balanced across polarity, two in each.</w:t>
      </w:r>
      <w:r>
        <w:rPr>
          <w:rFonts w:ascii="Times New Roman" w:cs="Times New Roman" w:eastAsia="Times New Roman" w:hAnsi="Times New Roman"/>
          <w:b w:val="false"/>
          <w:bCs w:val="false"/>
          <w:i w:val="false"/>
          <w:iCs w:val="false"/>
          <w:sz w:val="24"/>
          <w:szCs w:val="24"/>
        </w:rPr>
        <w:t xml:space="preserve"> Polarity is therefore not systematically confounded with accessibility compliance. Across the full condition set the correlation between polarity and log contrast is +0.11, so the two predictors are close to orthogonal and can enter the same model without collinearity.</w:t>
      </w:r>
    </w:p>
    <w:p>
      <w:pPr>
        <w:spacing w:after="60" w:line="360"/>
        <w:jc w:val="both"/>
      </w:pPr>
      <w:r>
        <w:rPr>
          <w:rFonts w:ascii="Times New Roman" w:cs="Times New Roman" w:eastAsia="Times New Roman" w:hAnsi="Times New Roman"/>
          <w:b w:val="false"/>
          <w:bCs w:val="false"/>
          <w:i/>
          <w:iCs/>
          <w:sz w:val="24"/>
          <w:szCs w:val="24"/>
        </w:rPr>
        <w:t xml:space="preserve">Michelson contrast is uninformative under negative polarity.</w:t>
      </w:r>
      <w:r>
        <w:rPr>
          <w:rFonts w:ascii="Times New Roman" w:cs="Times New Roman" w:eastAsia="Times New Roman" w:hAnsi="Times New Roman"/>
          <w:b w:val="false"/>
          <w:bCs w:val="false"/>
          <w:i w:val="false"/>
          <w:iCs w:val="false"/>
          <w:sz w:val="24"/>
          <w:szCs w:val="24"/>
        </w:rPr>
        <w:t xml:space="preserve"> With a pure black background the minimum luminance is zero, so the metric saturates at 1.000 for every colour and cannot discriminate between them. The accessibility contrast ratio, supported by measured display photometry, therefore serves as the analytic contrast variable. This is itself a small finding, and it reinforces the argument that a luminance-insensitive metric is inadequate for dark-mode interfaces (Advanced Perceptual Contrast Algorithm, n.d.; World Wide Web Consortium, 2023).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(Dobres et al., 2017; Fan et al., 2024). The moderate level targets approximately 150 lux (range 130–170), representing general indoor domestic lighting and set deliberately below the 300–500 lux specified for offices and classrooms in the Indian interior-illumination code (Bureau of Indian Standards, 2009) and below the 300 lux reference used in recent display optimisation (Lin et al., 2024). Two levels rather than a graded series were chosen so that illumination could be crossed with all ten display conditions within a feasible protocol. The values were selected to fall either side of the range at which negative-polarity penalties have been reported to emerge (Dobres et al., 2017; Fan et al., 2024) and to differ by approximately one log unit, so that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across both levels, so illuminance is the only photometric property of the room that varies.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3.5 Instrumentation</w:t>
      </w:r>
    </w:p>
    <w:p>
      <w:pPr>
        <w:spacing w:after="6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60" w: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60" w: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60" w: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illumination level, giving approximately 120 minutes of video and, at typical reading blink rates, of the order of 1,200 to 1,500 blink events.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60" w: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and flags for disengagement. Duration-dependent blink metrics are gated automatically on the achieved sampling rate, and every measure is written to storage immediately, so an interruption loses at most the condition in progress. All camera processing occurs on the device, and no video is retained.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3.6 Procedure</w:t>
      </w:r>
    </w:p>
    <w:p>
      <w:pPr>
        <w:spacing w:after="6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60" w: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Adaptation on a neutral grey field, 60 s, extended to 120 s when polarity switches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Reading task: standardised passage in the active condition, self-paced beyond a per-page minimum; exposure window for ocular metrics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Comprehension: multiple-choice items assessing gist, inference and detail</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Display perception: comfort and clarity ratings, captured immediately after reading</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Visual-fatigue VAS: five items, 0–10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 search: tap every occurrence of a target word, fixed time limit</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Go/no-go reaction time: dot at random screen locations on the active background</w:t>
      </w:r>
    </w:p>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60" w: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(Abe et al., 2014).</w:t>
      </w:r>
    </w:p>
    <w:p>
      <w:pPr>
        <w:spacing w:after="60" w: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pilot of ten participants will precede the main study to assess session tolerability, dropout, data quality and completion time. The pre-specified criteria for retaining the two-session structure are a median session duration of not more than 120 minutes, no more than one withdrawal in ten, and a face-presence ratio of at least 0.90 in at least 90 per cent of condition-runs. If any criterion is not met, each illumination level will be divided into two shorter sittings of five conditions, preserving the counterbalancing scheme and the global serial-position record.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60" w:line="36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60" w: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60" w:line="360"/>
        <w:jc w:val="both"/>
      </w:pPr>
      <w:r>
        <w:rPr>
          <w:rFonts w:ascii="Times New Roman" w:cs="Times New Roman" w:eastAsia="Times New Roman" w:hAnsi="Times New Roman"/>
          <w:b/>
          <w:bCs/>
          <w:i w:val="false"/>
          <w:iCs w:val="false"/>
          <w:sz w:val="24"/>
          <w:szCs w:val="24"/>
        </w:rPr>
        <w:t xml:space="preserve">Table 3.5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Domain</w:t>
            </w:r>
          </w:p>
        </w:tc>
        <w:tc>
          <w:tcPr>
            <w:tcW w:type="dxa" w:w="609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Measures</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behaviour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Incomplete-blink ratio (primary); blink rate; inter-blink interval and variability; within-condition half bins</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Drowsiness and data quality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and long-closure events; head pose and stability; face-presence ratio; achieved sampling rate</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Subjective fatigue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CVS-Q score and change from baseline (key secondary) (Seguí et al., 2015); five-item visual-fatigue VAS (0–10) per condition</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Perceived display quality</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comfort and text clarity (0–100) per condition</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Cognitive workload</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NASA-TLX, six dimensions, once per session (Hart &amp; Staveland, 1988)</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Task performance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3.8 Counterbalancing</w:t>
      </w:r>
    </w:p>
    <w:p>
      <w:pPr>
        <w:spacing w:after="6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final sample size will be determined by the power analysis and rounded upward to the nearest multiple of ten to permit balanced allocation. Illumination order is counterbalanced orthogonally.</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3.9 Statistical analysis</w:t>
      </w:r>
    </w:p>
    <w:p>
      <w:pPr>
        <w:spacing w:after="6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a random intercept for session nested within participant, with a random slope for polarity where the data support it. Where a maximal random structure fails to converge it will be reduced in a pre-specified order, random slopes first and then the session intercept, and the reduction reported. The primary contrast is tested at α = 0.05, and the three-way interaction is regarded as exploratory given its lower power.</w:t>
      </w:r>
    </w:p>
    <w:p>
      <w:pPr>
        <w:spacing w:after="60" w: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60" w: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3.10 Ethical considerations</w:t>
      </w:r>
    </w:p>
    <w:p>
      <w:pPr>
        <w:spacing w:after="6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with camera-based measurement consented separately and refusable without affecting participation. Participants may withdraw at any time. Camera processing is performed on the device with no video retained, and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60" w:line="36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[insert institutional retention period]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[Insert institutional position on compensation: reimbursement of travel costs only, or no compensation]; any reimbursement will be set at a level that does not constitute undue inducement.</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4.1 Expected outcomes</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60" w: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4.2 Significance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60" w: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 Accommodative outcomes, which require open-field autorefractometry, fall outside the scope of this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60" w: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4.4 Concluding remarks</w:t>
      </w:r>
    </w:p>
    <w:p>
      <w:pPr>
        <w:spacing w:after="6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pageBreakBefore/>
        <w:spacing w:after="90" w:before="240" w:line="360"/>
        <w:jc w:val="center"/>
      </w:pPr>
      <w:r>
        <w:rPr>
          <w:rFonts w:ascii="Times New Roman" w:cs="Times New Roman" w:eastAsia="Times New Roman" w:hAnsi="Times New Roman"/>
          <w:b/>
          <w:bCs/>
          <w:i w:val="false"/>
          <w:iCs w:val="false"/>
          <w:sz w:val="30"/>
          <w:szCs w:val="30"/>
        </w:rPr>
        <w:t xml:space="preserve">REFERENCES</w:t>
      </w:r>
    </w:p>
    <w:p>
      <w:pPr>
        <w:spacing w:after="60" w:line="360"/>
        <w:jc w:val="both"/>
      </w:pPr>
      <w:r>
        <w:rPr>
          <w:rFonts w:ascii="Times New Roman" w:cs="Times New Roman" w:eastAsia="Times New Roman" w:hAnsi="Times New Roman"/>
          <w:b w:val="false"/>
          <w:bCs w:val="false"/>
          <w:i w:val="false"/>
          <w:iCs w:val="false"/>
          <w:sz w:val="24"/>
          <w:szCs w:val="24"/>
        </w:rPr>
        <w:t xml:space="preserve">[Authors to be completed from the publisher record].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60" w:line="36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36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360"/>
        <w:jc w:val="both"/>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60" w:line="36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36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360"/>
        <w:jc w:val="both"/>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60" w:line="36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36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36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36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36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36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36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36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36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36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36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36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36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36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36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36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36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36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36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36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36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36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36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36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36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36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360"/>
        <w:jc w:val="both"/>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60" w:line="36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36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360"/>
        <w:jc w:val="both"/>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60" w:line="36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90" w:before="60"/>
      </w:pPr>
      <w:r>
        <w:rPr>
          <w:rFonts w:ascii="Times New Roman" w:cs="Times New Roman" w:eastAsia="Times New Roman" w:hAnsi="Times New Roman"/>
          <w:sz w:val="24"/>
          <w:szCs w:val="24"/>
        </w:rPr>
        <w:t xml:space="preserve"/>
      </w:r>
    </w:p>
    <w:p>
      <w:pPr>
        <w:spacing w:after="240" w:line="36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240" w:line="36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240" w:line="36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90" w:before="18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80" w:before="16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120" w:before="22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2026-08-13T19:16:26.667Z</dcterms:created>
  <dcterms:modified xsi:type="dcterms:W3CDTF">2026-08-13T19:16:26.667Z</dcterms:modified>
</cp:coreProperties>
</file>

<file path=docProps/custom.xml><?xml version="1.0" encoding="utf-8"?>
<Properties xmlns="http://schemas.openxmlformats.org/officeDocument/2006/custom-properties" xmlns:vt="http://schemas.openxmlformats.org/officeDocument/2006/docPropsVTypes"/>
</file>