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00" w:line="360" w:lineRule="auto"/>
        <w:jc w:val="center"/>
      </w:pPr>
      <w:r>
        <w:rPr>
          <w:rFonts w:ascii="Times New Roman" w:cs="Times New Roman" w:eastAsia="Times New Roman" w:hAnsi="Times New Roman"/>
          <w:b/>
          <w:bCs/>
          <w:i w:val="false"/>
          <w:iCs w:val="false"/>
          <w:sz w:val="28"/>
          <w:szCs w:val="28"/>
        </w:rPr>
        <w:t xml:space="preserve">EFFECTS OF DISPLAY POLARITY AND TEXT COLOUR ON VISUAL FATIGUE, OCULAR BEHAVIOUR AND TASK PERFORMANCE UNDER CONTROLLED AMBIENT ILLUMINATION</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DEGREE OF DOCTOR OF PHILOSOPHY</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in</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OPTOMETRY</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By</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GYANDEEP NATH</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60" w:line="360" w:lineRule="auto"/>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60" w:lineRule="auto"/>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60" w:lineRule="auto"/>
        <w:jc w:val="both"/>
      </w:pPr>
      <w:r>
        <w:rPr>
          <w:rFonts w:ascii="Times New Roman" w:cs="Times New Roman" w:eastAsia="Times New Roman" w:hAnsi="Times New Roman"/>
          <w:b/>
          <w:bCs/>
          <w:i w:val="false"/>
          <w:iCs w:val="false"/>
          <w:sz w:val="24"/>
          <w:szCs w:val="24"/>
        </w:rPr>
        <w:t xml:space="preserve">Primary objectives</w:t>
      </w:r>
    </w:p>
    <w:p>
      <w:pPr>
        <w:spacing w:after="120" w:line="36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6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6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60" w:lineRule="auto"/>
        <w:jc w:val="both"/>
      </w:pPr>
      <w:r>
        <w:rPr>
          <w:rFonts w:ascii="Times New Roman" w:cs="Times New Roman" w:eastAsia="Times New Roman" w:hAnsi="Times New Roman"/>
          <w:b/>
          <w:bCs/>
          <w:i w:val="false"/>
          <w:iCs w:val="false"/>
          <w:sz w:val="24"/>
          <w:szCs w:val="24"/>
        </w:rPr>
        <w:t xml:space="preserve">Methodological objective</w:t>
      </w:r>
    </w:p>
    <w:p>
      <w:pPr>
        <w:spacing w:after="120" w:line="36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60" w:lineRule="auto"/>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60" w:lineRule="auto"/>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60" w:lineRule="auto"/>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60" w:lineRule="auto"/>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60" w:lineRule="auto"/>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60" w:lineRule="auto"/>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60" w:lineRule="auto"/>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1212"/>
        <w:gridCol w:w="1296"/>
        <w:gridCol w:w="1044"/>
        <w:gridCol w:w="1716"/>
        <w:gridCol w:w="1236"/>
        <w:gridCol w:w="1483"/>
        <w:gridCol w:w="1084"/>
      </w:tblGrid>
      <w:tr>
        <w:trPr>
          <w:tblHeader/>
        </w:trPr>
        <w:tc>
          <w:tcPr>
            <w:tcW w:type="dxa" w:w="121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Pathway</w:t>
            </w:r>
          </w:p>
        </w:tc>
        <w:tc>
          <w:tcPr>
            <w:tcW w:type="dxa" w:w="129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Antecedent (independent variable)</w:t>
            </w:r>
          </w:p>
        </w:tc>
        <w:tc>
          <w:tcPr>
            <w:tcW w:type="dxa" w:w="104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Proximal mechanism</w:t>
            </w:r>
          </w:p>
        </w:tc>
        <w:tc>
          <w:tcPr>
            <w:tcW w:type="dxa" w:w="171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Mediating state</w:t>
            </w:r>
          </w:p>
        </w:tc>
        <w:tc>
          <w:tcPr>
            <w:tcW w:type="dxa" w:w="123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Symptom cluster</w:t>
            </w:r>
          </w:p>
        </w:tc>
        <w:tc>
          <w:tcPr>
            <w:tcW w:type="dxa" w:w="148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Measured outcome (P = primary, S = secondary)</w:t>
            </w:r>
          </w:p>
        </w:tc>
        <w:tc>
          <w:tcPr>
            <w:tcW w:type="dxa" w:w="108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Evidence</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Optical / refractive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Display luminance and polarity; ambient illuminance</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Pupil diameter → aberration and depth of focus</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Retinal image quality; accommodative demand</w:t>
            </w:r>
          </w:p>
        </w:tc>
        <w:tc>
          <w:tcPr>
            <w:tcW w:type="dxa" w:w="12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Accommodative and vergence (blur, focusing difficulty, headache, transient myopia)</w:t>
            </w:r>
          </w:p>
        </w:tc>
        <w:tc>
          <w:tcPr>
            <w:tcW w:type="dxa" w:w="148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Reading rate (S); comprehension (S); visual search (S); perceived clarity (S)</w:t>
            </w:r>
          </w:p>
        </w:tc>
        <w:tc>
          <w:tcPr>
            <w:tcW w:type="dxa" w:w="10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(Dobres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2017; Jiménez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2020; Piepenbrock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2014a, 2014b; Redondo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2025)</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Luminance contrast; chromaticity; visual and cognitive demand</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Reduced blink rate; increased incomplete blinking</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Exposed evaporative area; tear-film stability</w:t>
            </w:r>
          </w:p>
        </w:tc>
        <w:tc>
          <w:tcPr>
            <w:tcW w:type="dxa" w:w="12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 (dryness, burning, irritation)</w:t>
            </w:r>
          </w:p>
        </w:tc>
        <w:tc>
          <w:tcPr>
            <w:tcW w:type="dxa" w:w="148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Incomplete-blink ratio (P); CVS-Q change (key S); blink rate, inter-blink interval, VAS (S)</w:t>
            </w:r>
          </w:p>
        </w:tc>
        <w:tc>
          <w:tcPr>
            <w:tcW w:type="dxa" w:w="10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(Argilés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2015; Fjaervoll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Hirota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 Kamøy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Portello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Cross-cutting</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Time on task; sleepiness; disengagement; participant factors</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Resource depletion; arousal state; habituation</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Sustained-attention capacity; response criterion</w:t>
            </w:r>
          </w:p>
        </w:tc>
        <w:tc>
          <w:tcPr>
            <w:tcW w:type="dxa" w:w="12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w:t>
            </w:r>
          </w:p>
        </w:tc>
        <w:tc>
          <w:tcPr>
            <w:tcW w:type="dxa" w:w="148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RT variability and lapses (S); PERCLOS (covariate); engagement flags (quality control)</w:t>
            </w:r>
          </w:p>
        </w:tc>
        <w:tc>
          <w:tcPr>
            <w:tcW w:type="dxa" w:w="10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(Abe, 2023; Abe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 Jackson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2016; Warm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reviews report a further rise alongside remote work and study, reaching 50 to 60 per cent among children (Kaur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60" w:lineRule="auto"/>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2107"/>
        <w:gridCol w:w="1856"/>
        <w:gridCol w:w="1744"/>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10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Design and manipulation</w:t>
            </w:r>
          </w:p>
        </w:tc>
        <w:tc>
          <w:tcPr>
            <w:tcW w:type="dxa" w:w="185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74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 21</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10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185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17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60" w:lineRule="auto"/>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09"/>
        <w:gridCol w:w="700"/>
        <w:gridCol w:w="700"/>
        <w:gridCol w:w="2004"/>
        <w:gridCol w:w="1647"/>
        <w:gridCol w:w="2111"/>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Sl.</w:t>
            </w:r>
          </w:p>
        </w:tc>
        <w:tc>
          <w:tcPr>
            <w:tcW w:type="dxa" w:w="120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N</w:t>
            </w:r>
          </w:p>
        </w:tc>
        <w:tc>
          <w:tcPr>
            <w:tcW w:type="dxa" w:w="200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Design and manipulation</w:t>
            </w:r>
          </w:p>
        </w:tc>
        <w:tc>
          <w:tcPr>
            <w:tcW w:type="dxa" w:w="164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Principal finding</w:t>
            </w:r>
          </w:p>
        </w:tc>
        <w:tc>
          <w:tcPr>
            <w:tcW w:type="dxa" w:w="2111"/>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1</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200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Proofreading; colour contrast vs luminance contrast (red-on-green)</w:t>
            </w:r>
          </w:p>
        </w:tc>
        <w:tc>
          <w:tcPr>
            <w:tcW w:type="dxa" w:w="16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contrast cannot compensate for absent luminance contrast</w:t>
            </w:r>
          </w:p>
        </w:tc>
        <w:tc>
          <w:tcPr>
            <w:tcW w:type="dxa" w:w="21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Single chromatic pair; short task</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Jiménez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w:t>
            </w:r>
          </w:p>
        </w:tc>
        <w:tc>
          <w:tcPr>
            <w:tcW w:type="dxa" w:w="200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Binocular open-field autorefractometry; 14 text–background colour combinations, 2-min passages</w:t>
            </w:r>
          </w:p>
        </w:tc>
        <w:tc>
          <w:tcPr>
            <w:tcW w:type="dxa" w:w="16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modulated accommodative and pupillary dynamics; low-contrast pairs rated less legible; reading speed unaffected</w:t>
            </w:r>
          </w:p>
        </w:tc>
        <w:tc>
          <w:tcPr>
            <w:tcW w:type="dxa" w:w="21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2-min exposure; no symptom-level outcome; lab instrumentation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3</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Xie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200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and Likert scales; 2 colour modes × 6 luminance-contrast ratios at night</w:t>
            </w:r>
          </w:p>
        </w:tc>
        <w:tc>
          <w:tcPr>
            <w:tcW w:type="dxa" w:w="16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Dark mode raised blink rate and pupil accommodation, yet light mode was rated less fatiguing and preferred</w:t>
            </w:r>
          </w:p>
        </w:tc>
        <w:tc>
          <w:tcPr>
            <w:tcW w:type="dxa" w:w="21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Objective–subjective dissociation unexplained; 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4</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Tian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200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tracker and EEG; paradigm colour × screen brightness in a dark environment</w:t>
            </w:r>
          </w:p>
        </w:tc>
        <w:tc>
          <w:tcPr>
            <w:tcW w:type="dxa" w:w="16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Low screen brightness reduced fatigue; blue preferred to red; no EEG colour effect</w:t>
            </w:r>
          </w:p>
        </w:tc>
        <w:tc>
          <w:tcPr>
            <w:tcW w:type="dxa" w:w="21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Non-reading paradigm stimuli;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5</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Fan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200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during reading; ambient illumination × text colour, negative polarity only</w:t>
            </w:r>
          </w:p>
        </w:tc>
        <w:tc>
          <w:tcPr>
            <w:tcW w:type="dxa" w:w="16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Red most fatiguing, yellow least; performance better with yellow and white</w:t>
            </w:r>
          </w:p>
        </w:tc>
        <w:tc>
          <w:tcPr>
            <w:tcW w:type="dxa" w:w="21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Negative polarity only; hue confounded with contrast</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60" w:lineRule="auto"/>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1723"/>
        <w:gridCol w:w="2318"/>
        <w:gridCol w:w="1666"/>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72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Illumination manipulated</w:t>
            </w:r>
          </w:p>
        </w:tc>
        <w:tc>
          <w:tcPr>
            <w:tcW w:type="dxa" w:w="2318"/>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66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Near-dark vs daylight-like</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7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31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66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60" w:lineRule="auto"/>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952"/>
        <w:gridCol w:w="700"/>
        <w:gridCol w:w="700"/>
        <w:gridCol w:w="2379"/>
        <w:gridCol w:w="2150"/>
        <w:gridCol w:w="1490"/>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95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37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Measure and task</w:t>
            </w:r>
          </w:p>
        </w:tc>
        <w:tc>
          <w:tcPr>
            <w:tcW w:type="dxa" w:w="215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49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3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15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9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6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6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6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accessibility standard is polarity-blind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6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60" w:lineRule="auto"/>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60" w:lineRule="auto"/>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60" w:lineRule="auto"/>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60" w:lineRule="auto"/>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70"/>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4335"/>
        <w:gridCol w:w="4335"/>
      </w:tblGrid>
      <w:tr>
        <w:tc>
          <w:tcPr>
            <w:tcW w:type="dxa" w:w="433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3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60" w:lineRule="auto"/>
        <w:jc w:val="both"/>
      </w:pPr>
      <w:r>
        <w:rPr>
          <w:rFonts w:ascii="Times New Roman" w:cs="Times New Roman" w:eastAsia="Times New Roman" w:hAnsi="Times New Roman"/>
          <w:b/>
          <w:bCs/>
          <w:i w:val="false"/>
          <w:iCs w:val="false"/>
          <w:sz w:val="24"/>
          <w:szCs w:val="24"/>
        </w:rPr>
        <w:t xml:space="preserve">Table 3.1 — Eligibility criteria.</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4535"/>
        <w:gridCol w:w="4536"/>
      </w:tblGrid>
      <w:tr>
        <w:trPr>
          <w:tblHeader/>
        </w:trPr>
        <w:tc>
          <w:tcPr>
            <w:tcW w:type="dxa" w:w="4535"/>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Inclusion</w:t>
            </w:r>
          </w:p>
        </w:tc>
        <w:tc>
          <w:tcPr>
            <w:tcW w:type="dxa" w:w="4536"/>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Exclusion</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Age 18 to 35 years</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35"/>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4536"/>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60" w:lineRule="auto"/>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55"/>
        <w:gridCol w:w="700"/>
        <w:gridCol w:w="700"/>
        <w:gridCol w:w="1311"/>
        <w:gridCol w:w="1576"/>
        <w:gridCol w:w="1993"/>
        <w:gridCol w:w="1836"/>
      </w:tblGrid>
      <w:tr>
        <w:trPr>
          <w:tblHeader/>
        </w:trPr>
        <w:tc>
          <w:tcPr>
            <w:tcW w:type="dxa" w:w="95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311"/>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Conditions per participant</w:t>
            </w:r>
          </w:p>
        </w:tc>
        <w:tc>
          <w:tcPr>
            <w:tcW w:type="dxa" w:w="157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Total condition-runs</w:t>
            </w:r>
          </w:p>
        </w:tc>
        <w:tc>
          <w:tcPr>
            <w:tcW w:type="dxa" w:w="199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Ocular measure</w:t>
            </w:r>
          </w:p>
        </w:tc>
        <w:tc>
          <w:tcPr>
            <w:tcW w:type="dxa" w:w="183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Display parameter manipulated</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24</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280</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Accommodation, pupil</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42</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75</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amplitude</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Task dynamism</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120</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patterns, tear film</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300</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Reading medium</w:t>
            </w:r>
          </w:p>
        </w:tc>
      </w:tr>
      <w:tr>
        <w:tc>
          <w:tcPr>
            <w:tcW w:type="dxa" w:w="955"/>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w:t>
            </w:r>
          </w:p>
        </w:tc>
        <w:tc>
          <w:tcPr>
            <w:tcW w:type="dxa" w:w="1311"/>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10</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1,300</w:t>
            </w:r>
          </w:p>
        </w:tc>
        <w:tc>
          <w:tcPr>
            <w:tcW w:type="dxa" w:w="1993"/>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Incomplete-blink ratio, blink rate, IBI, PERCLOS</w:t>
            </w:r>
          </w:p>
        </w:tc>
        <w:tc>
          <w:tcPr>
            <w:tcW w:type="dxa" w:w="1836"/>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60" w:lineRule="auto"/>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60" w:lineRule="auto"/>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71"/>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47"/>
        <w:gridCol w:w="700"/>
        <w:gridCol w:w="1492"/>
        <w:gridCol w:w="1085"/>
        <w:gridCol w:w="1361"/>
        <w:gridCol w:w="1334"/>
        <w:gridCol w:w="1076"/>
        <w:gridCol w:w="1076"/>
      </w:tblGrid>
      <w:tr>
        <w:trPr>
          <w:tblHeader/>
        </w:trPr>
        <w:tc>
          <w:tcPr>
            <w:tcW w:type="dxa" w:w="94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Code</w:t>
            </w:r>
          </w:p>
        </w:tc>
        <w:tc>
          <w:tcPr>
            <w:tcW w:type="dxa" w:w="149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colour</w:t>
            </w:r>
          </w:p>
        </w:tc>
        <w:tc>
          <w:tcPr>
            <w:tcW w:type="dxa" w:w="108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hex</w:t>
            </w:r>
          </w:p>
        </w:tc>
        <w:tc>
          <w:tcPr>
            <w:tcW w:type="dxa" w:w="1361"/>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Background</w:t>
            </w:r>
          </w:p>
        </w:tc>
        <w:tc>
          <w:tcPr>
            <w:tcW w:type="dxa" w:w="133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WCAG ratio</w:t>
            </w:r>
          </w:p>
        </w:tc>
        <w:tc>
          <w:tcPr>
            <w:tcW w:type="dxa" w:w="107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Level</w:t>
            </w:r>
          </w:p>
        </w:tc>
        <w:tc>
          <w:tcPr>
            <w:tcW w:type="dxa" w:w="107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Below AA</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P1</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P2</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6.70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P3</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5.74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P4</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2.39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Fail</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P5</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3.19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N1</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N2</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3.14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N3</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3.66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N4</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8.79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N5</w:t>
            </w:r>
          </w:p>
        </w:tc>
        <w:tc>
          <w:tcPr>
            <w:tcW w:type="dxa" w:w="149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8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6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3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6.57 : 1</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60" w:lineRule="auto"/>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60" w:lineRule="auto"/>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60" w:lineRule="auto"/>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60" w:lineRule="auto"/>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60" w:lineRule="auto"/>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70"/>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2890"/>
        <w:gridCol w:w="2890"/>
        <w:gridCol w:w="2890"/>
      </w:tblGrid>
      <w:tr>
        <w:tc>
          <w:tcPr>
            <w:tcW w:type="dxa" w:w="2890"/>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90"/>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90"/>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60" w:lineRule="auto"/>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00" w:line="240" w:lineRule="auto"/>
        <w:ind w:left="720" w:hanging="72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4b1347afe6c0a286a4b9dc5d82d87f13fbb3f0.png"/><Relationship Id="rId8" Type="http://schemas.openxmlformats.org/officeDocument/2006/relationships/image" Target="media/4e05bb5d022e75b9fcf2fa13458eb392642cb5be.png"/><Relationship Id="rId9" Type="http://schemas.openxmlformats.org/officeDocument/2006/relationships/image" Target="media/6e2c67485f6bac61850bb02cbc179dff28f4e821.png"/><Relationship Id="rId10" Type="http://schemas.openxmlformats.org/officeDocument/2006/relationships/image" Target="media/f94028606598c4ce9da3cdf1223c04f2f0901c0c.png"/><Relationship Id="rId11" Type="http://schemas.openxmlformats.org/officeDocument/2006/relationships/image" Target="media/dccde36574f0563b3f3ebbe33b21a2720f131ba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EFFECTS OF DISPLAY POLARITY AND TEXT COLOUR ON VISUAL FATIGUE, OCULAR BEHAVIOUR AND TASK PERFORMANCE UNDER CONTROLLED AMBIENT ILLUMINATION</dc:title>
  <dc:creator>Gyandeep Nath</dc:creator>
  <dc:description>PhD synopsis, Programme of Optometry, Assam down town University</dc:description>
  <cp:lastModifiedBy>Un-named</cp:lastModifiedBy>
  <cp:revision>1</cp:revision>
  <dcterms:created xsi:type="dcterms:W3CDTF">2026-09-11T05:02:55.804Z</dcterms:created>
  <dcterms:modified xsi:type="dcterms:W3CDTF">2026-09-11T05:02:55.804Z</dcterms:modified>
</cp:coreProperties>
</file>

<file path=docProps/custom.xml><?xml version="1.0" encoding="utf-8"?>
<Properties xmlns="http://schemas.openxmlformats.org/officeDocument/2006/custom-properties" xmlns:vt="http://schemas.openxmlformats.org/officeDocument/2006/docPropsVTypes"/>
</file>