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0" w:line="360"/>
        <w:ind w:first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et al., 2024). Prevalence was higher among women (71.4 versus 61.8 per cent) and university students (76.1 per cent), and reviews report a further rise with remote work and study, reaching 50 to 60 per cent among children (Kaur et al., 2022; Sheppard &amp; Wolffsohn, 2018). The wide spread between studies is itself informative: case definitions remain unstandardised, and the prevalence synthesis closes by calling for one (Ccami-Bernal et al.,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et al., 2022; Kamøy et al.,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et al., 2022). The accommodative route is more heterogeneously evidenced but responds measurably to display parameters (Jiménez et al., 2020; Redondo et al.,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et al., 2014; Piepenbrock et al.,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et al., 2024; Jiménez et al.,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et al., 2017; Fan et al.,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1.4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et al.,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et al., 2022). A separate review in younger users reached the same conclusion on blue-blocking filters, supporting ergonomic optimisation and shorter exposure instead (Mataftsi et al.,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et al., 2020), or to a single polarity (Fan et al., 2024).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(Argilés et al., 2015; Hirota et al., 2013; Portello et al.,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1.5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et al.,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1.6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1.7 Objectives</w:t>
      </w:r>
    </w:p>
    <w:p>
      <w:pPr>
        <w:spacing w:after="0" w:line="360"/>
        <w:jc w:val="both"/>
      </w:pPr>
      <w:r>
        <w:rPr>
          <w:rFonts w:ascii="Times New Roman" w:cs="Times New Roman" w:eastAsia="Times New Roman" w:hAnsi="Times New Roman"/>
          <w:b/>
          <w:bCs/>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bCs/>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1.8 Hypotheses</w:t>
      </w:r>
    </w:p>
    <w:p>
      <w:pPr>
        <w:spacing w:after="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0" w:line="360"/>
        <w:ind w:first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et al., 2017).</w:t>
      </w:r>
    </w:p>
    <w:p>
      <w:pPr>
        <w:spacing w:after="0" w:line="360"/>
        <w:ind w:first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et al., 2024).</w:t>
      </w:r>
    </w:p>
    <w:p>
      <w:pPr>
        <w:spacing w:after="0" w:line="360"/>
        <w:ind w:first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1.9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et al., 2014; Warm et al., 2008); sleepiness, indexed by PERCLOS, and disengagement are treated as measured confounders;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330"/>
        <w:gridCol w:w="1068"/>
        <w:gridCol w:w="1047"/>
        <w:gridCol w:w="1701"/>
        <w:gridCol w:w="1744"/>
        <w:gridCol w:w="1531"/>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Pathway</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Antecedent (independent variable)</w:t>
            </w:r>
          </w:p>
        </w:tc>
        <w:tc>
          <w:tcPr>
            <w:tcW w:type="dxa" w:w="106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Proximal mechanism</w:t>
            </w:r>
          </w:p>
        </w:tc>
        <w:tc>
          <w:tcPr>
            <w:tcW w:type="dxa" w:w="10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Mediating state</w:t>
            </w:r>
          </w:p>
        </w:tc>
        <w:tc>
          <w:tcPr>
            <w:tcW w:type="dxa" w:w="170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Symptom cluster</w:t>
            </w:r>
          </w:p>
        </w:tc>
        <w:tc>
          <w:tcPr>
            <w:tcW w:type="dxa" w:w="174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Measured outcome (P = primary, S = secondary)</w:t>
            </w:r>
          </w:p>
        </w:tc>
        <w:tc>
          <w:tcPr>
            <w:tcW w:type="dxa" w:w="153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Evidence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Optical / refractive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Display luminance and polarity; ambient illuminance</w:t>
            </w:r>
          </w:p>
        </w:tc>
        <w:tc>
          <w:tcPr>
            <w:tcW w:type="dxa" w:w="10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Pupil diameter → aberration and depth of focus</w:t>
            </w:r>
          </w:p>
        </w:tc>
        <w:tc>
          <w:tcPr>
            <w:tcW w:type="dxa" w:w="10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Retinal image quality; accommodative demand</w:t>
            </w:r>
          </w:p>
        </w:tc>
        <w:tc>
          <w:tcPr>
            <w:tcW w:type="dxa" w:w="17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Accommodative/vergence (blur, focusing difficulty, headache, transient myopia)</w:t>
            </w:r>
          </w:p>
        </w:tc>
        <w:tc>
          <w:tcPr>
            <w:tcW w:type="dxa" w:w="174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Reading rate (S); comprehension (S); visual search (S); perceived clarity (S)</w:t>
            </w:r>
          </w:p>
        </w:tc>
        <w:tc>
          <w:tcPr>
            <w:tcW w:type="dxa" w:w="153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(Dobres et al., 2017; Jiménez et al., 2020; Piepenbrock et al., 2014; Piepenbrock et al., 2014; Redondo et al., 2025)</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Ocular surface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Luminance contrast; chromaticity; visual and cognitive demand</w:t>
            </w:r>
          </w:p>
        </w:tc>
        <w:tc>
          <w:tcPr>
            <w:tcW w:type="dxa" w:w="10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Reduced blink rate; increased incomplete blinking</w:t>
            </w:r>
          </w:p>
        </w:tc>
        <w:tc>
          <w:tcPr>
            <w:tcW w:type="dxa" w:w="10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Exposed evaporative area; tear-film stability</w:t>
            </w:r>
          </w:p>
        </w:tc>
        <w:tc>
          <w:tcPr>
            <w:tcW w:type="dxa" w:w="17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Ocular surface (dryness, burning, irritation)</w:t>
            </w:r>
          </w:p>
        </w:tc>
        <w:tc>
          <w:tcPr>
            <w:tcW w:type="dxa" w:w="174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Incomplete-blink ratio (P); CVS-Q change (key S); blink rate, inter-blink interval, VAS (S)</w:t>
            </w:r>
          </w:p>
        </w:tc>
        <w:tc>
          <w:tcPr>
            <w:tcW w:type="dxa" w:w="153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(Argilés et al., 2015; Fjaervoll et al., 2022; Hirota et al., 2013; Kamøy et al., 2022; Portello et al., 2013)</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Cross-cutting</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Time on task; sleepiness; disengagement; participant factors</w:t>
            </w:r>
          </w:p>
        </w:tc>
        <w:tc>
          <w:tcPr>
            <w:tcW w:type="dxa" w:w="10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Resource depletion; arousal state; habituation</w:t>
            </w:r>
          </w:p>
        </w:tc>
        <w:tc>
          <w:tcPr>
            <w:tcW w:type="dxa" w:w="10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Sustained-attention capacity; response criterion</w:t>
            </w:r>
          </w:p>
        </w:tc>
        <w:tc>
          <w:tcPr>
            <w:tcW w:type="dxa" w:w="17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t>
            </w:r>
          </w:p>
        </w:tc>
        <w:tc>
          <w:tcPr>
            <w:tcW w:type="dxa" w:w="174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RT variability and lapses (S); PERCLOS (covariate); engagement flags (quality control)</w:t>
            </w:r>
          </w:p>
        </w:tc>
        <w:tc>
          <w:tcPr>
            <w:tcW w:type="dxa" w:w="153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(Abe et al., 2014; Abe, 2023; Jackson et al., 2016; Warm et al., 2008)</w:t>
            </w:r>
          </w:p>
        </w:tc>
      </w:tr>
    </w:tbl>
    <w:p>
      <w:pPr>
        <w:spacing w:after="4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et al., 2024). One finding carries methodological force: prevalence was higher in studies that did not use the Computer Vision Syndrome Questionnaire (75.4 per cent), and meta-regression associated use of that instrument with lower estimates (Ccami-Bernal et al.,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et al., 2024; Mataftsi et al., 2023; Pucker et al., 2024; Sheppard &amp; Wolffsohn, 2018), and note that preventive measures acting at different points of the dry-eye cycle may be complementary (Kamøy et al.,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w:t>
      </w:r>
    </w:p>
    <w:p>
      <w:pPr>
        <w:spacing w:after="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0" w:line="360"/>
        <w:ind w:first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71"/>
        <w:gridCol w:w="650"/>
        <w:gridCol w:w="650"/>
        <w:gridCol w:w="2938"/>
        <w:gridCol w:w="2938"/>
        <w:gridCol w:w="474"/>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Sl.</w:t>
            </w:r>
          </w:p>
        </w:tc>
        <w:tc>
          <w:tcPr>
            <w:tcW w:type="dxa" w:w="77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w:t>
            </w:r>
          </w:p>
        </w:tc>
        <w:tc>
          <w:tcPr>
            <w:tcW w:type="dxa" w:w="29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Design and manipulation</w:t>
            </w:r>
          </w:p>
        </w:tc>
        <w:tc>
          <w:tcPr>
            <w:tcW w:type="dxa" w:w="29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Principal finding</w:t>
            </w:r>
          </w:p>
        </w:tc>
        <w:tc>
          <w:tcPr>
            <w:tcW w:type="dxa" w:w="47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Proofreading; polarity × illumination × chromaticity</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Polarity advantage independent of lighting and chromaticity; colour contrast cannot replace luminance contrast</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Short task;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Piepenbrock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Pupillometry with proofreading; polarity</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Smaller pupils and better performance under positive polarity</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Achromatic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Piepenbrock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Proofreading; polarity × character size</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Advantage increased linearly as character size decreased</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Achromatic;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Adaptive-staircase psychophysics; typeface × polarity × size × age</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Black-on-white more legible than white-on-black; typeface interacted with age</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Glance reading only;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Lexical decision; polarity × illumination × size</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Thresholds worst for negative polarity under near-dark light</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Sethi &amp; Ziat</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Eye tracking with subjective and affective measures; polarity × environment × age × task</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Higher cognitive load under negative polarity, conditional on age and lighting</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Search and writing tasks;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7</w:t>
            </w:r>
          </w:p>
        </w:tc>
        <w:tc>
          <w:tcPr>
            <w:tcW w:type="dxa" w:w="77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Lin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Visual-ergonomic optimisation; luminance × polarity at 300 lux</w:t>
            </w:r>
          </w:p>
        </w:tc>
        <w:tc>
          <w:tcPr>
            <w:tcW w:type="dxa" w:w="29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Positive polarity preferable; optimum display luminance 153 cd/m²</w:t>
            </w:r>
          </w:p>
        </w:tc>
        <w:tc>
          <w:tcPr>
            <w:tcW w:type="dxa" w:w="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Desktop head-up display; office lighting only; achromatic</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38"/>
        <w:gridCol w:w="650"/>
        <w:gridCol w:w="650"/>
        <w:gridCol w:w="2813"/>
        <w:gridCol w:w="2813"/>
        <w:gridCol w:w="757"/>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Sl.</w:t>
            </w:r>
          </w:p>
        </w:tc>
        <w:tc>
          <w:tcPr>
            <w:tcW w:type="dxa" w:w="7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w:t>
            </w:r>
          </w:p>
        </w:tc>
        <w:tc>
          <w:tcPr>
            <w:tcW w:type="dxa" w:w="28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Design and manipulation</w:t>
            </w:r>
          </w:p>
        </w:tc>
        <w:tc>
          <w:tcPr>
            <w:tcW w:type="dxa" w:w="28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Principal finding</w:t>
            </w:r>
          </w:p>
        </w:tc>
        <w:tc>
          <w:tcPr>
            <w:tcW w:type="dxa" w:w="75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7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Proofreading; colour contrast vs luminance contrast (red-on-green)</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Colour contrast cannot compensate for absent luminance contrast</w:t>
            </w:r>
          </w:p>
        </w:tc>
        <w:tc>
          <w:tcPr>
            <w:tcW w:type="dxa" w:w="75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Single chromatic pair; short task</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7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Binocular open-field autorefractometry; 14 text–background colour combinations, 2-min passages</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Colour modulated accommodative and pupillary dynamics; low-contrast pairs rated less legible; reading speed unaffected</w:t>
            </w:r>
          </w:p>
        </w:tc>
        <w:tc>
          <w:tcPr>
            <w:tcW w:type="dxa" w:w="75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2-min exposure; no symptom-level outcome; lab instrumentation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7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Xie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Eye tracking and Likert scales; 2 colour modes × 6 luminance-contrast ratios at night</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Dark mode raised blink rate and pupil accommodation, yet light mode was rated less fatiguing and preferred</w:t>
            </w:r>
          </w:p>
        </w:tc>
        <w:tc>
          <w:tcPr>
            <w:tcW w:type="dxa" w:w="75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Objective–subjective dissociation unexplained; 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7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Tian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Eye tracker and EEG; paradigm colour × screen brightness in a dark environment</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Low screen brightness reduced fatigue; blue preferred to red; no EEG colour effect</w:t>
            </w:r>
          </w:p>
        </w:tc>
        <w:tc>
          <w:tcPr>
            <w:tcW w:type="dxa" w:w="75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Non-reading paradigm stimuli;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w:t>
            </w:r>
          </w:p>
        </w:tc>
        <w:tc>
          <w:tcPr>
            <w:tcW w:type="dxa" w:w="7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Eye tracking during reading; ambient illumination × text colour, negative polarity only</w:t>
            </w:r>
          </w:p>
        </w:tc>
        <w:tc>
          <w:tcPr>
            <w:tcW w:type="dxa" w:w="28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Red most fatiguing, yellow least; performance better with yellow and white</w:t>
            </w:r>
          </w:p>
        </w:tc>
        <w:tc>
          <w:tcPr>
            <w:tcW w:type="dxa" w:w="75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Negative polarity only; hue confounded with contrast</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et al., 2020) and those finding effects on fatigue and performance (Fan et al., 2024), which neither was designed to estimate. More consequentially, none separates hue from luminance contrast: because chromatic pigments differ in relative luminance, a fixed colour set rendered on light and dark fields produces unequal, polarity-asymmetric contrasts, so contrast is an inseparable covarying property of any colour manipulation and must be modelled (Buchner &amp; Baumgartner, 2007). Xie and colleagues add (2021) a complication directly relevant here, their objective and subjective indices pointing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et al., 2017; Piepenbrock et al., 2014; Piepenbrock et al., 2014a, 2014b) is a problem to which empirical work can contribute.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et al., 2017) and the fatigue cost of coloured text under it (Fan et al., 2024), consistent with a pupil-mediated account in which room light and display polarity trade against one another (Table 2.3).</w:t>
      </w:r>
    </w:p>
    <w:p>
      <w:pPr>
        <w:spacing w:after="0" w:line="360"/>
        <w:ind w:first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814"/>
        <w:gridCol w:w="650"/>
        <w:gridCol w:w="650"/>
        <w:gridCol w:w="2058"/>
        <w:gridCol w:w="2791"/>
        <w:gridCol w:w="458"/>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Sl.</w:t>
            </w:r>
          </w:p>
        </w:tc>
        <w:tc>
          <w:tcPr>
            <w:tcW w:type="dxa" w:w="181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w:t>
            </w:r>
          </w:p>
        </w:tc>
        <w:tc>
          <w:tcPr>
            <w:tcW w:type="dxa" w:w="205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Illumination manipulated</w:t>
            </w:r>
          </w:p>
        </w:tc>
        <w:tc>
          <w:tcPr>
            <w:tcW w:type="dxa" w:w="279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Principal finding</w:t>
            </w:r>
          </w:p>
        </w:tc>
        <w:tc>
          <w:tcPr>
            <w:tcW w:type="dxa" w:w="45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Darkness vs typical office lighting</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Positive polarity advantage independent of ambient lighting</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Two coarse levels; proofreading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Near-dark vs daylight-like</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Negative polarity worst under near-dark; raising illumination or switching polarity restored legibility</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Threshold legibility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Xie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Low ambient illumination at night, 6 contrast ratios</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Colour mode and contrast jointly affected fatigue under low light</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Tian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Dark environment, graded screen brightness</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Low screen brightness in darkness reduced fatigue; sensitivity most vulnerable at medium-high brightness</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Non-reading stimuli</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NR</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Graded ambient illumination, negative polarity</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Higher illumination reduced fatigue, by an amount depending on text colour</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Negative polarity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w:t>
            </w:r>
          </w:p>
        </w:tc>
        <w:tc>
          <w:tcPr>
            <w:tcW w:type="dxa" w:w="181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Contact Lens and Anterior Eye study (</w:t>
            </w:r>
            <w:r>
              <w:rPr>
                <w:rFonts w:ascii="Times New Roman" w:cs="Times New Roman" w:eastAsia="Times New Roman" w:hAnsi="Times New Roman"/>
                <w:b w:val="false"/>
                <w:bCs w:val="false"/>
                <w:i w:val="false"/>
                <w:iCs w:val="false"/>
                <w:sz w:val="16"/>
                <w:szCs w:val="16"/>
                <w:highlight w:val="yellow"/>
                <w:highlightCs w:val="yellow"/>
              </w:rPr>
              <w:t xml:space="preserve">[Authors]</w:t>
            </w:r>
            <w:r>
              <w:rPr>
                <w:rFonts w:ascii="Times New Roman" w:cs="Times New Roman" w:eastAsia="Times New Roman" w:hAnsi="Times New Roman"/>
                <w:b w:val="false"/>
                <w:bCs w:val="false"/>
                <w:i w:val="false"/>
                <w:iCs w:val="false"/>
                <w:sz w:val="16"/>
                <w:szCs w:val="16"/>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30</w:t>
            </w:r>
          </w:p>
        </w:tc>
        <w:tc>
          <w:tcPr>
            <w:tcW w:type="dxa" w:w="20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Bright vs dark room × bright vs dark screen, 30-min reading</w:t>
            </w:r>
          </w:p>
        </w:tc>
        <w:tc>
          <w:tcPr>
            <w:tcW w:type="dxa" w:w="279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Dark room with bright screen most destabilised the tear film; incomplete-blink rate rose over time in all groups</w:t>
            </w:r>
          </w:p>
        </w:tc>
        <w:tc>
          <w:tcPr>
            <w:tcW w:type="dxa" w:w="4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Smartphone; four combinations only; polarity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(Buchner &amp; Baumgartner, 2007) whereas threshold legibility showed a clear interaction (Dobres et al., 2017),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et al., 2022; Kamøy et al., 2022; Sheppard &amp; Wolffsohn, 2018), and the proportion of blinks that fail to close fully has the strongest claim to specificity (Table 2.4).</w:t>
      </w:r>
    </w:p>
    <w:p>
      <w:pPr>
        <w:spacing w:after="0" w:line="360"/>
        <w:ind w:first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728"/>
        <w:gridCol w:w="650"/>
        <w:gridCol w:w="650"/>
        <w:gridCol w:w="2658"/>
        <w:gridCol w:w="2658"/>
        <w:gridCol w:w="77"/>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Sl.</w:t>
            </w:r>
          </w:p>
        </w:tc>
        <w:tc>
          <w:tcPr>
            <w:tcW w:type="dxa" w:w="172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w:t>
            </w:r>
          </w:p>
        </w:tc>
        <w:tc>
          <w:tcPr>
            <w:tcW w:type="dxa" w:w="265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Measure and task</w:t>
            </w:r>
          </w:p>
        </w:tc>
        <w:tc>
          <w:tcPr>
            <w:tcW w:type="dxa" w:w="265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Principal finding</w:t>
            </w:r>
          </w:p>
        </w:tc>
        <w:tc>
          <w:tcPr>
            <w:tcW w:type="dxa" w:w="7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25</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and amplitude, tear film; fast vs slow display task</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fell to one-third (fast) and one-half (slow) of baseline; more incomplete blinks when dynamic</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Game task, not reading; manual video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21</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and completeness, symptom score; 15-min reading</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Incomplete blinks 0.9–56.5% (mean 16.1); symptoms correlated with incomplete-blink % (p = 0.002); raising blink rate did not help</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Single condition; small sample;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11</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composition and tear break-up time; 60-min task</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Break-up time fell 8.62→4.33 s at 30 min, recovering as incomplete blinking declined; quality, not frequency, governs stability</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Very small sample; single display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50</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and completeness across 6 hard-copy and electronic reading conditions</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All reading reduced blink rate; incomplete blinks rose only on electronic platforms</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Display parameters not manipulated;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12</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PERCLOS and driving performance after 24-h sleep deprivation</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PERCLOS correlated with vigilance variability (r = 0.68) and lane position (r = 0.61)</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Drowsiness, not visual fatigue; extreme manipulation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w:t>
            </w:r>
          </w:p>
        </w:tc>
        <w:tc>
          <w:tcPr>
            <w:tcW w:type="dxa" w:w="172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Contact Lens and Anterior Eye study (</w:t>
            </w:r>
            <w:r>
              <w:rPr>
                <w:rFonts w:ascii="Times New Roman" w:cs="Times New Roman" w:eastAsia="Times New Roman" w:hAnsi="Times New Roman"/>
                <w:b w:val="false"/>
                <w:bCs w:val="false"/>
                <w:i w:val="false"/>
                <w:iCs w:val="false"/>
                <w:sz w:val="16"/>
                <w:szCs w:val="16"/>
                <w:highlight w:val="yellow"/>
                <w:highlightCs w:val="yellow"/>
              </w:rPr>
              <w:t xml:space="preserve">[Authors]</w:t>
            </w:r>
            <w:r>
              <w:rPr>
                <w:rFonts w:ascii="Times New Roman" w:cs="Times New Roman" w:eastAsia="Times New Roman" w:hAnsi="Times New Roman"/>
                <w:b w:val="false"/>
                <w:bCs w:val="false"/>
                <w:i w:val="false"/>
                <w:iCs w:val="false"/>
                <w:sz w:val="16"/>
                <w:szCs w:val="16"/>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30</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Tear-film indices and blink parameters; 30-min reading, 4 lighting–brightness combinations</w:t>
            </w:r>
          </w:p>
        </w:tc>
        <w:tc>
          <w:tcPr>
            <w:tcW w:type="dxa" w:w="265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Dark room with bright screen most destabilised the tear film; incomplete-blink rate rose over time in all groups</w:t>
            </w:r>
          </w:p>
        </w:tc>
        <w:tc>
          <w:tcPr>
            <w:tcW w:type="dxa" w:w="7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Smartphone; polarity and text colour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Three findings together forbid reading blink rate as a simple index of fatigue: it is suppressed by reading irrespective of medium (Argilés et al., 2015) and by task dynamism at matched cognitive load (Cardona et al., 2011); total rate can remain stable while the complete-to-incomplete composition shifts (Hirota et al., 2013); and raising blink rate experimentally produced no change in symptom score (Portello et al., 2013). The incomplete-blink ratio, referenced to a within-participant baseline, is therefore the better-justified primary marker. Every study in Table 2.4 relied on manual frame-by-frame coding or dedicated hardware, and none manipulated display polarity or text colour.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et al., 2016). Its documented insensitivity in moderate drowsiness (Abe, 2023) dictates its role here as a covariate for sleepiness rather than a measure of visual fatigue.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et al.,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et al., 2008), with lapses and reaction-time variability its most fatigue-sensitive indices (Abe et al., 2014). Attentional and visual-fatigue outcomes therefore share time on task as a driver and must be measured together if they are to be distinguished.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et al., 2015). Cross-cultural validation reports internal consistency of 0.793, sensitivity 78.5 per cent, specificity 70.7 per cent, convergent validity with the Ocular Surface Disease Index of 0.728 and a cut-off of seven (Cantó-Sancho et al.,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et al., 2015; Hirota et al., 2013; Portello et al.,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2.8 Research gaps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the best of the available evidence the interaction between polarity and text colour on visual fatigue remains unestimated, since the only located text-colour fatigue study held polarity constant (Fan et al., 2024), and hue has not been separated from luminance contrast in the studies located (Buchner &amp; Baumgartner, 2007; Fan et al., 2024; Jiménez et al., 2020; Xie et al., 2021).</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contrast metrics alongside measured display photometry, and the prevailing standard is polarity-blind (Advanced Perceptual Contrast Algorithm, n.d.; World Wide Web Consortium, 2023). Three-way effects of polarity, colour and illumination remain uncharacterised, the available two-way findings being in partial conflict (Buchner &amp; Baumgartner, 2007; Dobres et al., 2017; Fan et al., 2024).</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have been measured, they have pointed in opposite directions (Xie et al., 2021).</w:t>
      </w:r>
    </w:p>
    <w:p>
      <w:pPr>
        <w:spacing w:after="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display-parameter manipulation despite its specificity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 Argilés et al., 2015; Hirota et al., 2013; Portello et al., 2013), and its measurement does not scale, no automated implementation having been validated against manual annotation in the literature located.</w:t>
      </w:r>
    </w:p>
    <w:p>
      <w:pPr>
        <w:spacing w:after="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0" w:line="360"/>
        <w:ind w:first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 — Preparation: ethics approval; instrument development and pilot; photometric characterisation of the tablet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 — Recruitment, screening and baseline profiling (Figure 3.2)</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III — Session 1: 10 display conditions under illumination level A, in Williams order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IV — Session 2 after 48–72 h: the same 10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 — Data processing: automated ocular metrics, quality-control gating, manual-annotation validation sub-study</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VI — Mixed-effects analysis, design recommendations, thesis</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0" w:line="360"/>
        <w:ind w:first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across the two sessions.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twenty condition-runs, so these contrasts are efficient. Between-participant moderation, which is Objective 3, is tested across participants and is far more demanding. Table 3.1 gives the simulated power.</w:t>
      </w:r>
    </w:p>
    <w:p>
      <w:pPr>
        <w:spacing w:after="0" w:line="360"/>
        <w:ind w:firstLine="36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5"/>
        <w:gridCol w:w="1330"/>
        <w:gridCol w:w="726"/>
        <w:gridCol w:w="847"/>
        <w:gridCol w:w="847"/>
        <w:gridCol w:w="846"/>
      </w:tblGrid>
      <w:tr>
        <w:trPr>
          <w:tblHeader/>
        </w:trPr>
        <w:tc>
          <w:tcPr>
            <w:tcW w:type="dxa" w:w="447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Analysis</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Effect size</w:t>
            </w:r>
          </w:p>
        </w:tc>
        <w:tc>
          <w:tcPr>
            <w:tcW w:type="dxa" w:w="72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 = 60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 = 100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 = 130</w:t>
            </w:r>
          </w:p>
        </w:tc>
        <w:tc>
          <w:tcPr>
            <w:tcW w:type="dxa" w:w="84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 = 200</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d_z = 0.40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86%</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&gt;99%</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&gt;99%</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d_z = 0.30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92%</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99%</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Within: polarity × colour interaction</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d_z = 0.25</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47%</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71%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81%</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94%</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Between: moderation, large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0.60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92%</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99%</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Between: moderation, moderate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0.50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70%</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81%</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94%</w:t>
            </w:r>
          </w:p>
        </w:tc>
      </w:tr>
      <w:tr>
        <w:tc>
          <w:tcPr>
            <w:tcW w:type="dxa" w:w="44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Between: moderation, small</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0.40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62%</w:t>
            </w:r>
          </w:p>
        </w:tc>
        <w:tc>
          <w:tcPr>
            <w:tcW w:type="dxa" w:w="84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0" w:line="360"/>
        <w:ind w:firstLine="36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536"/>
        <w:gridCol w:w="650"/>
        <w:gridCol w:w="650"/>
        <w:gridCol w:w="1268"/>
        <w:gridCol w:w="975"/>
        <w:gridCol w:w="2341"/>
        <w:gridCol w:w="651"/>
      </w:tblGrid>
      <w:tr>
        <w:trPr>
          <w:tblHeader/>
        </w:trPr>
        <w:tc>
          <w:tcPr>
            <w:tcW w:type="dxa" w:w="2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N</w:t>
            </w:r>
          </w:p>
        </w:tc>
        <w:tc>
          <w:tcPr>
            <w:tcW w:type="dxa" w:w="126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Conditions per participant</w:t>
            </w:r>
          </w:p>
        </w:tc>
        <w:tc>
          <w:tcPr>
            <w:tcW w:type="dxa" w:w="97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Total condition-runs</w:t>
            </w:r>
          </w:p>
        </w:tc>
        <w:tc>
          <w:tcPr>
            <w:tcW w:type="dxa" w:w="234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Ocular measure</w:t>
            </w:r>
          </w:p>
        </w:tc>
        <w:tc>
          <w:tcPr>
            <w:tcW w:type="dxa" w:w="65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Display parameter manipulated</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11</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11</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composition, tear break-up</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None</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12</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24</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PERCLOS</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None</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14</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280</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Accommodation, pupil</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Text–background colour</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21</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42</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completeness</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None</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25</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75</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amplitude</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Task dynamism</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Contact Lens and Anterior Eye study (</w:t>
            </w:r>
            <w:r>
              <w:rPr>
                <w:rFonts w:ascii="Times New Roman" w:cs="Times New Roman" w:eastAsia="Times New Roman" w:hAnsi="Times New Roman"/>
                <w:b w:val="false"/>
                <w:bCs w:val="false"/>
                <w:i w:val="false"/>
                <w:iCs w:val="false"/>
                <w:sz w:val="16"/>
                <w:szCs w:val="16"/>
                <w:highlight w:val="yellow"/>
                <w:highlightCs w:val="yellow"/>
              </w:rPr>
              <w:t xml:space="preserve">[Authors]</w:t>
            </w:r>
            <w:r>
              <w:rPr>
                <w:rFonts w:ascii="Times New Roman" w:cs="Times New Roman" w:eastAsia="Times New Roman" w:hAnsi="Times New Roman"/>
                <w:b w:val="false"/>
                <w:bCs w:val="false"/>
                <w:i w:val="false"/>
                <w:iCs w:val="false"/>
                <w:sz w:val="16"/>
                <w:szCs w:val="16"/>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30</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120</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patterns, tear film</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Ambient light × screen brightness</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50</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300</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Blink rate, completeness</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Reading medium</w:t>
            </w:r>
          </w:p>
        </w:tc>
      </w:tr>
      <w:tr>
        <w:tc>
          <w:tcPr>
            <w:tcW w:type="dxa" w:w="2536"/>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130</w:t>
            </w:r>
          </w:p>
        </w:tc>
        <w:tc>
          <w:tcPr>
            <w:tcW w:type="dxa" w:w="1268"/>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20</w:t>
            </w:r>
          </w:p>
        </w:tc>
        <w:tc>
          <w:tcPr>
            <w:tcW w:type="dxa" w:w="975"/>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2,600</w:t>
            </w:r>
          </w:p>
        </w:tc>
        <w:tc>
          <w:tcPr>
            <w:tcW w:type="dxa" w:w="2341"/>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Incomplete-blink ratio, blink rate, IBI, PERCLOS</w:t>
            </w:r>
          </w:p>
        </w:tc>
        <w:tc>
          <w:tcPr>
            <w:tcW w:type="dxa" w:w="651"/>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Polarity × colour ×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nine times the condition-runs of the largest comparable study, and is the first in this group to manipulate polarity, text colour and ambient illumination together.</w:t>
      </w:r>
    </w:p>
    <w:p>
      <w:pPr>
        <w:spacing w:after="0" w:line="360"/>
        <w:ind w:first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0" w:line="360"/>
        <w:ind w:firstLine="360"/>
        <w:jc w:val="both"/>
      </w:pPr>
      <w:r>
        <w:rPr>
          <w:rFonts w:ascii="Times New Roman" w:cs="Times New Roman" w:eastAsia="Times New Roman" w:hAnsi="Times New Roman"/>
          <w:b/>
          <w:bCs/>
          <w:i w:val="false"/>
          <w:iCs w:val="false"/>
          <w:sz w:val="24"/>
          <w:szCs w:val="24"/>
        </w:rPr>
        <w:t xml:space="preserve">Table 3.3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et al.,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0" w:line="360"/>
        <w:ind w:first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Approached and assessed for eligibility (target ≈ 180)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Screening: visual acuity, refraction, binocular status, colour vision</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Excluded: criteria not met, or declined to participate</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Enrolled and consented (n = 145), assigned a sequential enrolment number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Allocated to a Williams row and to an illumination order (dim-first or moderate-first)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1: 10 display conditions under illumination level A</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2 (48–72 h later): 10 display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Withdrawal, non-attendance or data-quality exclusion recorded and reported</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Analysed (target n = 130; 20 condition-runs each, 2,600 condition-runs in total)</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et al.,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adequacy of this set was examined against three alternatives before it was fixed: the original three-chromatic set without green, a luminance-matched chromatic set in which all four hues carry approximately equal relative luminance, and the web-default hues. The comparison used three criteria: balance of sub-AA conditions across polarity, the correlation between polarity and log contrast across the condition set (a confounding index, where zero is ideal), and the contrast of the weakest condition. The retained set balances sub-AA conditions two per polarity, gives a polarity-to-contrast correlation of +0.11 and a weakest condition of 2.39:1. The luminance-matched set performs worst, placing all four sub-AA conditions in one polarity and raising the confounding correlation to +0.43, because equalising luminance across hues necessarily makes every chromatic colour low-contrast on white and high-contrast on black. The web-default set yields an unusable condition (yellow on white, 1.07:1). The retained set is therefore the most defensible of those considered, and no change is proposed.</w:t>
      </w:r>
    </w:p>
    <w:p>
      <w:pPr>
        <w:spacing w:after="0" w:line="360"/>
        <w:ind w:firstLine="36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47"/>
        <w:gridCol w:w="650"/>
        <w:gridCol w:w="1330"/>
        <w:gridCol w:w="968"/>
        <w:gridCol w:w="1209"/>
        <w:gridCol w:w="1209"/>
        <w:gridCol w:w="968"/>
        <w:gridCol w:w="1089"/>
        <w:gridCol w:w="801"/>
      </w:tblGrid>
      <w:tr>
        <w:trPr>
          <w:tblHeader/>
        </w:trPr>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Sl. No.</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Code</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Text colour</w:t>
            </w:r>
          </w:p>
        </w:tc>
        <w:tc>
          <w:tcPr>
            <w:tcW w:type="dxa" w:w="96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Text hex</w:t>
            </w:r>
          </w:p>
        </w:tc>
        <w:tc>
          <w:tcPr>
            <w:tcW w:type="dxa" w:w="120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Background</w:t>
            </w:r>
          </w:p>
        </w:tc>
        <w:tc>
          <w:tcPr>
            <w:tcW w:type="dxa" w:w="120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WCAG ratio</w:t>
            </w:r>
          </w:p>
        </w:tc>
        <w:tc>
          <w:tcPr>
            <w:tcW w:type="dxa" w:w="96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Level</w:t>
            </w:r>
          </w:p>
        </w:tc>
        <w:tc>
          <w:tcPr>
            <w:tcW w:type="dxa" w:w="108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Michelson</w:t>
            </w:r>
          </w:p>
        </w:tc>
        <w:tc>
          <w:tcPr>
            <w:tcW w:type="dxa" w:w="80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Below AA</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P1</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Achromatic</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21.00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P2</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Blue</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#1E4ED8</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6.70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0.807</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P3</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Red</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#C81E1E</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5.74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0.765</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P4</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Yellow</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#C9A400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2.39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Fail</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0.439</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Yes</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P5</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Green</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#00A651</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3.19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 Large</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0.564</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Yes</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N1</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Achromatic</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#FFFFFF</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21.00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N2</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Blue</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#1E4ED8</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3.14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 Large</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Yes</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N3</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Red</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#C81E1E</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3.66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 Large</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Yes</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9</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N4</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Yellow</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#C9A400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8.79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r>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N5</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Green</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#00A651</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#000000</w:t>
            </w:r>
          </w:p>
        </w:tc>
        <w:tc>
          <w:tcPr>
            <w:tcW w:type="dxa" w:w="120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6.57 : 1</w:t>
            </w:r>
          </w:p>
        </w:tc>
        <w:tc>
          <w:tcPr>
            <w:tcW w:type="dxa" w:w="96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AA</w:t>
            </w:r>
          </w:p>
        </w:tc>
        <w:tc>
          <w:tcPr>
            <w:tcW w:type="dxa" w:w="108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1.000</w:t>
            </w:r>
          </w:p>
        </w:tc>
        <w:tc>
          <w:tcPr>
            <w:tcW w:type="dxa" w:w="80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No</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and are stated here in plain terms before the technical consequence is drawn.</w:t>
      </w:r>
    </w:p>
    <w:p>
      <w:pPr>
        <w:spacing w:after="0" w:line="360"/>
        <w:ind w:firstLine="360"/>
        <w:jc w:val="both"/>
      </w:pP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On a white field, contrast falls as the text becomes lighter; on a black field it rises. Both depend on the same quantity, the text's relative luminance, so for any set of colours the ranking on white must be the exact reverse of the ranking on black. Blue and red are therefore the higher-contrast colours on white and the lower-contrast colours on black, with yellow and green the reverse. This is not something the choice of colours creates, and the design does not claim credit for it; what the choice of colours does determine is how balanced the two polarities are and whether any condition is too faint to read.</w:t>
      </w:r>
    </w:p>
    <w:p>
      <w:pPr>
        <w:spacing w:after="0" w:line="360"/>
        <w:ind w:firstLine="360"/>
        <w:jc w:val="both"/>
      </w:pPr>
      <w:r>
        <w:rPr>
          <w:rFonts w:ascii="Times New Roman" w:cs="Times New Roman" w:eastAsia="Times New Roman" w:hAnsi="Times New Roman"/>
          <w:b w:val="false"/>
          <w:bCs w:val="false"/>
          <w:i/>
          <w:iCs/>
          <w:sz w:val="24"/>
          <w:szCs w:val="24"/>
        </w:rPr>
        <w:t xml:space="preserve">The achromatic pair is contrast-matched and provides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That pair therefore changes polarity while holding luminance contrast constant, which is an experimental rather than merely statistical control, and it is the one comparison in the design where a polarity effect cannot be attributed to contrast.</w:t>
      </w:r>
    </w:p>
    <w:p>
      <w:pPr>
        <w:spacing w:after="0" w:line="360"/>
        <w:ind w:firstLine="360"/>
        <w:jc w:val="both"/>
      </w:pPr>
      <w:r>
        <w:rPr>
          <w:rFonts w:ascii="Times New Roman" w:cs="Times New Roman" w:eastAsia="Times New Roman" w:hAnsi="Times New Roman"/>
          <w:b w:val="false"/>
          <w:bCs w:val="false"/>
          <w:i/>
          <w:iCs/>
          <w:sz w:val="24"/>
          <w:szCs w:val="24"/>
        </w:rPr>
        <w:t xml:space="preserve">Conditions falling below the accessibility minimum are balanced across polarity, two in each.</w:t>
      </w:r>
      <w:r>
        <w:rPr>
          <w:rFonts w:ascii="Times New Roman" w:cs="Times New Roman" w:eastAsia="Times New Roman" w:hAnsi="Times New Roman"/>
          <w:b w:val="false"/>
          <w:bCs w:val="false"/>
          <w:i w:val="false"/>
          <w:iCs w:val="false"/>
          <w:sz w:val="24"/>
          <w:szCs w:val="24"/>
        </w:rPr>
        <w:t xml:space="preserve"> Polarity is therefore not systematically confounded with accessibility compliance. Across the full condition set the correlation between polarity and log contrast is +0.11, so the two predictors are close to orthogonal and can enter the same model without collinearity.</w:t>
      </w:r>
    </w:p>
    <w:p>
      <w:pPr>
        <w:spacing w:after="0" w:line="360"/>
        <w:ind w:firstLine="360"/>
        <w:jc w:val="both"/>
      </w:pP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and cannot discriminate between them. The accessibility contrast ratio, supported by measured display photometry, therefore serves as the analytic contrast variable. This is itself a small finding, and it reinforces the argument that a luminance-insensitive metric is inadequate for dark-mode interfaces (Advanced Perceptual Contrast Algorithm, n.d.; World Wide Web Consortium, 2023).</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(Dobres et al., 2017; Fan et al., 2024). The moderate level targets approximately 150 lux (range 130–170), representing general indoor domestic lighting and set deliberately below the 300–500 lux specified for offices and classrooms in the Indian interior-illumination code (Bureau of Indian Standards, 2009) and below the 300 lux reference used in recent display optimisation (Lin et al., 2024). Two levels rather than a graded series were chosen so that illumination could be crossed with all ten display conditions within a feasible protocol. The values were selected to fall either side of the range at which negative-polarity penalties have been reported to emerge (Dobres et al., 2017; Fan et al., 2024)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Instrumentation</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0" w:line="360"/>
        <w:ind w:first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0" w:line="360"/>
        <w:ind w:first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and flags for disengagement. Duration-dependent blink metrics are gated automatically on the achieved sampling rate, and every measure is written to storage immediately, so an interruption loses at most the condition in progress. All camera processing occurs on the device, and no video is retained.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0" w:line="360"/>
        <w:ind w:first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Adaptation on a neutral grey field, 60 s, extended to 120 s when polarity switches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Reading task: standardised passage in the active condition, self-paced beyond a per-page minimum; exposure window for ocular metrics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Comprehension: multiple-choice items assessing gist, inference and detail</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Display perception: comfort and clarity ratings, captured immediately after reading</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Visual-fatigue VAS: five items, 0–10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 search: tap every occurrence of a target word, fixed time limit</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Go/no-go reaction time: dot at random screen locations on the active background</w:t>
      </w:r>
    </w:p>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et al., 2014).</w:t>
      </w:r>
    </w:p>
    <w:p>
      <w:pPr>
        <w:spacing w:after="0" w:line="360"/>
        <w:ind w:first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pilot of ten participants will precede the main study to assess session tolerability, dropout, data quality and completion time.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0" w:line="360"/>
        <w:ind w:firstLine="360"/>
        <w:jc w:val="both"/>
      </w:pPr>
      <w:r>
        <w:rPr>
          <w:rFonts w:ascii="Times New Roman" w:cs="Times New Roman" w:eastAsia="Times New Roman" w:hAnsi="Times New Roman"/>
          <w:b/>
          <w:bCs/>
          <w:i w:val="false"/>
          <w:iCs w:val="false"/>
          <w:sz w:val="24"/>
          <w:szCs w:val="24"/>
        </w:rPr>
        <w:t xml:space="preserve">Table 3.5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Domain</w:t>
            </w:r>
          </w:p>
        </w:tc>
        <w:tc>
          <w:tcPr>
            <w:tcW w:type="dxa" w:w="60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6"/>
                <w:szCs w:val="16"/>
              </w:rPr>
              <w:t xml:space="preserve">Measures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Ocular behaviour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Incomplete-blink ratio (primary); blink rate; inter-blink interval and variability; within-condition half bins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Drowsiness and data quality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PERCLOS and long-closure events; head pose and stability; face-presence ratio; achieved sampling rate</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Subjective fatigue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CVS-Q score and change from baseline (key secondary) (Seguí et al., 2015); five-item visual-fatigue VAS (0–10)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Perceived display quality</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Display comfort and text clarity (0–100)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Cognitive workload</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NASA-TLX, six dimensions, once per session (Hart &amp; Staveland, 1988)</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Task performance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6"/>
                <w:szCs w:val="16"/>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3.8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final sample size will be determined by the power analysis and rounded upward to the nearest multiple of ten to permit balanced allocation. Illumination order is counterbalanced orthogonally.</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3.9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3.10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with camera-based measurement consented separately and refusable without affecting participation. Participants may withdraw at any time. Camera processing is performed on the device with no video retained, and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retention period]</w:t>
      </w:r>
      <w:r>
        <w:rPr>
          <w:rFonts w:ascii="Times New Roman" w:cs="Times New Roman" w:eastAsia="Times New Roman" w:hAnsi="Times New Roman"/>
          <w:b w:val="false"/>
          <w:bCs w:val="false"/>
          <w:i w:val="false"/>
          <w:iCs w:val="false"/>
          <w:sz w:val="24"/>
          <w:szCs w:val="24"/>
        </w:rPr>
        <w:t xml:space="preserve">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Participants will receive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position on compensation]</w:t>
      </w:r>
      <w:r>
        <w:rPr>
          <w:rFonts w:ascii="Times New Roman" w:cs="Times New Roman" w:eastAsia="Times New Roman" w:hAnsi="Times New Roman"/>
          <w:b w:val="false"/>
          <w:bCs w:val="false"/>
          <w:i w:val="false"/>
          <w:iCs w:val="false"/>
          <w:sz w:val="24"/>
          <w:szCs w:val="24"/>
        </w:rPr>
        <w:t xml:space="preserve">; any reimbursement will be set at a level that does not constitute undue inducement.</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 Accommodative outcomes, which require open-field autorefractometry, fall outside the scope of this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highlight w:val="yellow"/>
          <w:highlightCs w:val="yellow"/>
        </w:rPr>
        <w:t xml:space="preserve">[Authors to be completed from the publisher record]</w:t>
      </w:r>
      <w:r>
        <w:rPr>
          <w:rFonts w:ascii="Times New Roman" w:cs="Times New Roman" w:eastAsia="Times New Roman" w:hAnsi="Times New Roman"/>
          <w:b w:val="false"/>
          <w:bCs w:val="false"/>
          <w:i w:val="false"/>
          <w:iCs w:val="false"/>
          <w:sz w:val="24"/>
          <w:szCs w:val="24"/>
        </w:rPr>
        <w:t xml:space="preserve">.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2026-08-14T00:50:09.116Z</dcterms:created>
  <dcterms:modified xsi:type="dcterms:W3CDTF">2026-08-14T00:50:09.137Z</dcterms:modified>
</cp:coreProperties>
</file>

<file path=docProps/custom.xml><?xml version="1.0" encoding="utf-8"?>
<Properties xmlns="http://schemas.openxmlformats.org/officeDocument/2006/custom-properties" xmlns:vt="http://schemas.openxmlformats.org/officeDocument/2006/docPropsVTypes"/>
</file>