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color w:val="1F3864"/>
          <w:sz w:val="40"/>
          <w:szCs w:val="40"/>
        </w:rPr>
        <w:t xml:space="preserve">DEPLOYMENT GUIDE</w:t>
      </w:r>
    </w:p>
    <w:p>
      <w:pPr>
        <w:spacing w:after="600"/>
        <w:jc w:val="center"/>
      </w:pPr>
      <w:r>
        <w:rPr>
          <w:b/>
          <w:bCs/>
          <w:color w:val="2E5395"/>
          <w:sz w:val="26"/>
          <w:szCs w:val="26"/>
        </w:rPr>
        <w:t xml:space="preserve">Coaching / Institute Management SaaS — Free-Tier, Long-Term Sustainable Deployment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 Gyan</w:t>
      </w:r>
    </w:p>
    <w:p>
      <w:pPr>
        <w:spacing w:after="100"/>
        <w:jc w:val="center"/>
      </w:pPr>
      <w:r>
        <w:rPr>
          <w:sz w:val="22"/>
          <w:szCs w:val="22"/>
        </w:rPr>
        <w:t xml:space="preserve">Stack: Render + Neon + Upstash/Redis + Razorpay Test Mode</w:t>
      </w:r>
    </w:p>
    <w:p>
      <w:pPr>
        <w:jc w:val="center"/>
      </w:pPr>
      <w:r>
        <w:rPr>
          <w:sz w:val="22"/>
          <w:szCs w:val="22"/>
        </w:rPr>
        <w:t xml:space="preserve">Date: August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Purpose &amp; Philosophy</w:t>
      </w:r>
    </w:p>
    <w:p>
      <w:pPr>
        <w:spacing w:after="120"/>
      </w:pPr>
      <w:r>
        <w:t xml:space="preserve">This guide documents a deployment path that costs ₹0 to start and stays free for as long as the project is in the demo/early-user stage — while using a stack that will not need to be re-architected later. Every free component chosen here (Render, Neon, Upstash) has a direct, same-vendor paid upgrade path, so ‘scaling up’ later means changing a plan, not rewriting code.</w:t>
      </w:r>
    </w:p>
    <w:p>
      <w:pPr>
        <w:spacing w:after="120"/>
      </w:pPr>
      <w:r>
        <w:t xml:space="preserve">The guiding rule: pick free services that are permanently free (not trial credits that expire), and keep environment-variable-driven configuration so moving from free to paid, or from one provider to another, never touches application code.</w:t>
      </w:r>
    </w:p>
    <w:p>
      <w:pPr>
        <w:pStyle w:val="Heading1"/>
        <w:spacing w:after="150" w:before="300"/>
      </w:pPr>
      <w:r>
        <w:t xml:space="preserve">2. Free-Tier Stack — What &amp; Why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5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2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one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hosting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(Web Service)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512 MB RAM, 0.1 CPU, sleeps after ~15 min idle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credit card, native Django support, simplest deploy path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Neon (PostgreSQL)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GB storage, permanent (no expiry)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Unlike Render's own free DB (deleted after 30 days), Neon's free tier does not expire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/ Celery broker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Redis (free) or Upstash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MB (Render) / 10K commands/day (Upstash)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Enough for early-stage async tasks (notifications, reminders)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 workers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(Worker service)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free-tier limits as web service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Celery worker + beat scheduler alongside the web app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subdomain, or DigitalPlat FreeDomain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Free, permanent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onrender.com works immediately; DigitalPlat gives a real custom domain with full DNS control if needed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(Test Mode)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— no fee until Live Mode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cost during development; flip to Live only when accepting real fees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files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WhiteNoise (in-app)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separate service needed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Serves CSS/JS directly from Django — no CDN cost at this stage</w:t>
            </w:r>
          </w:p>
        </w:tc>
      </w:tr>
    </w:tbl>
    <w:p>
      <w:pPr>
        <w:pStyle w:val="Heading1"/>
        <w:spacing w:after="150" w:before="300"/>
      </w:pPr>
      <w:r>
        <w:t xml:space="preserve">3. Step-by-Step Setup</w:t>
      </w:r>
    </w:p>
    <w:p>
      <w:pPr>
        <w:pStyle w:val="Heading2"/>
        <w:spacing w:after="100" w:before="200"/>
      </w:pPr>
      <w:r>
        <w:t xml:space="preserve">3.1 Database — Neon</w:t>
      </w:r>
    </w:p>
    <w:p>
      <w:pPr>
        <w:spacing w:after="80"/>
      </w:pPr>
      <w:r>
        <w:t xml:space="preserve">1. Sign up at neon.tech (free, no card required)</w:t>
      </w:r>
    </w:p>
    <w:p>
      <w:pPr>
        <w:spacing w:after="80"/>
      </w:pPr>
      <w:r>
        <w:t xml:space="preserve">2. Create a new project → note the auto-generated database name</w:t>
      </w:r>
    </w:p>
    <w:p>
      <w:pPr>
        <w:spacing w:after="80"/>
      </w:pPr>
      <w:r>
        <w:t xml:space="preserve">3. Copy the connection string from the dashboard — looks like: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postgresql://user:password@ep-xxxx.neon.tech/dbname?sslmode=require</w:t>
      </w:r>
    </w:p>
    <w:p>
      <w:pPr>
        <w:spacing w:after="80"/>
      </w:pPr>
      <w:r>
        <w:t xml:space="preserve">4. Save this as the DATABASE_URL environment variable (used in step 3.3)</w:t>
      </w:r>
    </w:p>
    <w:p>
      <w:pPr>
        <w:pStyle w:val="Heading2"/>
        <w:spacing w:after="100" w:before="200"/>
      </w:pPr>
      <w:r>
        <w:t xml:space="preserve">3.2 Push Code to GitHub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  <w:r>
        <w:rPr>
          <w:rFonts w:ascii="Consolas" w:cs="Consolas" w:eastAsia="Consolas" w:hAnsi="Consolas"/>
          <w:sz w:val="20"/>
          <w:szCs w:val="20"/>
        </w:rPr>
        <w:br/>
        <w:t xml:space="preserve">git add .</w:t>
      </w:r>
      <w:r>
        <w:rPr>
          <w:rFonts w:ascii="Consolas" w:cs="Consolas" w:eastAsia="Consolas" w:hAnsi="Consolas"/>
          <w:sz w:val="20"/>
          <w:szCs w:val="20"/>
        </w:rPr>
        <w:br/>
        <w:t xml:space="preserve">git commit -m "initial commit"</w:t>
      </w:r>
      <w:r>
        <w:rPr>
          <w:rFonts w:ascii="Consolas" w:cs="Consolas" w:eastAsia="Consolas" w:hAnsi="Consolas"/>
          <w:sz w:val="20"/>
          <w:szCs w:val="20"/>
        </w:rPr>
        <w:br/>
        <w:t xml:space="preserve">git remote add origin &lt;your-repo-url&gt;</w:t>
      </w:r>
      <w:r>
        <w:rPr>
          <w:rFonts w:ascii="Consolas" w:cs="Consolas" w:eastAsia="Consolas" w:hAnsi="Consolas"/>
          <w:sz w:val="20"/>
          <w:szCs w:val="20"/>
        </w:rPr>
        <w:br/>
        <w:t xml:space="preserve">git push -u origin main</w:t>
      </w:r>
    </w:p>
    <w:p>
      <w:pPr>
        <w:pStyle w:val="Heading2"/>
        <w:spacing w:after="100" w:before="200"/>
      </w:pPr>
      <w:r>
        <w:t xml:space="preserve">3.3 Deploy on Render (Blueprint)</w:t>
      </w:r>
    </w:p>
    <w:p>
      <w:pPr>
        <w:spacing w:after="80"/>
      </w:pPr>
      <w:r>
        <w:t xml:space="preserve">1. Go to Render Dashboard → New + → Blueprint</w:t>
      </w:r>
    </w:p>
    <w:p>
      <w:pPr>
        <w:spacing w:after="80"/>
      </w:pPr>
      <w:r>
        <w:t xml:space="preserve">2. Connect your GitHub repository — Render auto-detects render.yaml in the project root</w:t>
      </w:r>
    </w:p>
    <w:p>
      <w:pPr>
        <w:spacing w:after="80"/>
      </w:pPr>
      <w:r>
        <w:t xml:space="preserve">3. Render provisions: the Django web service, a Celery worker service, and a free Redis instance</w:t>
      </w:r>
    </w:p>
    <w:p>
      <w:pPr>
        <w:spacing w:after="80"/>
      </w:pPr>
      <w:r>
        <w:t xml:space="preserve">4. In the web service's Environment tab, set: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DJANGO_SETTINGS_MODULE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config.settings.free_tier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(paste Neon connection string from step 3.1)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DJANGO_SECRET_KEY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 by Render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DJANGO_ALLOWED_HOSTS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*.onrender.com (or your custom domain)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RAZORPAY_KEY_ID / RAZORPAY_KEY_SECRET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Test-mode keys from Razorpay dashboard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of your frontend, once deployed</w:t>
            </w:r>
          </w:p>
        </w:tc>
      </w:tr>
    </w:tbl>
    <w:p>
      <w:pPr>
        <w:spacing w:after="80"/>
      </w:pPr>
      <w:r>
        <w:t xml:space="preserve">5. Deploy — Render gives a live URL such as coaching-saas-web.onrender.com</w:t>
      </w:r>
    </w:p>
    <w:p>
      <w:pPr>
        <w:pStyle w:val="Heading2"/>
        <w:spacing w:after="100" w:before="200"/>
      </w:pPr>
      <w:r>
        <w:t xml:space="preserve">3.4 Run Migrations</w:t>
      </w:r>
    </w:p>
    <w:p>
      <w:pPr>
        <w:spacing w:after="120"/>
      </w:pPr>
      <w:r>
        <w:t xml:space="preserve">From the Render Shell tab (or a one-off job):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python manage.py migrate</w:t>
      </w:r>
      <w:r>
        <w:rPr>
          <w:rFonts w:ascii="Consolas" w:cs="Consolas" w:eastAsia="Consolas" w:hAnsi="Consolas"/>
          <w:sz w:val="20"/>
          <w:szCs w:val="20"/>
        </w:rPr>
        <w:br/>
        <w:t xml:space="preserve">python manage.py createsuperuser</w:t>
      </w:r>
    </w:p>
    <w:p>
      <w:pPr>
        <w:pStyle w:val="Heading2"/>
        <w:spacing w:after="100" w:before="200"/>
      </w:pPr>
      <w:r>
        <w:t xml:space="preserve">3.5 Payments — Razorpay Test Mode</w:t>
      </w:r>
    </w:p>
    <w:p>
      <w:pPr>
        <w:spacing w:after="80"/>
      </w:pPr>
      <w:r>
        <w:t xml:space="preserve">1. Sign up at razorpay.com → stay in Test Mode (default for new accounts)</w:t>
      </w:r>
    </w:p>
    <w:p>
      <w:pPr>
        <w:spacing w:after="80"/>
      </w:pPr>
      <w:r>
        <w:t xml:space="preserve">2. Generate Test API keys from Settings → API Keys</w:t>
      </w:r>
    </w:p>
    <w:p>
      <w:pPr>
        <w:spacing w:after="80"/>
      </w:pPr>
      <w:r>
        <w:t xml:space="preserve">3. Use Razorpay's test card numbers to simulate successful/failed payments</w:t>
      </w:r>
    </w:p>
    <w:p>
      <w:pPr>
        <w:spacing w:after="80"/>
      </w:pPr>
      <w:r>
        <w:t xml:space="preserve">4. Switch to Live Mode (requires business KYC) only when ready to accept real fees — no code change needed, only new keys</w:t>
      </w:r>
    </w:p>
    <w:p>
      <w:pPr>
        <w:pStyle w:val="Heading2"/>
        <w:spacing w:after="100" w:before="200"/>
      </w:pPr>
      <w:r>
        <w:t xml:space="preserve">3.6 Optional — Free Custom Domain</w:t>
      </w:r>
    </w:p>
    <w:p>
      <w:pPr>
        <w:spacing w:after="80"/>
      </w:pPr>
      <w:r>
        <w:t xml:space="preserve">1. Render's own onrender.com subdomain is free and sufficient to start</w:t>
      </w:r>
    </w:p>
    <w:p>
      <w:pPr>
        <w:spacing w:after="80"/>
      </w:pPr>
      <w:r>
        <w:t xml:space="preserve">2. For a branded domain: register one at dash.domain.digitalplat.org (real DNS delegation, not a redirect)</w:t>
      </w:r>
    </w:p>
    <w:p>
      <w:pPr>
        <w:spacing w:after="80"/>
      </w:pPr>
      <w:r>
        <w:t xml:space="preserve">3. Add a CNAME record pointing to your Render service, then attach it under Render → Settings → Custom Domains</w:t>
      </w:r>
    </w:p>
    <w:p>
      <w:pPr>
        <w:pStyle w:val="Heading1"/>
        <w:spacing w:after="150" w:before="300"/>
      </w:pPr>
      <w:r>
        <w:t xml:space="preserve">4. Environment Variables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 connection string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Neon dashboard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REDIS_URL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+ Celery broker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Auto-filled by Render Blueprint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DJANGO_SECRET_KEY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 cryptographic signing key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 by Render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DJANGO_SETTINGS_MODULE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settings file to load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config.settings.free_tier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RAZORPAY_KEY_ID / SECRET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gateway credentials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dashboard → API Keys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frontend URLs can call the API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frontend's deployed URL</w:t>
            </w:r>
          </w:p>
        </w:tc>
      </w:tr>
    </w:tbl>
    <w:p>
      <w:pPr>
        <w:pStyle w:val="Heading1"/>
        <w:spacing w:after="150" w:before="300"/>
      </w:pPr>
      <w:r>
        <w:t xml:space="preserve">5. Known Free-Tier Limits &amp; Mitigations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service sleeps after ~15 min idle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request after sleep takes 30–60s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Acceptable for demo/early users; a scheduled ping (e.g. free UptimeRobot) can keep it warm if needed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capped at 25 MB (Render) / 10K cmds/day (Upstash)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Limits cache size and Celery task volume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 for early notification/reminder volume; monitor usage as institutes grow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Neon free tier: 0.5 GB storage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Caps total data before upgrade needed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Sufficient for several hundred students' worth of records; Neon paid tier scales linearly, same connection string format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SLA / uptime guarantee on free tiers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suitable for paying customers relying on uptime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Treat this stage as pre-revenue validation; move to paid the moment a real institute is paying</w:t>
            </w:r>
          </w:p>
        </w:tc>
      </w:tr>
    </w:tbl>
    <w:p>
      <w:pPr>
        <w:pStyle w:val="Heading1"/>
        <w:spacing w:after="150" w:before="300"/>
      </w:pPr>
      <w:r>
        <w:t xml:space="preserve">6. Long-Term Scaling Path (when paid becomes worth it)</w:t>
      </w:r>
    </w:p>
    <w:p>
      <w:pPr>
        <w:spacing w:after="120"/>
      </w:pPr>
      <w:r>
        <w:t xml:space="preserve">The point of this stack is that upgrading later is a plan change, not a migration project: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upgrade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stays the same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paying institute / uptime matters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web service: Free → Starter ($7/mo, no sleep)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Code, settings module, Neon DB, Redis all unchanged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nearing 0.5 GB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Neon: Free → Launch plan (usage-based)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connection string format (dj-database-url)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 task volume grows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Upstash/Render Redis: Free → paid tier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REDIS_URL variable, no code change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 guaranteed custom branding/SEO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a real domain (~$10– 15/year)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 repoint only — app itself untouched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 requires horizontal scaling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Render: add more web service instances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Tenant-aware architecture (Milestone 1) already supports this — see SRS §5</w:t>
            </w:r>
          </w:p>
        </w:tc>
      </w:tr>
    </w:tbl>
    <w:p>
      <w:pPr>
        <w:pStyle w:val="Heading1"/>
        <w:spacing w:after="150" w:before="300"/>
      </w:pPr>
      <w:r>
        <w:t xml:space="preserve">7. Deployment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Neon project created, DATABASE_URL copied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pushed to GitHub (main branch)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Render Blueprint deployed from render.yaml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environment variables set in Render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Migrations run, superuser 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Razorpay test-mode keys added, a test payment completed successfully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panel accessible at /admin/ and login 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(Optional) Custom domain attached and DNS 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README's local-tenant-testing steps followed to confirm multi-tenancy works in production</w:t>
      </w:r>
    </w:p>
    <w:p>
      <w:pPr>
        <w:pStyle w:val="Heading1"/>
        <w:spacing w:after="150" w:before="300"/>
      </w:pPr>
      <w:r>
        <w:t xml:space="preserve">8. Appendix —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Coaching_SaaS_SRS.docx — full functional/non-functional requirements, ER diagram, milestone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render.yaml — Render Blueprint (in project root)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config/settings/free_tier.py — settings module used by this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README.md — quick-reference version of this same deployment flow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Coaching SaaS — Deployment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2026-08-22T05:08:07.954Z</dcterms:created>
  <dcterms:modified xsi:type="dcterms:W3CDTF">2026-08-22T05:08:07.954Z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