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equipment handover</w:t>
      </w:r>
    </w:p>
    <w:p>
      <w:r>
        <w:t xml:space="preserve">Acknowledgement must arrive </w:t>
      </w:r>
      <w:r>
        <w:rPr>
          <w:b/>
        </w:rPr>
        <w:t>strictly before 09:45 UTC</w:t>
      </w:r>
      <w:r>
        <w:t xml:space="preserve"> on 21 October 2026. Arrival at 09:45 does not qualify.</w:t>
      </w:r>
    </w:p>
    <w:p>
      <w:r>
        <w:t>Keep the guard secured during use; disconnect power before maintenance; report damage to the supervisor.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Unit price</w:t>
            </w:r>
          </w:p>
        </w:tc>
      </w:tr>
      <w:tr>
        <w:tc>
          <w:tcPr>
            <w:tcW w:type="dxa" w:w="2880"/>
          </w:tcPr>
          <w:p>
            <w:r>
              <w:t>Adapter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EUR 14.20</w:t>
            </w:r>
          </w:p>
        </w:tc>
      </w:tr>
      <w:tr>
        <w:tc>
          <w:tcPr>
            <w:tcW w:type="dxa" w:w="2880"/>
          </w:tcPr>
          <w:p>
            <w:r>
              <w:t>Cable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EUR 5.75</w:t>
            </w:r>
          </w:p>
        </w:tc>
      </w:tr>
    </w:tbl>
    <w:p>
      <w:r>
        <w:t>These prices exclude tax. Tax rate and delivery cost are not supplied.</w:t>
      </w:r>
    </w:p>
    <w:p>
      <w:pPr>
        <w:pStyle w:val="ListNumber"/>
      </w:pPr>
      <w:r>
        <w:t>Check the serial number.</w:t>
      </w:r>
    </w:p>
    <w:p>
      <w:pPr>
        <w:pStyle w:val="ListNumber"/>
      </w:pPr>
      <w:r>
        <w:t>Record the handover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SYNTHETIC_FOOTER_NOT_IN_BODY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SYNTHETIC_HEADER_NOT_IN_BODY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equipment handover</dc:title>
  <dc:subject/>
  <dc:creator>PrivateAI synthetic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