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2874F0"/>
          <w:sz w:val="50"/>
        </w:rPr>
        <w:t>FLIPKART-STYLE E-COMMERCE</w:t>
        <w:br/>
        <w:t>CUSTOMER PURCHASE ANALYTICS</w:t>
      </w:r>
    </w:p>
    <w:p>
      <w:pPr>
        <w:jc w:val="center"/>
      </w:pPr>
      <w:r>
        <w:rPr>
          <w:b/>
          <w:color w:val="17365D"/>
          <w:sz w:val="44"/>
        </w:rPr>
        <w:t>Business Decision &amp; Recommendation Report</w:t>
      </w:r>
    </w:p>
    <w:p>
      <w:pPr>
        <w:jc w:val="center"/>
      </w:pPr>
      <w:r>
        <w:rPr>
          <w:color w:val="65748B"/>
          <w:sz w:val="26"/>
        </w:rPr>
        <w:t>Senior Business Analyst Perspective</w:t>
      </w:r>
    </w:p>
    <w:p>
      <w:pPr>
        <w:jc w:val="center"/>
      </w:pPr>
      <w:r>
        <w:rPr>
          <w:color w:val="FBC02D"/>
          <w:sz w:val="26"/>
        </w:rPr>
        <w:t>━━━━━━━━━━━━━━━━━━━━━━━━━━━━━━━━━━━━</w:t>
      </w:r>
    </w:p>
    <w:p>
      <w:pPr>
        <w:spacing w:before="600"/>
      </w:pPr>
    </w:p>
    <w:tbl>
      <w:tblPr>
        <w:tblW w:type="auto" w:w="0"/>
        <w:jc w:val="center"/>
        <w:tblLook w:firstColumn="1" w:firstRow="1" w:lastColumn="0" w:lastRow="0" w:noHBand="0" w:noVBand="1" w:val="04A0"/>
      </w:tblPr>
      <w:tblGrid>
        <w:gridCol w:w="1694"/>
        <w:gridCol w:w="1694"/>
        <w:gridCol w:w="1694"/>
        <w:gridCol w:w="1694"/>
        <w:gridCol w:w="1694"/>
        <w:gridCol w:w="1694"/>
      </w:tblGrid>
      <w:tr>
        <w:trPr>
          <w:cantSplit/>
        </w:trPr>
        <w:tc>
          <w:tcPr>
            <w:tcW w:type="dxa" w:w="1694"/>
            <w:shd w:fill="F4F8FF"/>
          </w:tcPr>
          <w:p>
            <w:pPr>
              <w:jc w:val="center"/>
            </w:pPr>
            <w:r/>
            <w:r>
              <w:rPr>
                <w:b/>
                <w:color w:val="17365D"/>
                <w:sz w:val="32"/>
              </w:rPr>
              <w:t>$29.50M</w:t>
              <w:br/>
            </w:r>
            <w:r>
              <w:rPr>
                <w:color w:val="65748B"/>
                <w:sz w:val="16"/>
              </w:rPr>
              <w:t>Revenue</w:t>
            </w:r>
          </w:p>
        </w:tc>
        <w:tc>
          <w:tcPr>
            <w:tcW w:type="dxa" w:w="1694"/>
            <w:shd w:fill="F4F8FF"/>
          </w:tcPr>
          <w:p>
            <w:pPr>
              <w:jc w:val="center"/>
            </w:pPr>
            <w:r/>
            <w:r>
              <w:rPr>
                <w:b/>
                <w:color w:val="17365D"/>
                <w:sz w:val="32"/>
              </w:rPr>
              <w:t>$6.76M</w:t>
              <w:br/>
            </w:r>
            <w:r>
              <w:rPr>
                <w:color w:val="65748B"/>
                <w:sz w:val="16"/>
              </w:rPr>
              <w:t>Profit</w:t>
            </w:r>
          </w:p>
        </w:tc>
        <w:tc>
          <w:tcPr>
            <w:tcW w:type="dxa" w:w="1694"/>
            <w:shd w:fill="F4F8FF"/>
          </w:tcPr>
          <w:p>
            <w:pPr>
              <w:jc w:val="center"/>
            </w:pPr>
            <w:r/>
            <w:r>
              <w:rPr>
                <w:b/>
                <w:color w:val="17365D"/>
                <w:sz w:val="32"/>
              </w:rPr>
              <w:t>22.9%</w:t>
              <w:br/>
            </w:r>
            <w:r>
              <w:rPr>
                <w:color w:val="65748B"/>
                <w:sz w:val="16"/>
              </w:rPr>
              <w:t>Profit Margin</w:t>
            </w:r>
          </w:p>
        </w:tc>
        <w:tc>
          <w:tcPr>
            <w:tcW w:type="dxa" w:w="1694"/>
            <w:shd w:fill="F4F8FF"/>
          </w:tcPr>
          <w:p>
            <w:pPr>
              <w:jc w:val="center"/>
            </w:pPr>
            <w:r/>
            <w:r>
              <w:rPr>
                <w:b/>
                <w:color w:val="17365D"/>
                <w:sz w:val="32"/>
              </w:rPr>
              <w:t>25,000</w:t>
              <w:br/>
            </w:r>
            <w:r>
              <w:rPr>
                <w:color w:val="65748B"/>
                <w:sz w:val="16"/>
              </w:rPr>
              <w:t>Orders</w:t>
            </w:r>
          </w:p>
        </w:tc>
        <w:tc>
          <w:tcPr>
            <w:tcW w:type="dxa" w:w="1694"/>
            <w:shd w:fill="F4F8FF"/>
          </w:tcPr>
          <w:p>
            <w:pPr>
              <w:jc w:val="center"/>
            </w:pPr>
            <w:r/>
            <w:r>
              <w:rPr>
                <w:b/>
                <w:color w:val="17365D"/>
                <w:sz w:val="32"/>
              </w:rPr>
              <w:t>2,000</w:t>
              <w:br/>
            </w:r>
            <w:r>
              <w:rPr>
                <w:color w:val="65748B"/>
                <w:sz w:val="16"/>
              </w:rPr>
              <w:t>Customers</w:t>
            </w:r>
          </w:p>
        </w:tc>
        <w:tc>
          <w:tcPr>
            <w:tcW w:type="dxa" w:w="1694"/>
            <w:shd w:fill="F4F8FF"/>
          </w:tcPr>
          <w:p>
            <w:pPr>
              <w:jc w:val="center"/>
            </w:pPr>
            <w:r/>
            <w:r>
              <w:rPr>
                <w:b/>
                <w:color w:val="17365D"/>
                <w:sz w:val="32"/>
              </w:rPr>
              <w:t>$1,180</w:t>
              <w:br/>
            </w:r>
            <w:r>
              <w:rPr>
                <w:color w:val="65748B"/>
                <w:sz w:val="16"/>
              </w:rPr>
              <w:t>AOV</w:t>
            </w:r>
          </w:p>
        </w:tc>
      </w:tr>
    </w:tbl>
    <w:p/>
    <w:tbl>
      <w:tblPr>
        <w:tblW w:type="auto" w:w="0"/>
        <w:jc w:val="center"/>
        <w:tblLook w:firstColumn="1" w:firstRow="1" w:lastColumn="0" w:lastRow="0" w:noHBand="0" w:noVBand="1" w:val="04A0"/>
      </w:tblPr>
      <w:tblGrid>
        <w:gridCol w:w="10166"/>
      </w:tblGrid>
      <w:tr>
        <w:trPr>
          <w:cantSplit/>
        </w:trPr>
        <w:tc>
          <w:tcPr>
            <w:tcW w:type="dxa" w:w="10166"/>
            <w:shd w:fill="FFF7DF"/>
          </w:tcPr>
          <w:p>
            <w:pPr>
              <w:pStyle w:val="Callout"/>
            </w:pPr>
            <w:r>
              <w:rPr>
                <w:b/>
                <w:color w:val="2874F0"/>
              </w:rPr>
              <w:t xml:space="preserve">Portfolio positioning: </w:t>
            </w:r>
            <w:r>
              <w:t>This report is based on a synthetic / portfolio e-commerce dataset designed to resemble a large marketplace business. It should not be represented as actual Flipkart customer or transaction data.</w:t>
            </w:r>
          </w:p>
        </w:tc>
      </w:tr>
    </w:tbl>
    <w:p>
      <w:pPr>
        <w:spacing w:after="0"/>
      </w:pPr>
    </w:p>
    <w:p>
      <w:pPr>
        <w:spacing w:before="480"/>
        <w:jc w:val="center"/>
      </w:pPr>
      <w:r>
        <w:rPr>
          <w:color w:val="65748B"/>
          <w:sz w:val="20"/>
        </w:rPr>
        <w:t>Prepared for business decision-making, prioritization, and portfolio presentation</w:t>
      </w:r>
    </w:p>
    <w:p>
      <w:r>
        <w:br w:type="page"/>
      </w:r>
    </w:p>
    <w:p>
      <w:pPr>
        <w:pStyle w:val="Heading1"/>
      </w:pPr>
      <w:r>
        <w:t>1. Executive Decision Summary</w:t>
      </w:r>
    </w:p>
    <w:p>
      <w:r>
        <w:t>The business is profitable and operationally stable, but the dataset suggests a commercial model that is not translating transaction activity into meaningful growth. The strongest decision opportunity is not “sell more at any cost”; it is to improve the quality of revenue by tightening discount governance, protecting product margins, and using more targeted growth levers.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304"/>
            <w:vAlign w:val="center"/>
            <w:shd w:fill="2874F0"/>
          </w:tcPr>
          <w:p>
            <w:r/>
            <w:r>
              <w:rPr>
                <w:rFonts w:ascii="Aptos" w:hAnsi="Aptos"/>
                <w:b/>
                <w:color w:val="FFFFFF"/>
                <w:sz w:val="18"/>
              </w:rPr>
              <w:t>Observed signal</w:t>
            </w:r>
          </w:p>
        </w:tc>
        <w:tc>
          <w:tcPr>
            <w:tcW w:type="dxa" w:w="4176"/>
            <w:vAlign w:val="center"/>
            <w:shd w:fill="2874F0"/>
          </w:tcPr>
          <w:p>
            <w:r/>
            <w:r>
              <w:rPr>
                <w:rFonts w:ascii="Aptos" w:hAnsi="Aptos"/>
                <w:b/>
                <w:color w:val="FFFFFF"/>
                <w:sz w:val="18"/>
              </w:rPr>
              <w:t>What it means for the business</w:t>
            </w:r>
          </w:p>
        </w:tc>
        <w:tc>
          <w:tcPr>
            <w:tcW w:type="dxa" w:w="4176"/>
            <w:vAlign w:val="center"/>
            <w:shd w:fill="2874F0"/>
          </w:tcPr>
          <w:p>
            <w:r/>
            <w:r>
              <w:rPr>
                <w:rFonts w:ascii="Aptos" w:hAnsi="Aptos"/>
                <w:b/>
                <w:color w:val="FFFFFF"/>
                <w:sz w:val="18"/>
              </w:rPr>
              <w:t>Decision implication</w:t>
            </w:r>
          </w:p>
        </w:tc>
      </w:tr>
      <w:tr>
        <w:trPr>
          <w:cantSplit/>
        </w:trPr>
        <w:tc>
          <w:tcPr>
            <w:tcW w:type="dxa" w:w="2304"/>
            <w:vAlign w:val="center"/>
          </w:tcPr>
          <w:p>
            <w:r/>
            <w:r>
              <w:rPr>
                <w:rFonts w:ascii="Aptos" w:hAnsi="Aptos"/>
                <w:b w:val="0"/>
                <w:sz w:val="17"/>
              </w:rPr>
              <w:t>2025 revenue growth: 0.43%</w:t>
            </w:r>
          </w:p>
        </w:tc>
        <w:tc>
          <w:tcPr>
            <w:tcW w:type="dxa" w:w="4176"/>
            <w:vAlign w:val="center"/>
          </w:tcPr>
          <w:p>
            <w:r/>
            <w:r>
              <w:rPr>
                <w:rFonts w:ascii="Aptos" w:hAnsi="Aptos"/>
                <w:b w:val="0"/>
                <w:sz w:val="17"/>
              </w:rPr>
              <w:t>Revenue is effectively flat year over year.</w:t>
            </w:r>
          </w:p>
        </w:tc>
        <w:tc>
          <w:tcPr>
            <w:tcW w:type="dxa" w:w="4176"/>
            <w:vAlign w:val="center"/>
          </w:tcPr>
          <w:p>
            <w:r/>
            <w:r>
              <w:rPr>
                <w:rFonts w:ascii="Aptos" w:hAnsi="Aptos"/>
                <w:b w:val="0"/>
                <w:sz w:val="17"/>
              </w:rPr>
              <w:t>Shift focus from reporting growth to identifying controllable growth levers.</w:t>
            </w:r>
          </w:p>
        </w:tc>
      </w:tr>
      <w:tr>
        <w:trPr>
          <w:cantSplit/>
        </w:trPr>
        <w:tc>
          <w:tcPr>
            <w:tcW w:type="dxa" w:w="2304"/>
            <w:vAlign w:val="center"/>
            <w:shd w:fill="F5F8FF"/>
          </w:tcPr>
          <w:p>
            <w:r/>
            <w:r>
              <w:rPr>
                <w:rFonts w:ascii="Aptos" w:hAnsi="Aptos"/>
                <w:b w:val="0"/>
                <w:sz w:val="17"/>
              </w:rPr>
              <w:t>2025 profit growth: 0.17%</w:t>
            </w:r>
          </w:p>
        </w:tc>
        <w:tc>
          <w:tcPr>
            <w:tcW w:type="dxa" w:w="4176"/>
            <w:vAlign w:val="center"/>
            <w:shd w:fill="F5F8FF"/>
          </w:tcPr>
          <w:p>
            <w:r/>
            <w:r>
              <w:rPr>
                <w:rFonts w:ascii="Aptos" w:hAnsi="Aptos"/>
                <w:b w:val="0"/>
                <w:sz w:val="17"/>
              </w:rPr>
              <w:t>Profit is also flat and grew more slowly than revenue.</w:t>
            </w:r>
          </w:p>
        </w:tc>
        <w:tc>
          <w:tcPr>
            <w:tcW w:type="dxa" w:w="4176"/>
            <w:vAlign w:val="center"/>
            <w:shd w:fill="F5F8FF"/>
          </w:tcPr>
          <w:p>
            <w:r/>
            <w:r>
              <w:rPr>
                <w:rFonts w:ascii="Aptos" w:hAnsi="Aptos"/>
                <w:b w:val="0"/>
                <w:sz w:val="17"/>
              </w:rPr>
              <w:t>Protect margin while testing growth initiatives.</w:t>
            </w:r>
          </w:p>
        </w:tc>
      </w:tr>
      <w:tr>
        <w:trPr>
          <w:cantSplit/>
        </w:trPr>
        <w:tc>
          <w:tcPr>
            <w:tcW w:type="dxa" w:w="2304"/>
            <w:vAlign w:val="center"/>
          </w:tcPr>
          <w:p>
            <w:r/>
            <w:r>
              <w:rPr>
                <w:rFonts w:ascii="Aptos" w:hAnsi="Aptos"/>
                <w:b w:val="0"/>
                <w:sz w:val="17"/>
              </w:rPr>
              <w:t>57.9% of orders discounted</w:t>
            </w:r>
          </w:p>
        </w:tc>
        <w:tc>
          <w:tcPr>
            <w:tcW w:type="dxa" w:w="4176"/>
            <w:vAlign w:val="center"/>
          </w:tcPr>
          <w:p>
            <w:r/>
            <w:r>
              <w:rPr>
                <w:rFonts w:ascii="Aptos" w:hAnsi="Aptos"/>
                <w:b w:val="0"/>
                <w:sz w:val="17"/>
              </w:rPr>
              <w:t>Discounting is a major part of the current commercial model.</w:t>
            </w:r>
          </w:p>
        </w:tc>
        <w:tc>
          <w:tcPr>
            <w:tcW w:type="dxa" w:w="4176"/>
            <w:vAlign w:val="center"/>
          </w:tcPr>
          <w:p>
            <w:r/>
            <w:r>
              <w:rPr>
                <w:rFonts w:ascii="Aptos" w:hAnsi="Aptos"/>
                <w:b w:val="0"/>
                <w:sz w:val="17"/>
              </w:rPr>
              <w:t>Promotion rules should be measured by incremental profit, not only sales.</w:t>
            </w:r>
          </w:p>
        </w:tc>
      </w:tr>
      <w:tr>
        <w:trPr>
          <w:cantSplit/>
        </w:trPr>
        <w:tc>
          <w:tcPr>
            <w:tcW w:type="dxa" w:w="2304"/>
            <w:vAlign w:val="center"/>
            <w:shd w:fill="F5F8FF"/>
          </w:tcPr>
          <w:p>
            <w:r/>
            <w:r>
              <w:rPr>
                <w:rFonts w:ascii="Aptos" w:hAnsi="Aptos"/>
                <w:b w:val="0"/>
                <w:sz w:val="17"/>
              </w:rPr>
              <w:t>15% discount: 12.5% loss-order rate; 20% discount: 33.6%</w:t>
            </w:r>
          </w:p>
        </w:tc>
        <w:tc>
          <w:tcPr>
            <w:tcW w:type="dxa" w:w="4176"/>
            <w:vAlign w:val="center"/>
            <w:shd w:fill="F5F8FF"/>
          </w:tcPr>
          <w:p>
            <w:r/>
            <w:r>
              <w:rPr>
                <w:rFonts w:ascii="Aptos" w:hAnsi="Aptos"/>
                <w:b w:val="0"/>
                <w:sz w:val="17"/>
              </w:rPr>
              <w:t>Deep discounts are strongly associated with negative-profit transactions.</w:t>
            </w:r>
          </w:p>
        </w:tc>
        <w:tc>
          <w:tcPr>
            <w:tcW w:type="dxa" w:w="4176"/>
            <w:vAlign w:val="center"/>
            <w:shd w:fill="F5F8FF"/>
          </w:tcPr>
          <w:p>
            <w:r/>
            <w:r>
              <w:rPr>
                <w:rFonts w:ascii="Aptos" w:hAnsi="Aptos"/>
                <w:b w:val="0"/>
                <w:sz w:val="17"/>
              </w:rPr>
              <w:t>Introduce margin floors and approval rules for deep discounts.</w:t>
            </w:r>
          </w:p>
        </w:tc>
      </w:tr>
      <w:tr>
        <w:trPr>
          <w:cantSplit/>
        </w:trPr>
        <w:tc>
          <w:tcPr>
            <w:tcW w:type="dxa" w:w="2304"/>
            <w:vAlign w:val="center"/>
          </w:tcPr>
          <w:p>
            <w:r/>
            <w:r>
              <w:rPr>
                <w:rFonts w:ascii="Aptos" w:hAnsi="Aptos"/>
                <w:b w:val="0"/>
                <w:sz w:val="17"/>
              </w:rPr>
              <w:t>2.3% of all orders are loss-making</w:t>
            </w:r>
          </w:p>
        </w:tc>
        <w:tc>
          <w:tcPr>
            <w:tcW w:type="dxa" w:w="4176"/>
            <w:vAlign w:val="center"/>
          </w:tcPr>
          <w:p>
            <w:r/>
            <w:r>
              <w:rPr>
                <w:rFonts w:ascii="Aptos" w:hAnsi="Aptos"/>
                <w:b w:val="0"/>
                <w:sz w:val="17"/>
              </w:rPr>
              <w:t>Value leakage is material enough to warrant direct management.</w:t>
            </w:r>
          </w:p>
        </w:tc>
        <w:tc>
          <w:tcPr>
            <w:tcW w:type="dxa" w:w="4176"/>
            <w:vAlign w:val="center"/>
          </w:tcPr>
          <w:p>
            <w:r/>
            <w:r>
              <w:rPr>
                <w:rFonts w:ascii="Aptos" w:hAnsi="Aptos"/>
                <w:b w:val="0"/>
                <w:sz w:val="17"/>
              </w:rPr>
              <w:t>Create a weekly loss-order exception review.</w:t>
            </w:r>
          </w:p>
        </w:tc>
      </w:tr>
      <w:tr>
        <w:trPr>
          <w:cantSplit/>
        </w:trPr>
        <w:tc>
          <w:tcPr>
            <w:tcW w:type="dxa" w:w="2304"/>
            <w:vAlign w:val="center"/>
            <w:shd w:fill="F5F8FF"/>
          </w:tcPr>
          <w:p>
            <w:r/>
            <w:r>
              <w:rPr>
                <w:rFonts w:ascii="Aptos" w:hAnsi="Aptos"/>
                <w:b w:val="0"/>
                <w:sz w:val="17"/>
              </w:rPr>
              <w:t>Returns: 0.06% of orders</w:t>
            </w:r>
          </w:p>
        </w:tc>
        <w:tc>
          <w:tcPr>
            <w:tcW w:type="dxa" w:w="4176"/>
            <w:vAlign w:val="center"/>
            <w:shd w:fill="F5F8FF"/>
          </w:tcPr>
          <w:p>
            <w:r/>
            <w:r>
              <w:rPr>
                <w:rFonts w:ascii="Aptos" w:hAnsi="Aptos"/>
                <w:b w:val="0"/>
                <w:sz w:val="17"/>
              </w:rPr>
              <w:t>Observed return volume is very low, but return logic is only a negative-quantity proxy.</w:t>
            </w:r>
          </w:p>
        </w:tc>
        <w:tc>
          <w:tcPr>
            <w:tcW w:type="dxa" w:w="4176"/>
            <w:vAlign w:val="center"/>
            <w:shd w:fill="F5F8FF"/>
          </w:tcPr>
          <w:p>
            <w:r/>
            <w:r>
              <w:rPr>
                <w:rFonts w:ascii="Aptos" w:hAnsi="Aptos"/>
                <w:b w:val="0"/>
                <w:sz w:val="17"/>
              </w:rPr>
              <w:t>Do not make strong return-policy decisions until return status/reason is captured.</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EAF2FF"/>
          </w:tcPr>
          <w:p>
            <w:pPr>
              <w:pStyle w:val="Callout"/>
            </w:pPr>
            <w:r>
              <w:rPr>
                <w:b/>
                <w:color w:val="2874F0"/>
              </w:rPr>
              <w:t xml:space="preserve">Recommended decision: </w:t>
            </w:r>
            <w:r>
              <w:t>Prioritize a Margin Protection Program first, followed by Product Profitability Optimization and controlled growth experiments. Treat customer-retention and return conclusions as secondary until the data model is enriched.</w:t>
            </w:r>
          </w:p>
        </w:tc>
      </w:tr>
    </w:tbl>
    <w:p>
      <w:pPr>
        <w:spacing w:after="0"/>
      </w:pPr>
    </w:p>
    <w:p>
      <w:pPr>
        <w:pStyle w:val="Heading2"/>
      </w:pPr>
      <w:r>
        <w:t>Decision priorities</w:t>
      </w:r>
    </w:p>
    <w:p>
      <w:pPr>
        <w:pStyle w:val="ListNumber"/>
        <w:spacing w:after="80"/>
      </w:pPr>
      <w:r>
        <w:t>Implement discount guardrails and a minimum post-discount margin rule.</w:t>
      </w:r>
    </w:p>
    <w:p>
      <w:pPr>
        <w:pStyle w:val="ListNumber"/>
        <w:spacing w:after="80"/>
      </w:pPr>
      <w:r>
        <w:t>Review high-revenue / low-margin SKUs and redesign price, vendor cost, or promotion strategy.</w:t>
      </w:r>
    </w:p>
    <w:p>
      <w:pPr>
        <w:pStyle w:val="ListNumber"/>
        <w:spacing w:after="80"/>
      </w:pPr>
      <w:r>
        <w:t>Use category and regional growth experiments to break the current flat-growth pattern.</w:t>
      </w:r>
    </w:p>
    <w:p>
      <w:pPr>
        <w:pStyle w:val="ListNumber"/>
        <w:spacing w:after="80"/>
      </w:pPr>
      <w:r>
        <w:t>Improve customer, basket, return, and marketing data before making lifecycle or attribution decisions.</w:t>
      </w:r>
    </w:p>
    <w:p>
      <w:pPr>
        <w:pStyle w:val="ListNumber"/>
        <w:spacing w:after="80"/>
      </w:pPr>
      <w:r>
        <w:t>Create a recurring commercial performance review using profit, margin, loss-order rate, and promotion effectiveness as primary metrics.</w:t>
      </w:r>
    </w:p>
    <w:p>
      <w:r>
        <w:br w:type="page"/>
      </w:r>
    </w:p>
    <w:p>
      <w:pPr>
        <w:pStyle w:val="Heading1"/>
      </w:pPr>
      <w:r>
        <w:t>2. Current Business Performance</w:t>
      </w:r>
    </w:p>
    <w:tbl>
      <w:tblPr>
        <w:tblW w:type="auto" w:w="0"/>
        <w:jc w:val="center"/>
        <w:tblLook w:firstColumn="1" w:firstRow="1" w:lastColumn="0" w:lastRow="0" w:noHBand="0" w:noVBand="1" w:val="04A0"/>
      </w:tblPr>
      <w:tblGrid>
        <w:gridCol w:w="1694"/>
        <w:gridCol w:w="1694"/>
        <w:gridCol w:w="1694"/>
        <w:gridCol w:w="1694"/>
        <w:gridCol w:w="1694"/>
        <w:gridCol w:w="1694"/>
      </w:tblGrid>
      <w:tr>
        <w:trPr>
          <w:cantSplit/>
        </w:trPr>
        <w:tc>
          <w:tcPr>
            <w:tcW w:type="dxa" w:w="1694"/>
            <w:shd w:fill="F4F8FF"/>
          </w:tcPr>
          <w:p>
            <w:pPr>
              <w:jc w:val="center"/>
            </w:pPr>
            <w:r/>
            <w:r>
              <w:rPr>
                <w:b/>
                <w:color w:val="17365D"/>
                <w:sz w:val="32"/>
              </w:rPr>
              <w:t>$29.50M</w:t>
              <w:br/>
            </w:r>
            <w:r>
              <w:rPr>
                <w:color w:val="65748B"/>
                <w:sz w:val="16"/>
              </w:rPr>
              <w:t>Revenue</w:t>
            </w:r>
          </w:p>
        </w:tc>
        <w:tc>
          <w:tcPr>
            <w:tcW w:type="dxa" w:w="1694"/>
            <w:shd w:fill="F4F8FF"/>
          </w:tcPr>
          <w:p>
            <w:pPr>
              <w:jc w:val="center"/>
            </w:pPr>
            <w:r/>
            <w:r>
              <w:rPr>
                <w:b/>
                <w:color w:val="17365D"/>
                <w:sz w:val="32"/>
              </w:rPr>
              <w:t>$6.76M</w:t>
              <w:br/>
            </w:r>
            <w:r>
              <w:rPr>
                <w:color w:val="65748B"/>
                <w:sz w:val="16"/>
              </w:rPr>
              <w:t>Profit</w:t>
            </w:r>
          </w:p>
        </w:tc>
        <w:tc>
          <w:tcPr>
            <w:tcW w:type="dxa" w:w="1694"/>
            <w:shd w:fill="F4F8FF"/>
          </w:tcPr>
          <w:p>
            <w:pPr>
              <w:jc w:val="center"/>
            </w:pPr>
            <w:r/>
            <w:r>
              <w:rPr>
                <w:b/>
                <w:color w:val="17365D"/>
                <w:sz w:val="32"/>
              </w:rPr>
              <w:t>$22.76M</w:t>
              <w:br/>
            </w:r>
            <w:r>
              <w:rPr>
                <w:color w:val="65748B"/>
                <w:sz w:val="16"/>
              </w:rPr>
              <w:t>Cost</w:t>
            </w:r>
          </w:p>
        </w:tc>
        <w:tc>
          <w:tcPr>
            <w:tcW w:type="dxa" w:w="1694"/>
            <w:shd w:fill="F4F8FF"/>
          </w:tcPr>
          <w:p>
            <w:pPr>
              <w:jc w:val="center"/>
            </w:pPr>
            <w:r/>
            <w:r>
              <w:rPr>
                <w:b/>
                <w:color w:val="17365D"/>
                <w:sz w:val="32"/>
              </w:rPr>
              <w:t>22.9%</w:t>
              <w:br/>
            </w:r>
            <w:r>
              <w:rPr>
                <w:color w:val="65748B"/>
                <w:sz w:val="16"/>
              </w:rPr>
              <w:t>Margin</w:t>
            </w:r>
          </w:p>
        </w:tc>
        <w:tc>
          <w:tcPr>
            <w:tcW w:type="dxa" w:w="1694"/>
            <w:shd w:fill="F4F8FF"/>
          </w:tcPr>
          <w:p>
            <w:pPr>
              <w:jc w:val="center"/>
            </w:pPr>
            <w:r/>
            <w:r>
              <w:rPr>
                <w:b/>
                <w:color w:val="17365D"/>
                <w:sz w:val="32"/>
              </w:rPr>
              <w:t>48,064</w:t>
              <w:br/>
            </w:r>
            <w:r>
              <w:rPr>
                <w:color w:val="65748B"/>
                <w:sz w:val="16"/>
              </w:rPr>
              <w:t>Net Units</w:t>
            </w:r>
          </w:p>
        </w:tc>
        <w:tc>
          <w:tcPr>
            <w:tcW w:type="dxa" w:w="1694"/>
            <w:shd w:fill="F4F8FF"/>
          </w:tcPr>
          <w:p>
            <w:pPr>
              <w:jc w:val="center"/>
            </w:pPr>
            <w:r/>
            <w:r>
              <w:rPr>
                <w:b/>
                <w:color w:val="17365D"/>
                <w:sz w:val="32"/>
              </w:rPr>
              <w:t>585</w:t>
              <w:br/>
            </w:r>
            <w:r>
              <w:rPr>
                <w:color w:val="65748B"/>
                <w:sz w:val="16"/>
              </w:rPr>
              <w:t>Loss Orders</w:t>
            </w:r>
          </w:p>
        </w:tc>
      </w:tr>
    </w:tbl>
    <w:p/>
    <w:p>
      <w:pPr>
        <w:jc w:val="center"/>
      </w:pPr>
      <w:r>
        <w:drawing>
          <wp:inline xmlns:a="http://schemas.openxmlformats.org/drawingml/2006/main" xmlns:pic="http://schemas.openxmlformats.org/drawingml/2006/picture">
            <wp:extent cx="6583680" cy="2635156"/>
            <wp:docPr id="1" name="Picture 1"/>
            <wp:cNvGraphicFramePr>
              <a:graphicFrameLocks noChangeAspect="1"/>
            </wp:cNvGraphicFramePr>
            <a:graphic>
              <a:graphicData uri="http://schemas.openxmlformats.org/drawingml/2006/picture">
                <pic:pic>
                  <pic:nvPicPr>
                    <pic:cNvPr id="0" name="year_performance.png"/>
                    <pic:cNvPicPr/>
                  </pic:nvPicPr>
                  <pic:blipFill>
                    <a:blip r:embed="rId11"/>
                    <a:stretch>
                      <a:fillRect/>
                    </a:stretch>
                  </pic:blipFill>
                  <pic:spPr>
                    <a:xfrm>
                      <a:off x="0" y="0"/>
                      <a:ext cx="6583680" cy="2635156"/>
                    </a:xfrm>
                    <a:prstGeom prst="rect"/>
                  </pic:spPr>
                </pic:pic>
              </a:graphicData>
            </a:graphic>
          </wp:inline>
        </w:drawing>
      </w:r>
    </w:p>
    <w:tbl>
      <w:tblPr>
        <w:tblW w:type="auto" w:w="0"/>
        <w:jc w:val="center"/>
        <w:tblLook w:firstColumn="1" w:firstRow="1" w:lastColumn="0" w:lastRow="0" w:noHBand="0" w:noVBand="1" w:val="04A0"/>
      </w:tblPr>
      <w:tblGrid>
        <w:gridCol w:w="10166"/>
      </w:tblGrid>
      <w:tr>
        <w:trPr>
          <w:cantSplit/>
        </w:trPr>
        <w:tc>
          <w:tcPr>
            <w:tcW w:type="dxa" w:w="10166"/>
            <w:shd w:fill="EAF2FF"/>
          </w:tcPr>
          <w:p>
            <w:pPr>
              <w:pStyle w:val="Callout"/>
            </w:pPr>
            <w:r>
              <w:rPr>
                <w:b/>
                <w:color w:val="2874F0"/>
              </w:rPr>
              <w:t xml:space="preserve">Interpretation: </w:t>
            </w:r>
            <w:r>
              <w:t>Revenue increased only 0.43% from 2024 to 2025; profit increased 0.17% and order count 0.37%. This is best treated as a flat-growth business rather than a meaningful growth trajectory.</w:t>
            </w:r>
          </w:p>
        </w:tc>
      </w:tr>
    </w:tbl>
    <w:p>
      <w:pPr>
        <w:spacing w:after="0"/>
      </w:pPr>
    </w:p>
    <w:p>
      <w:pPr>
        <w:pStyle w:val="Heading2"/>
      </w:pPr>
      <w:r>
        <w:t>Business problem 1 — Growth without momentum</w:t>
      </w:r>
    </w:p>
    <w:p>
      <w:r>
        <w:t>A business can remain profitable while still losing strategic momentum. Flat revenue, profit, and order growth means future performance will depend on either higher customer value, better product mix, stronger demand generation, or improved unit economics.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12"/>
            <w:vAlign w:val="center"/>
            <w:shd w:fill="2874F0"/>
          </w:tcPr>
          <w:p>
            <w:r/>
            <w:r>
              <w:rPr>
                <w:rFonts w:ascii="Aptos" w:hAnsi="Aptos"/>
                <w:b/>
                <w:color w:val="FFFFFF"/>
                <w:sz w:val="18"/>
              </w:rPr>
              <w:t>Possible cause (hypothesis)</w:t>
            </w:r>
          </w:p>
        </w:tc>
        <w:tc>
          <w:tcPr>
            <w:tcW w:type="dxa" w:w="3600"/>
            <w:vAlign w:val="center"/>
            <w:shd w:fill="2874F0"/>
          </w:tcPr>
          <w:p>
            <w:r/>
            <w:r>
              <w:rPr>
                <w:rFonts w:ascii="Aptos" w:hAnsi="Aptos"/>
                <w:b/>
                <w:color w:val="FFFFFF"/>
                <w:sz w:val="18"/>
              </w:rPr>
              <w:t>How to validate</w:t>
            </w:r>
          </w:p>
        </w:tc>
        <w:tc>
          <w:tcPr>
            <w:tcW w:type="dxa" w:w="3744"/>
            <w:vAlign w:val="center"/>
            <w:shd w:fill="2874F0"/>
          </w:tcPr>
          <w:p>
            <w:r/>
            <w:r>
              <w:rPr>
                <w:rFonts w:ascii="Aptos" w:hAnsi="Aptos"/>
                <w:b/>
                <w:color w:val="FFFFFF"/>
                <w:sz w:val="18"/>
              </w:rPr>
              <w:t>Potential business response</w:t>
            </w:r>
          </w:p>
        </w:tc>
      </w:tr>
      <w:tr>
        <w:trPr>
          <w:cantSplit/>
        </w:trPr>
        <w:tc>
          <w:tcPr>
            <w:tcW w:type="dxa" w:w="3312"/>
            <w:vAlign w:val="center"/>
          </w:tcPr>
          <w:p>
            <w:r/>
            <w:r>
              <w:rPr>
                <w:rFonts w:ascii="Aptos" w:hAnsi="Aptos"/>
                <w:b w:val="0"/>
                <w:sz w:val="17"/>
              </w:rPr>
              <w:t>Mature demand / limited new-customer acquisition</w:t>
            </w:r>
          </w:p>
        </w:tc>
        <w:tc>
          <w:tcPr>
            <w:tcW w:type="dxa" w:w="3600"/>
            <w:vAlign w:val="center"/>
          </w:tcPr>
          <w:p>
            <w:r/>
            <w:r>
              <w:rPr>
                <w:rFonts w:ascii="Aptos" w:hAnsi="Aptos"/>
                <w:b w:val="0"/>
                <w:sz w:val="17"/>
              </w:rPr>
              <w:t>Add acquisition channel and new-vs-existing customer fields; compare cohort growth.</w:t>
            </w:r>
          </w:p>
        </w:tc>
        <w:tc>
          <w:tcPr>
            <w:tcW w:type="dxa" w:w="3744"/>
            <w:vAlign w:val="center"/>
          </w:tcPr>
          <w:p>
            <w:r/>
            <w:r>
              <w:rPr>
                <w:rFonts w:ascii="Aptos" w:hAnsi="Aptos"/>
                <w:b w:val="0"/>
                <w:sz w:val="17"/>
              </w:rPr>
              <w:t>Run channel-specific acquisition pilots and measure CAC-to-contribution economics.</w:t>
            </w:r>
          </w:p>
        </w:tc>
      </w:tr>
      <w:tr>
        <w:trPr>
          <w:cantSplit/>
        </w:trPr>
        <w:tc>
          <w:tcPr>
            <w:tcW w:type="dxa" w:w="3312"/>
            <w:vAlign w:val="center"/>
            <w:shd w:fill="F5F8FF"/>
          </w:tcPr>
          <w:p>
            <w:r/>
            <w:r>
              <w:rPr>
                <w:rFonts w:ascii="Aptos" w:hAnsi="Aptos"/>
                <w:b w:val="0"/>
                <w:sz w:val="17"/>
              </w:rPr>
              <w:t>Product mix is stable but not expanding demand</w:t>
            </w:r>
          </w:p>
        </w:tc>
        <w:tc>
          <w:tcPr>
            <w:tcW w:type="dxa" w:w="3600"/>
            <w:vAlign w:val="center"/>
            <w:shd w:fill="F5F8FF"/>
          </w:tcPr>
          <w:p>
            <w:r/>
            <w:r>
              <w:rPr>
                <w:rFonts w:ascii="Aptos" w:hAnsi="Aptos"/>
                <w:b w:val="0"/>
                <w:sz w:val="17"/>
              </w:rPr>
              <w:t>Track category/product growth rate, availability, and conversion.</w:t>
            </w:r>
          </w:p>
        </w:tc>
        <w:tc>
          <w:tcPr>
            <w:tcW w:type="dxa" w:w="3744"/>
            <w:vAlign w:val="center"/>
            <w:shd w:fill="F5F8FF"/>
          </w:tcPr>
          <w:p>
            <w:r/>
            <w:r>
              <w:rPr>
                <w:rFonts w:ascii="Aptos" w:hAnsi="Aptos"/>
                <w:b w:val="0"/>
                <w:sz w:val="17"/>
              </w:rPr>
              <w:t>Prioritize high-margin growth categories and new product bundles.</w:t>
            </w:r>
          </w:p>
        </w:tc>
      </w:tr>
      <w:tr>
        <w:trPr>
          <w:cantSplit/>
        </w:trPr>
        <w:tc>
          <w:tcPr>
            <w:tcW w:type="dxa" w:w="3312"/>
            <w:vAlign w:val="center"/>
          </w:tcPr>
          <w:p>
            <w:r/>
            <w:r>
              <w:rPr>
                <w:rFonts w:ascii="Aptos" w:hAnsi="Aptos"/>
                <w:b w:val="0"/>
                <w:sz w:val="17"/>
              </w:rPr>
              <w:t>Promotions drive transactions but not incremental value</w:t>
            </w:r>
          </w:p>
        </w:tc>
        <w:tc>
          <w:tcPr>
            <w:tcW w:type="dxa" w:w="3600"/>
            <w:vAlign w:val="center"/>
          </w:tcPr>
          <w:p>
            <w:r/>
            <w:r>
              <w:rPr>
                <w:rFonts w:ascii="Aptos" w:hAnsi="Aptos"/>
                <w:b w:val="0"/>
                <w:sz w:val="17"/>
              </w:rPr>
              <w:t>Measure incremental units and contribution margin versus non-promo baseline.</w:t>
            </w:r>
          </w:p>
        </w:tc>
        <w:tc>
          <w:tcPr>
            <w:tcW w:type="dxa" w:w="3744"/>
            <w:vAlign w:val="center"/>
          </w:tcPr>
          <w:p>
            <w:r/>
            <w:r>
              <w:rPr>
                <w:rFonts w:ascii="Aptos" w:hAnsi="Aptos"/>
                <w:b w:val="0"/>
                <w:sz w:val="17"/>
              </w:rPr>
              <w:t>Replace blanket discounting with targeted offers and eligibility rules.</w:t>
            </w:r>
          </w:p>
        </w:tc>
      </w:tr>
    </w:tbl>
    <w:p>
      <w:pPr>
        <w:spacing w:after="0"/>
      </w:pPr>
    </w:p>
    <w:p>
      <w:r>
        <w:br w:type="page"/>
      </w:r>
    </w:p>
    <w:p>
      <w:pPr>
        <w:pStyle w:val="Heading1"/>
      </w:pPr>
      <w:r>
        <w:t>3. Problem Analysis — Discount and Profit Leakage</w:t>
      </w:r>
    </w:p>
    <w:p>
      <w:pPr>
        <w:jc w:val="center"/>
      </w:pPr>
      <w:r>
        <w:drawing>
          <wp:inline xmlns:a="http://schemas.openxmlformats.org/drawingml/2006/main" xmlns:pic="http://schemas.openxmlformats.org/drawingml/2006/picture">
            <wp:extent cx="6583680" cy="3015940"/>
            <wp:docPr id="2" name="Picture 2"/>
            <wp:cNvGraphicFramePr>
              <a:graphicFrameLocks noChangeAspect="1"/>
            </wp:cNvGraphicFramePr>
            <a:graphic>
              <a:graphicData uri="http://schemas.openxmlformats.org/drawingml/2006/picture">
                <pic:pic>
                  <pic:nvPicPr>
                    <pic:cNvPr id="0" name="discount_risk.png"/>
                    <pic:cNvPicPr/>
                  </pic:nvPicPr>
                  <pic:blipFill>
                    <a:blip r:embed="rId12"/>
                    <a:stretch>
                      <a:fillRect/>
                    </a:stretch>
                  </pic:blipFill>
                  <pic:spPr>
                    <a:xfrm>
                      <a:off x="0" y="0"/>
                      <a:ext cx="6583680" cy="3015940"/>
                    </a:xfrm>
                    <a:prstGeom prst="rect"/>
                  </pic:spPr>
                </pic:pic>
              </a:graphicData>
            </a:graphic>
          </wp:inline>
        </w:drawing>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cantSplit/>
        </w:trPr>
        <w:tc>
          <w:tcPr>
            <w:tcW w:type="dxa" w:w="1440"/>
            <w:vAlign w:val="center"/>
            <w:shd w:fill="2874F0"/>
          </w:tcPr>
          <w:p>
            <w:r/>
            <w:r>
              <w:rPr>
                <w:rFonts w:ascii="Aptos" w:hAnsi="Aptos"/>
                <w:b/>
                <w:color w:val="FFFFFF"/>
                <w:sz w:val="18"/>
              </w:rPr>
              <w:t>Discount</w:t>
            </w:r>
          </w:p>
        </w:tc>
        <w:tc>
          <w:tcPr>
            <w:tcW w:type="dxa" w:w="2160"/>
            <w:vAlign w:val="center"/>
            <w:shd w:fill="2874F0"/>
          </w:tcPr>
          <w:p>
            <w:r/>
            <w:r>
              <w:rPr>
                <w:rFonts w:ascii="Aptos" w:hAnsi="Aptos"/>
                <w:b/>
                <w:color w:val="FFFFFF"/>
                <w:sz w:val="18"/>
              </w:rPr>
              <w:t>Revenue</w:t>
            </w:r>
          </w:p>
        </w:tc>
        <w:tc>
          <w:tcPr>
            <w:tcW w:type="dxa" w:w="2160"/>
            <w:vAlign w:val="center"/>
            <w:shd w:fill="2874F0"/>
          </w:tcPr>
          <w:p>
            <w:r/>
            <w:r>
              <w:rPr>
                <w:rFonts w:ascii="Aptos" w:hAnsi="Aptos"/>
                <w:b/>
                <w:color w:val="FFFFFF"/>
                <w:sz w:val="18"/>
              </w:rPr>
              <w:t>Profit margin</w:t>
            </w:r>
          </w:p>
        </w:tc>
        <w:tc>
          <w:tcPr>
            <w:tcW w:type="dxa" w:w="2160"/>
            <w:vAlign w:val="center"/>
            <w:shd w:fill="2874F0"/>
          </w:tcPr>
          <w:p>
            <w:r/>
            <w:r>
              <w:rPr>
                <w:rFonts w:ascii="Aptos" w:hAnsi="Aptos"/>
                <w:b/>
                <w:color w:val="FFFFFF"/>
                <w:sz w:val="18"/>
              </w:rPr>
              <w:t>Loss-order rate</w:t>
            </w:r>
          </w:p>
        </w:tc>
        <w:tc>
          <w:tcPr>
            <w:tcW w:type="dxa" w:w="1728"/>
            <w:vAlign w:val="center"/>
            <w:shd w:fill="2874F0"/>
          </w:tcPr>
          <w:p>
            <w:r/>
            <w:r>
              <w:rPr>
                <w:rFonts w:ascii="Aptos" w:hAnsi="Aptos"/>
                <w:b/>
                <w:color w:val="FFFFFF"/>
                <w:sz w:val="18"/>
              </w:rPr>
              <w:t>Orders</w:t>
            </w:r>
          </w:p>
        </w:tc>
      </w:tr>
      <w:tr>
        <w:trPr>
          <w:cantSplit/>
        </w:trPr>
        <w:tc>
          <w:tcPr>
            <w:tcW w:type="dxa" w:w="1440"/>
            <w:vAlign w:val="center"/>
          </w:tcPr>
          <w:p>
            <w:r/>
            <w:r>
              <w:rPr>
                <w:rFonts w:ascii="Aptos" w:hAnsi="Aptos"/>
                <w:b w:val="0"/>
                <w:sz w:val="17"/>
              </w:rPr>
              <w:t>0%</w:t>
            </w:r>
          </w:p>
        </w:tc>
        <w:tc>
          <w:tcPr>
            <w:tcW w:type="dxa" w:w="2160"/>
            <w:vAlign w:val="center"/>
          </w:tcPr>
          <w:p>
            <w:r/>
            <w:r>
              <w:rPr>
                <w:rFonts w:ascii="Aptos" w:hAnsi="Aptos"/>
                <w:b w:val="0"/>
                <w:sz w:val="17"/>
              </w:rPr>
              <w:t>$13.10M</w:t>
            </w:r>
          </w:p>
        </w:tc>
        <w:tc>
          <w:tcPr>
            <w:tcW w:type="dxa" w:w="2160"/>
            <w:vAlign w:val="center"/>
          </w:tcPr>
          <w:p>
            <w:r/>
            <w:r>
              <w:rPr>
                <w:rFonts w:ascii="Aptos" w:hAnsi="Aptos"/>
                <w:b w:val="0"/>
                <w:sz w:val="17"/>
              </w:rPr>
              <w:t>26.9%</w:t>
            </w:r>
          </w:p>
        </w:tc>
        <w:tc>
          <w:tcPr>
            <w:tcW w:type="dxa" w:w="2160"/>
            <w:vAlign w:val="center"/>
          </w:tcPr>
          <w:p>
            <w:r/>
            <w:r>
              <w:rPr>
                <w:rFonts w:ascii="Aptos" w:hAnsi="Aptos"/>
                <w:b w:val="0"/>
                <w:sz w:val="17"/>
              </w:rPr>
              <w:t>0.1%</w:t>
            </w:r>
          </w:p>
        </w:tc>
        <w:tc>
          <w:tcPr>
            <w:tcW w:type="dxa" w:w="1728"/>
            <w:vAlign w:val="center"/>
          </w:tcPr>
          <w:p>
            <w:r/>
            <w:r>
              <w:rPr>
                <w:rFonts w:ascii="Aptos" w:hAnsi="Aptos"/>
                <w:b w:val="0"/>
                <w:sz w:val="17"/>
              </w:rPr>
              <w:t>10,521</w:t>
            </w:r>
          </w:p>
        </w:tc>
      </w:tr>
      <w:tr>
        <w:trPr>
          <w:cantSplit/>
        </w:trPr>
        <w:tc>
          <w:tcPr>
            <w:tcW w:type="dxa" w:w="1440"/>
            <w:vAlign w:val="center"/>
            <w:shd w:fill="F5F8FF"/>
          </w:tcPr>
          <w:p>
            <w:r/>
            <w:r>
              <w:rPr>
                <w:rFonts w:ascii="Aptos" w:hAnsi="Aptos"/>
                <w:b w:val="0"/>
                <w:sz w:val="17"/>
              </w:rPr>
              <w:t>5%</w:t>
            </w:r>
          </w:p>
        </w:tc>
        <w:tc>
          <w:tcPr>
            <w:tcW w:type="dxa" w:w="2160"/>
            <w:vAlign w:val="center"/>
            <w:shd w:fill="F5F8FF"/>
          </w:tcPr>
          <w:p>
            <w:r/>
            <w:r>
              <w:rPr>
                <w:rFonts w:ascii="Aptos" w:hAnsi="Aptos"/>
                <w:b w:val="0"/>
                <w:sz w:val="17"/>
              </w:rPr>
              <w:t>$7.45M</w:t>
            </w:r>
          </w:p>
        </w:tc>
        <w:tc>
          <w:tcPr>
            <w:tcW w:type="dxa" w:w="2160"/>
            <w:vAlign w:val="center"/>
            <w:shd w:fill="F5F8FF"/>
          </w:tcPr>
          <w:p>
            <w:r/>
            <w:r>
              <w:rPr>
                <w:rFonts w:ascii="Aptos" w:hAnsi="Aptos"/>
                <w:b w:val="0"/>
                <w:sz w:val="17"/>
              </w:rPr>
              <w:t>23.3%</w:t>
            </w:r>
          </w:p>
        </w:tc>
        <w:tc>
          <w:tcPr>
            <w:tcW w:type="dxa" w:w="2160"/>
            <w:vAlign w:val="center"/>
            <w:shd w:fill="F5F8FF"/>
          </w:tcPr>
          <w:p>
            <w:r/>
            <w:r>
              <w:rPr>
                <w:rFonts w:ascii="Aptos" w:hAnsi="Aptos"/>
                <w:b w:val="0"/>
                <w:sz w:val="17"/>
              </w:rPr>
              <w:t>0.0%</w:t>
            </w:r>
          </w:p>
        </w:tc>
        <w:tc>
          <w:tcPr>
            <w:tcW w:type="dxa" w:w="1728"/>
            <w:vAlign w:val="center"/>
            <w:shd w:fill="F5F8FF"/>
          </w:tcPr>
          <w:p>
            <w:r/>
            <w:r>
              <w:rPr>
                <w:rFonts w:ascii="Aptos" w:hAnsi="Aptos"/>
                <w:b w:val="0"/>
                <w:sz w:val="17"/>
              </w:rPr>
              <w:t>6,222</w:t>
            </w:r>
          </w:p>
        </w:tc>
      </w:tr>
      <w:tr>
        <w:trPr>
          <w:cantSplit/>
        </w:trPr>
        <w:tc>
          <w:tcPr>
            <w:tcW w:type="dxa" w:w="1440"/>
            <w:vAlign w:val="center"/>
          </w:tcPr>
          <w:p>
            <w:r/>
            <w:r>
              <w:rPr>
                <w:rFonts w:ascii="Aptos" w:hAnsi="Aptos"/>
                <w:b w:val="0"/>
                <w:sz w:val="17"/>
              </w:rPr>
              <w:t>10%</w:t>
            </w:r>
          </w:p>
        </w:tc>
        <w:tc>
          <w:tcPr>
            <w:tcW w:type="dxa" w:w="2160"/>
            <w:vAlign w:val="center"/>
          </w:tcPr>
          <w:p>
            <w:r/>
            <w:r>
              <w:rPr>
                <w:rFonts w:ascii="Aptos" w:hAnsi="Aptos"/>
                <w:b w:val="0"/>
                <w:sz w:val="17"/>
              </w:rPr>
              <w:t>$5.55M</w:t>
            </w:r>
          </w:p>
        </w:tc>
        <w:tc>
          <w:tcPr>
            <w:tcW w:type="dxa" w:w="2160"/>
            <w:vAlign w:val="center"/>
          </w:tcPr>
          <w:p>
            <w:r/>
            <w:r>
              <w:rPr>
                <w:rFonts w:ascii="Aptos" w:hAnsi="Aptos"/>
                <w:b w:val="0"/>
                <w:sz w:val="17"/>
              </w:rPr>
              <w:t>19.0%</w:t>
            </w:r>
          </w:p>
        </w:tc>
        <w:tc>
          <w:tcPr>
            <w:tcW w:type="dxa" w:w="2160"/>
            <w:vAlign w:val="center"/>
          </w:tcPr>
          <w:p>
            <w:r/>
            <w:r>
              <w:rPr>
                <w:rFonts w:ascii="Aptos" w:hAnsi="Aptos"/>
                <w:b w:val="0"/>
                <w:sz w:val="17"/>
              </w:rPr>
              <w:t>0.1%</w:t>
            </w:r>
          </w:p>
        </w:tc>
        <w:tc>
          <w:tcPr>
            <w:tcW w:type="dxa" w:w="1728"/>
            <w:vAlign w:val="center"/>
          </w:tcPr>
          <w:p>
            <w:r/>
            <w:r>
              <w:rPr>
                <w:rFonts w:ascii="Aptos" w:hAnsi="Aptos"/>
                <w:b w:val="0"/>
                <w:sz w:val="17"/>
              </w:rPr>
              <w:t>5,005</w:t>
            </w:r>
          </w:p>
        </w:tc>
      </w:tr>
      <w:tr>
        <w:trPr>
          <w:cantSplit/>
        </w:trPr>
        <w:tc>
          <w:tcPr>
            <w:tcW w:type="dxa" w:w="1440"/>
            <w:vAlign w:val="center"/>
            <w:shd w:fill="F5F8FF"/>
          </w:tcPr>
          <w:p>
            <w:r/>
            <w:r>
              <w:rPr>
                <w:rFonts w:ascii="Aptos" w:hAnsi="Aptos"/>
                <w:b w:val="0"/>
                <w:sz w:val="17"/>
              </w:rPr>
              <w:t>15%</w:t>
            </w:r>
          </w:p>
        </w:tc>
        <w:tc>
          <w:tcPr>
            <w:tcW w:type="dxa" w:w="2160"/>
            <w:vAlign w:val="center"/>
            <w:shd w:fill="F5F8FF"/>
          </w:tcPr>
          <w:p>
            <w:r/>
            <w:r>
              <w:rPr>
                <w:rFonts w:ascii="Aptos" w:hAnsi="Aptos"/>
                <w:b w:val="0"/>
                <w:sz w:val="17"/>
              </w:rPr>
              <w:t>$2.61M</w:t>
            </w:r>
          </w:p>
        </w:tc>
        <w:tc>
          <w:tcPr>
            <w:tcW w:type="dxa" w:w="2160"/>
            <w:vAlign w:val="center"/>
            <w:shd w:fill="F5F8FF"/>
          </w:tcPr>
          <w:p>
            <w:r/>
            <w:r>
              <w:rPr>
                <w:rFonts w:ascii="Aptos" w:hAnsi="Aptos"/>
                <w:b w:val="0"/>
                <w:sz w:val="17"/>
              </w:rPr>
              <w:t>14.1%</w:t>
            </w:r>
          </w:p>
        </w:tc>
        <w:tc>
          <w:tcPr>
            <w:tcW w:type="dxa" w:w="2160"/>
            <w:vAlign w:val="center"/>
            <w:shd w:fill="F5F8FF"/>
          </w:tcPr>
          <w:p>
            <w:r/>
            <w:r>
              <w:rPr>
                <w:rFonts w:ascii="Aptos" w:hAnsi="Aptos"/>
                <w:b w:val="0"/>
                <w:sz w:val="17"/>
              </w:rPr>
              <w:t>12.5%</w:t>
            </w:r>
          </w:p>
        </w:tc>
        <w:tc>
          <w:tcPr>
            <w:tcW w:type="dxa" w:w="1728"/>
            <w:vAlign w:val="center"/>
            <w:shd w:fill="F5F8FF"/>
          </w:tcPr>
          <w:p>
            <w:r/>
            <w:r>
              <w:rPr>
                <w:rFonts w:ascii="Aptos" w:hAnsi="Aptos"/>
                <w:b w:val="0"/>
                <w:sz w:val="17"/>
              </w:rPr>
              <w:t>2,475</w:t>
            </w:r>
          </w:p>
        </w:tc>
      </w:tr>
      <w:tr>
        <w:trPr>
          <w:cantSplit/>
        </w:trPr>
        <w:tc>
          <w:tcPr>
            <w:tcW w:type="dxa" w:w="1440"/>
            <w:vAlign w:val="center"/>
          </w:tcPr>
          <w:p>
            <w:r/>
            <w:r>
              <w:rPr>
                <w:rFonts w:ascii="Aptos" w:hAnsi="Aptos"/>
                <w:b w:val="0"/>
                <w:sz w:val="17"/>
              </w:rPr>
              <w:t>20%</w:t>
            </w:r>
          </w:p>
        </w:tc>
        <w:tc>
          <w:tcPr>
            <w:tcW w:type="dxa" w:w="2160"/>
            <w:vAlign w:val="center"/>
          </w:tcPr>
          <w:p>
            <w:r/>
            <w:r>
              <w:rPr>
                <w:rFonts w:ascii="Aptos" w:hAnsi="Aptos"/>
                <w:b w:val="0"/>
                <w:sz w:val="17"/>
              </w:rPr>
              <w:t>$0.79M</w:t>
            </w:r>
          </w:p>
        </w:tc>
        <w:tc>
          <w:tcPr>
            <w:tcW w:type="dxa" w:w="2160"/>
            <w:vAlign w:val="center"/>
          </w:tcPr>
          <w:p>
            <w:r/>
            <w:r>
              <w:rPr>
                <w:rFonts w:ascii="Aptos" w:hAnsi="Aptos"/>
                <w:b w:val="0"/>
                <w:sz w:val="17"/>
              </w:rPr>
              <w:t>9.4%</w:t>
            </w:r>
          </w:p>
        </w:tc>
        <w:tc>
          <w:tcPr>
            <w:tcW w:type="dxa" w:w="2160"/>
            <w:vAlign w:val="center"/>
          </w:tcPr>
          <w:p>
            <w:r/>
            <w:r>
              <w:rPr>
                <w:rFonts w:ascii="Aptos" w:hAnsi="Aptos"/>
                <w:b w:val="0"/>
                <w:sz w:val="17"/>
              </w:rPr>
              <w:t>33.6%</w:t>
            </w:r>
          </w:p>
        </w:tc>
        <w:tc>
          <w:tcPr>
            <w:tcW w:type="dxa" w:w="1728"/>
            <w:vAlign w:val="center"/>
          </w:tcPr>
          <w:p>
            <w:r/>
            <w:r>
              <w:rPr>
                <w:rFonts w:ascii="Aptos" w:hAnsi="Aptos"/>
                <w:b w:val="0"/>
                <w:sz w:val="17"/>
              </w:rPr>
              <w:t>777</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EAF2FF"/>
          </w:tcPr>
          <w:p>
            <w:pPr>
              <w:pStyle w:val="Callout"/>
            </w:pPr>
            <w:r>
              <w:rPr>
                <w:b/>
                <w:color w:val="2874F0"/>
              </w:rPr>
              <w:t xml:space="preserve">Observed risk: </w:t>
            </w:r>
            <w:r>
              <w:t>Margin falls from 26.9% with no discount to 9.4% at a 20% discount. The loss-making order rate rises sharply to 12.5% at 15% discount and 33.6% at 20%.</w:t>
            </w:r>
          </w:p>
        </w:tc>
      </w:tr>
    </w:tbl>
    <w:p>
      <w:pPr>
        <w:spacing w:after="0"/>
      </w:pPr>
    </w:p>
    <w:p>
      <w:pPr>
        <w:pStyle w:val="Heading2"/>
      </w:pPr>
      <w:r>
        <w:t>Hypothetical commercial explanation</w:t>
      </w:r>
    </w:p>
    <w:p>
      <w:pPr>
        <w:pStyle w:val="ListBullet"/>
        <w:spacing w:after="60"/>
      </w:pPr>
      <w:r>
        <w:rPr>
          <w:b/>
        </w:rPr>
        <w:t xml:space="preserve">Promotion depth may be too broad. </w:t>
      </w:r>
      <w:r>
        <w:t>Discounts could be applied without considering product-specific margin headroom.</w:t>
      </w:r>
    </w:p>
    <w:p>
      <w:pPr>
        <w:pStyle w:val="ListBullet"/>
        <w:spacing w:after="60"/>
      </w:pPr>
      <w:r>
        <w:rPr>
          <w:b/>
        </w:rPr>
        <w:t xml:space="preserve">Revenue may be prioritized over contribution profit. </w:t>
      </w:r>
      <w:r>
        <w:t>Teams may be optimizing for GMV / sales rather than unit economics.</w:t>
      </w:r>
    </w:p>
    <w:p>
      <w:pPr>
        <w:pStyle w:val="ListBullet"/>
        <w:spacing w:after="60"/>
      </w:pPr>
      <w:r>
        <w:rPr>
          <w:b/>
        </w:rPr>
        <w:t xml:space="preserve">Discount eligibility may not be differentiated. </w:t>
      </w:r>
      <w:r>
        <w:t>High-margin and low-margin products may be receiving similar promotional treatment.</w:t>
      </w:r>
    </w:p>
    <w:p>
      <w:pPr>
        <w:pStyle w:val="ListBullet"/>
        <w:spacing w:after="60"/>
      </w:pPr>
      <w:r>
        <w:rPr>
          <w:b/>
        </w:rPr>
        <w:t xml:space="preserve">Volume response may not justify margin loss. </w:t>
      </w:r>
      <w:r>
        <w:t>The current dataset does not prove that 15–20% discounts create enough incremental demand to offset lower margins.</w:t>
      </w:r>
    </w:p>
    <w:p>
      <w:pPr>
        <w:pStyle w:val="Heading2"/>
      </w:pPr>
      <w:r>
        <w:t>Recommended business decision</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160"/>
            <w:vAlign w:val="center"/>
            <w:shd w:fill="2874F0"/>
          </w:tcPr>
          <w:p>
            <w:r/>
            <w:r>
              <w:rPr>
                <w:rFonts w:ascii="Aptos" w:hAnsi="Aptos"/>
                <w:b/>
                <w:color w:val="FFFFFF"/>
                <w:sz w:val="18"/>
              </w:rPr>
              <w:t>Action</w:t>
            </w:r>
          </w:p>
        </w:tc>
        <w:tc>
          <w:tcPr>
            <w:tcW w:type="dxa" w:w="4032"/>
            <w:vAlign w:val="center"/>
            <w:shd w:fill="2874F0"/>
          </w:tcPr>
          <w:p>
            <w:r/>
            <w:r>
              <w:rPr>
                <w:rFonts w:ascii="Aptos" w:hAnsi="Aptos"/>
                <w:b/>
                <w:color w:val="FFFFFF"/>
                <w:sz w:val="18"/>
              </w:rPr>
              <w:t>Rule / design</w:t>
            </w:r>
          </w:p>
        </w:tc>
        <w:tc>
          <w:tcPr>
            <w:tcW w:type="dxa" w:w="2880"/>
            <w:vAlign w:val="center"/>
            <w:shd w:fill="2874F0"/>
          </w:tcPr>
          <w:p>
            <w:r/>
            <w:r>
              <w:rPr>
                <w:rFonts w:ascii="Aptos" w:hAnsi="Aptos"/>
                <w:b/>
                <w:color w:val="FFFFFF"/>
                <w:sz w:val="18"/>
              </w:rPr>
              <w:t>Expected benefit</w:t>
            </w:r>
          </w:p>
        </w:tc>
        <w:tc>
          <w:tcPr>
            <w:tcW w:type="dxa" w:w="2880"/>
            <w:vAlign w:val="center"/>
            <w:shd w:fill="2874F0"/>
          </w:tcPr>
          <w:p>
            <w:r/>
            <w:r>
              <w:rPr>
                <w:rFonts w:ascii="Aptos" w:hAnsi="Aptos"/>
                <w:b/>
                <w:color w:val="FFFFFF"/>
                <w:sz w:val="18"/>
              </w:rPr>
              <w:t>Decision caution</w:t>
            </w:r>
          </w:p>
        </w:tc>
      </w:tr>
      <w:tr>
        <w:trPr>
          <w:cantSplit/>
        </w:trPr>
        <w:tc>
          <w:tcPr>
            <w:tcW w:type="dxa" w:w="2160"/>
            <w:vAlign w:val="center"/>
          </w:tcPr>
          <w:p>
            <w:r/>
            <w:r>
              <w:rPr>
                <w:rFonts w:ascii="Aptos" w:hAnsi="Aptos"/>
                <w:b w:val="0"/>
                <w:sz w:val="17"/>
              </w:rPr>
              <w:t>Introduce discount tiers</w:t>
            </w:r>
          </w:p>
        </w:tc>
        <w:tc>
          <w:tcPr>
            <w:tcW w:type="dxa" w:w="4032"/>
            <w:vAlign w:val="center"/>
          </w:tcPr>
          <w:p>
            <w:r/>
            <w:r>
              <w:rPr>
                <w:rFonts w:ascii="Aptos" w:hAnsi="Aptos"/>
                <w:b w:val="0"/>
                <w:sz w:val="17"/>
              </w:rPr>
              <w:t>0–10% = standard; &gt;10% requires margin validation; &gt;15% requires approval or campaign rationale.</w:t>
            </w:r>
          </w:p>
        </w:tc>
        <w:tc>
          <w:tcPr>
            <w:tcW w:type="dxa" w:w="2880"/>
            <w:vAlign w:val="center"/>
          </w:tcPr>
          <w:p>
            <w:r/>
            <w:r>
              <w:rPr>
                <w:rFonts w:ascii="Aptos" w:hAnsi="Aptos"/>
                <w:b w:val="0"/>
                <w:sz w:val="17"/>
              </w:rPr>
              <w:t>Protect contribution margin and reduce loss-making orders.</w:t>
            </w:r>
          </w:p>
        </w:tc>
        <w:tc>
          <w:tcPr>
            <w:tcW w:type="dxa" w:w="2880"/>
            <w:vAlign w:val="center"/>
          </w:tcPr>
          <w:p>
            <w:r/>
            <w:r>
              <w:rPr>
                <w:rFonts w:ascii="Aptos" w:hAnsi="Aptos"/>
                <w:b w:val="0"/>
                <w:sz w:val="17"/>
              </w:rPr>
              <w:t>Do not assume demand is unchanged; run controlled tests.</w:t>
            </w:r>
          </w:p>
        </w:tc>
      </w:tr>
      <w:tr>
        <w:trPr>
          <w:cantSplit/>
        </w:trPr>
        <w:tc>
          <w:tcPr>
            <w:tcW w:type="dxa" w:w="2160"/>
            <w:vAlign w:val="center"/>
            <w:shd w:fill="F5F8FF"/>
          </w:tcPr>
          <w:p>
            <w:r/>
            <w:r>
              <w:rPr>
                <w:rFonts w:ascii="Aptos" w:hAnsi="Aptos"/>
                <w:b w:val="0"/>
                <w:sz w:val="17"/>
              </w:rPr>
              <w:t>Set SKU margin floor</w:t>
            </w:r>
          </w:p>
        </w:tc>
        <w:tc>
          <w:tcPr>
            <w:tcW w:type="dxa" w:w="4032"/>
            <w:vAlign w:val="center"/>
            <w:shd w:fill="F5F8FF"/>
          </w:tcPr>
          <w:p>
            <w:r/>
            <w:r>
              <w:rPr>
                <w:rFonts w:ascii="Aptos" w:hAnsi="Aptos"/>
                <w:b w:val="0"/>
                <w:sz w:val="17"/>
              </w:rPr>
              <w:t>Block promotions that push expected contribution margin below a defined threshold.</w:t>
            </w:r>
          </w:p>
        </w:tc>
        <w:tc>
          <w:tcPr>
            <w:tcW w:type="dxa" w:w="2880"/>
            <w:vAlign w:val="center"/>
            <w:shd w:fill="F5F8FF"/>
          </w:tcPr>
          <w:p>
            <w:r/>
            <w:r>
              <w:rPr>
                <w:rFonts w:ascii="Aptos" w:hAnsi="Aptos"/>
                <w:b w:val="0"/>
                <w:sz w:val="17"/>
              </w:rPr>
              <w:t>Prevents structurally unprofitable offers.</w:t>
            </w:r>
          </w:p>
        </w:tc>
        <w:tc>
          <w:tcPr>
            <w:tcW w:type="dxa" w:w="2880"/>
            <w:vAlign w:val="center"/>
            <w:shd w:fill="F5F8FF"/>
          </w:tcPr>
          <w:p>
            <w:r/>
            <w:r>
              <w:rPr>
                <w:rFonts w:ascii="Aptos" w:hAnsi="Aptos"/>
                <w:b w:val="0"/>
                <w:sz w:val="17"/>
              </w:rPr>
              <w:t>Threshold should vary by category and strategic intent.</w:t>
            </w:r>
          </w:p>
        </w:tc>
      </w:tr>
      <w:tr>
        <w:trPr>
          <w:cantSplit/>
        </w:trPr>
        <w:tc>
          <w:tcPr>
            <w:tcW w:type="dxa" w:w="2160"/>
            <w:vAlign w:val="center"/>
          </w:tcPr>
          <w:p>
            <w:r/>
            <w:r>
              <w:rPr>
                <w:rFonts w:ascii="Aptos" w:hAnsi="Aptos"/>
                <w:b w:val="0"/>
                <w:sz w:val="17"/>
              </w:rPr>
              <w:t>Promotion scorecard</w:t>
            </w:r>
          </w:p>
        </w:tc>
        <w:tc>
          <w:tcPr>
            <w:tcW w:type="dxa" w:w="4032"/>
            <w:vAlign w:val="center"/>
          </w:tcPr>
          <w:p>
            <w:r/>
            <w:r>
              <w:rPr>
                <w:rFonts w:ascii="Aptos" w:hAnsi="Aptos"/>
                <w:b w:val="0"/>
                <w:sz w:val="17"/>
              </w:rPr>
              <w:t>Track incremental units, revenue, profit, margin, and post-promo behavior.</w:t>
            </w:r>
          </w:p>
        </w:tc>
        <w:tc>
          <w:tcPr>
            <w:tcW w:type="dxa" w:w="2880"/>
            <w:vAlign w:val="center"/>
          </w:tcPr>
          <w:p>
            <w:r/>
            <w:r>
              <w:rPr>
                <w:rFonts w:ascii="Aptos" w:hAnsi="Aptos"/>
                <w:b w:val="0"/>
                <w:sz w:val="17"/>
              </w:rPr>
              <w:t>Moves promotion decisions from sales-led to profit-led.</w:t>
            </w:r>
          </w:p>
        </w:tc>
        <w:tc>
          <w:tcPr>
            <w:tcW w:type="dxa" w:w="2880"/>
            <w:vAlign w:val="center"/>
          </w:tcPr>
          <w:p>
            <w:r/>
            <w:r>
              <w:rPr>
                <w:rFonts w:ascii="Aptos" w:hAnsi="Aptos"/>
                <w:b w:val="0"/>
                <w:sz w:val="17"/>
              </w:rPr>
              <w:t>Requires a comparable baseline / control group.</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FF7DF"/>
          </w:tcPr>
          <w:p>
            <w:pPr>
              <w:pStyle w:val="Callout"/>
            </w:pPr>
            <w:r>
              <w:rPr>
                <w:b/>
                <w:color w:val="2874F0"/>
              </w:rPr>
              <w:t xml:space="preserve">Illustrative scenario — not a forecast: </w:t>
            </w:r>
            <w:r>
              <w:t>If positive-quantity orders currently discounted above 10% had instead been sold at a 10% discount, with unit volume unchanged, full-period profit would be approximately $251,056 higher (+3.7% versus observed profit). This is a sensitivity scenario only; real volume may respond to price.</w:t>
            </w:r>
          </w:p>
        </w:tc>
      </w:tr>
    </w:tbl>
    <w:p>
      <w:pPr>
        <w:spacing w:after="0"/>
      </w:pPr>
    </w:p>
    <w:p>
      <w:r>
        <w:br w:type="page"/>
      </w:r>
    </w:p>
    <w:p>
      <w:pPr>
        <w:pStyle w:val="Heading1"/>
      </w:pPr>
      <w:r>
        <w:t>4. Problem Analysis — Product and Category Profitability</w:t>
      </w:r>
    </w:p>
    <w:p>
      <w:pPr>
        <w:jc w:val="center"/>
      </w:pPr>
      <w:r>
        <w:drawing>
          <wp:inline xmlns:a="http://schemas.openxmlformats.org/drawingml/2006/main" xmlns:pic="http://schemas.openxmlformats.org/drawingml/2006/picture">
            <wp:extent cx="6583680" cy="2996392"/>
            <wp:docPr id="3" name="Picture 3"/>
            <wp:cNvGraphicFramePr>
              <a:graphicFrameLocks noChangeAspect="1"/>
            </wp:cNvGraphicFramePr>
            <a:graphic>
              <a:graphicData uri="http://schemas.openxmlformats.org/drawingml/2006/picture">
                <pic:pic>
                  <pic:nvPicPr>
                    <pic:cNvPr id="0" name="category_economics.png"/>
                    <pic:cNvPicPr/>
                  </pic:nvPicPr>
                  <pic:blipFill>
                    <a:blip r:embed="rId13"/>
                    <a:stretch>
                      <a:fillRect/>
                    </a:stretch>
                  </pic:blipFill>
                  <pic:spPr>
                    <a:xfrm>
                      <a:off x="0" y="0"/>
                      <a:ext cx="6583680" cy="2996392"/>
                    </a:xfrm>
                    <a:prstGeom prst="rect"/>
                  </pic:spPr>
                </pic:pic>
              </a:graphicData>
            </a:graphic>
          </wp:inline>
        </w:drawing>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cantSplit/>
        </w:trPr>
        <w:tc>
          <w:tcPr>
            <w:tcW w:type="dxa" w:w="2448"/>
            <w:vAlign w:val="center"/>
            <w:shd w:fill="2874F0"/>
          </w:tcPr>
          <w:p>
            <w:r/>
            <w:r>
              <w:rPr>
                <w:rFonts w:ascii="Aptos" w:hAnsi="Aptos"/>
                <w:b/>
                <w:color w:val="FFFFFF"/>
                <w:sz w:val="18"/>
              </w:rPr>
              <w:t>Category</w:t>
            </w:r>
          </w:p>
        </w:tc>
        <w:tc>
          <w:tcPr>
            <w:tcW w:type="dxa" w:w="1872"/>
            <w:vAlign w:val="center"/>
            <w:shd w:fill="2874F0"/>
          </w:tcPr>
          <w:p>
            <w:r/>
            <w:r>
              <w:rPr>
                <w:rFonts w:ascii="Aptos" w:hAnsi="Aptos"/>
                <w:b/>
                <w:color w:val="FFFFFF"/>
                <w:sz w:val="18"/>
              </w:rPr>
              <w:t>Revenue</w:t>
            </w:r>
          </w:p>
        </w:tc>
        <w:tc>
          <w:tcPr>
            <w:tcW w:type="dxa" w:w="1872"/>
            <w:vAlign w:val="center"/>
            <w:shd w:fill="2874F0"/>
          </w:tcPr>
          <w:p>
            <w:r/>
            <w:r>
              <w:rPr>
                <w:rFonts w:ascii="Aptos" w:hAnsi="Aptos"/>
                <w:b/>
                <w:color w:val="FFFFFF"/>
                <w:sz w:val="18"/>
              </w:rPr>
              <w:t>Revenue share</w:t>
            </w:r>
          </w:p>
        </w:tc>
        <w:tc>
          <w:tcPr>
            <w:tcW w:type="dxa" w:w="1872"/>
            <w:vAlign w:val="center"/>
            <w:shd w:fill="2874F0"/>
          </w:tcPr>
          <w:p>
            <w:r/>
            <w:r>
              <w:rPr>
                <w:rFonts w:ascii="Aptos" w:hAnsi="Aptos"/>
                <w:b/>
                <w:color w:val="FFFFFF"/>
                <w:sz w:val="18"/>
              </w:rPr>
              <w:t>Profit</w:t>
            </w:r>
          </w:p>
        </w:tc>
        <w:tc>
          <w:tcPr>
            <w:tcW w:type="dxa" w:w="1728"/>
            <w:vAlign w:val="center"/>
            <w:shd w:fill="2874F0"/>
          </w:tcPr>
          <w:p>
            <w:r/>
            <w:r>
              <w:rPr>
                <w:rFonts w:ascii="Aptos" w:hAnsi="Aptos"/>
                <w:b/>
                <w:color w:val="FFFFFF"/>
                <w:sz w:val="18"/>
              </w:rPr>
              <w:t>Margin</w:t>
            </w:r>
          </w:p>
        </w:tc>
      </w:tr>
      <w:tr>
        <w:trPr>
          <w:cantSplit/>
        </w:trPr>
        <w:tc>
          <w:tcPr>
            <w:tcW w:type="dxa" w:w="2448"/>
            <w:vAlign w:val="center"/>
          </w:tcPr>
          <w:p>
            <w:r/>
            <w:r>
              <w:rPr>
                <w:rFonts w:ascii="Aptos" w:hAnsi="Aptos"/>
                <w:b w:val="0"/>
                <w:sz w:val="17"/>
              </w:rPr>
              <w:t>Home &amp; Kitchen</w:t>
            </w:r>
          </w:p>
        </w:tc>
        <w:tc>
          <w:tcPr>
            <w:tcW w:type="dxa" w:w="1872"/>
            <w:vAlign w:val="center"/>
          </w:tcPr>
          <w:p>
            <w:r/>
            <w:r>
              <w:rPr>
                <w:rFonts w:ascii="Aptos" w:hAnsi="Aptos"/>
                <w:b w:val="0"/>
                <w:sz w:val="17"/>
              </w:rPr>
              <w:t>$6.76M</w:t>
            </w:r>
          </w:p>
        </w:tc>
        <w:tc>
          <w:tcPr>
            <w:tcW w:type="dxa" w:w="1872"/>
            <w:vAlign w:val="center"/>
          </w:tcPr>
          <w:p>
            <w:r/>
            <w:r>
              <w:rPr>
                <w:rFonts w:ascii="Aptos" w:hAnsi="Aptos"/>
                <w:b w:val="0"/>
                <w:sz w:val="17"/>
              </w:rPr>
              <w:t>22.9%</w:t>
            </w:r>
          </w:p>
        </w:tc>
        <w:tc>
          <w:tcPr>
            <w:tcW w:type="dxa" w:w="1872"/>
            <w:vAlign w:val="center"/>
          </w:tcPr>
          <w:p>
            <w:r/>
            <w:r>
              <w:rPr>
                <w:rFonts w:ascii="Aptos" w:hAnsi="Aptos"/>
                <w:b w:val="0"/>
                <w:sz w:val="17"/>
              </w:rPr>
              <w:t>$1.60M</w:t>
            </w:r>
          </w:p>
        </w:tc>
        <w:tc>
          <w:tcPr>
            <w:tcW w:type="dxa" w:w="1728"/>
            <w:vAlign w:val="center"/>
          </w:tcPr>
          <w:p>
            <w:r/>
            <w:r>
              <w:rPr>
                <w:rFonts w:ascii="Aptos" w:hAnsi="Aptos"/>
                <w:b w:val="0"/>
                <w:sz w:val="17"/>
              </w:rPr>
              <w:t>23.6%</w:t>
            </w:r>
          </w:p>
        </w:tc>
      </w:tr>
      <w:tr>
        <w:trPr>
          <w:cantSplit/>
        </w:trPr>
        <w:tc>
          <w:tcPr>
            <w:tcW w:type="dxa" w:w="2448"/>
            <w:vAlign w:val="center"/>
            <w:shd w:fill="F5F8FF"/>
          </w:tcPr>
          <w:p>
            <w:r/>
            <w:r>
              <w:rPr>
                <w:rFonts w:ascii="Aptos" w:hAnsi="Aptos"/>
                <w:b w:val="0"/>
                <w:sz w:val="17"/>
              </w:rPr>
              <w:t>Clothing</w:t>
            </w:r>
          </w:p>
        </w:tc>
        <w:tc>
          <w:tcPr>
            <w:tcW w:type="dxa" w:w="1872"/>
            <w:vAlign w:val="center"/>
            <w:shd w:fill="F5F8FF"/>
          </w:tcPr>
          <w:p>
            <w:r/>
            <w:r>
              <w:rPr>
                <w:rFonts w:ascii="Aptos" w:hAnsi="Aptos"/>
                <w:b w:val="0"/>
                <w:sz w:val="17"/>
              </w:rPr>
              <w:t>$6.54M</w:t>
            </w:r>
          </w:p>
        </w:tc>
        <w:tc>
          <w:tcPr>
            <w:tcW w:type="dxa" w:w="1872"/>
            <w:vAlign w:val="center"/>
            <w:shd w:fill="F5F8FF"/>
          </w:tcPr>
          <w:p>
            <w:r/>
            <w:r>
              <w:rPr>
                <w:rFonts w:ascii="Aptos" w:hAnsi="Aptos"/>
                <w:b w:val="0"/>
                <w:sz w:val="17"/>
              </w:rPr>
              <w:t>22.2%</w:t>
            </w:r>
          </w:p>
        </w:tc>
        <w:tc>
          <w:tcPr>
            <w:tcW w:type="dxa" w:w="1872"/>
            <w:vAlign w:val="center"/>
            <w:shd w:fill="F5F8FF"/>
          </w:tcPr>
          <w:p>
            <w:r/>
            <w:r>
              <w:rPr>
                <w:rFonts w:ascii="Aptos" w:hAnsi="Aptos"/>
                <w:b w:val="0"/>
                <w:sz w:val="17"/>
              </w:rPr>
              <w:t>$1.53M</w:t>
            </w:r>
          </w:p>
        </w:tc>
        <w:tc>
          <w:tcPr>
            <w:tcW w:type="dxa" w:w="1728"/>
            <w:vAlign w:val="center"/>
            <w:shd w:fill="F5F8FF"/>
          </w:tcPr>
          <w:p>
            <w:r/>
            <w:r>
              <w:rPr>
                <w:rFonts w:ascii="Aptos" w:hAnsi="Aptos"/>
                <w:b w:val="0"/>
                <w:sz w:val="17"/>
              </w:rPr>
              <w:t>23.4%</w:t>
            </w:r>
          </w:p>
        </w:tc>
      </w:tr>
      <w:tr>
        <w:trPr>
          <w:cantSplit/>
        </w:trPr>
        <w:tc>
          <w:tcPr>
            <w:tcW w:type="dxa" w:w="2448"/>
            <w:vAlign w:val="center"/>
          </w:tcPr>
          <w:p>
            <w:r/>
            <w:r>
              <w:rPr>
                <w:rFonts w:ascii="Aptos" w:hAnsi="Aptos"/>
                <w:b w:val="0"/>
                <w:sz w:val="17"/>
              </w:rPr>
              <w:t>Office Supplies</w:t>
            </w:r>
          </w:p>
        </w:tc>
        <w:tc>
          <w:tcPr>
            <w:tcW w:type="dxa" w:w="1872"/>
            <w:vAlign w:val="center"/>
          </w:tcPr>
          <w:p>
            <w:r/>
            <w:r>
              <w:rPr>
                <w:rFonts w:ascii="Aptos" w:hAnsi="Aptos"/>
                <w:b w:val="0"/>
                <w:sz w:val="17"/>
              </w:rPr>
              <w:t>$6.04M</w:t>
            </w:r>
          </w:p>
        </w:tc>
        <w:tc>
          <w:tcPr>
            <w:tcW w:type="dxa" w:w="1872"/>
            <w:vAlign w:val="center"/>
          </w:tcPr>
          <w:p>
            <w:r/>
            <w:r>
              <w:rPr>
                <w:rFonts w:ascii="Aptos" w:hAnsi="Aptos"/>
                <w:b w:val="0"/>
                <w:sz w:val="17"/>
              </w:rPr>
              <w:t>20.5%</w:t>
            </w:r>
          </w:p>
        </w:tc>
        <w:tc>
          <w:tcPr>
            <w:tcW w:type="dxa" w:w="1872"/>
            <w:vAlign w:val="center"/>
          </w:tcPr>
          <w:p>
            <w:r/>
            <w:r>
              <w:rPr>
                <w:rFonts w:ascii="Aptos" w:hAnsi="Aptos"/>
                <w:b w:val="0"/>
                <w:sz w:val="17"/>
              </w:rPr>
              <w:t>$1.28M</w:t>
            </w:r>
          </w:p>
        </w:tc>
        <w:tc>
          <w:tcPr>
            <w:tcW w:type="dxa" w:w="1728"/>
            <w:vAlign w:val="center"/>
          </w:tcPr>
          <w:p>
            <w:r/>
            <w:r>
              <w:rPr>
                <w:rFonts w:ascii="Aptos" w:hAnsi="Aptos"/>
                <w:b w:val="0"/>
                <w:sz w:val="17"/>
              </w:rPr>
              <w:t>21.1%</w:t>
            </w:r>
          </w:p>
        </w:tc>
      </w:tr>
      <w:tr>
        <w:trPr>
          <w:cantSplit/>
        </w:trPr>
        <w:tc>
          <w:tcPr>
            <w:tcW w:type="dxa" w:w="2448"/>
            <w:vAlign w:val="center"/>
            <w:shd w:fill="F5F8FF"/>
          </w:tcPr>
          <w:p>
            <w:r/>
            <w:r>
              <w:rPr>
                <w:rFonts w:ascii="Aptos" w:hAnsi="Aptos"/>
                <w:b w:val="0"/>
                <w:sz w:val="17"/>
              </w:rPr>
              <w:t>Furniture</w:t>
            </w:r>
          </w:p>
        </w:tc>
        <w:tc>
          <w:tcPr>
            <w:tcW w:type="dxa" w:w="1872"/>
            <w:vAlign w:val="center"/>
            <w:shd w:fill="F5F8FF"/>
          </w:tcPr>
          <w:p>
            <w:r/>
            <w:r>
              <w:rPr>
                <w:rFonts w:ascii="Aptos" w:hAnsi="Aptos"/>
                <w:b w:val="0"/>
                <w:sz w:val="17"/>
              </w:rPr>
              <w:t>$5.83M</w:t>
            </w:r>
          </w:p>
        </w:tc>
        <w:tc>
          <w:tcPr>
            <w:tcW w:type="dxa" w:w="1872"/>
            <w:vAlign w:val="center"/>
            <w:shd w:fill="F5F8FF"/>
          </w:tcPr>
          <w:p>
            <w:r/>
            <w:r>
              <w:rPr>
                <w:rFonts w:ascii="Aptos" w:hAnsi="Aptos"/>
                <w:b w:val="0"/>
                <w:sz w:val="17"/>
              </w:rPr>
              <w:t>19.8%</w:t>
            </w:r>
          </w:p>
        </w:tc>
        <w:tc>
          <w:tcPr>
            <w:tcW w:type="dxa" w:w="1872"/>
            <w:vAlign w:val="center"/>
            <w:shd w:fill="F5F8FF"/>
          </w:tcPr>
          <w:p>
            <w:r/>
            <w:r>
              <w:rPr>
                <w:rFonts w:ascii="Aptos" w:hAnsi="Aptos"/>
                <w:b w:val="0"/>
                <w:sz w:val="17"/>
              </w:rPr>
              <w:t>$1.49M</w:t>
            </w:r>
          </w:p>
        </w:tc>
        <w:tc>
          <w:tcPr>
            <w:tcW w:type="dxa" w:w="1728"/>
            <w:vAlign w:val="center"/>
            <w:shd w:fill="F5F8FF"/>
          </w:tcPr>
          <w:p>
            <w:r/>
            <w:r>
              <w:rPr>
                <w:rFonts w:ascii="Aptos" w:hAnsi="Aptos"/>
                <w:b w:val="0"/>
                <w:sz w:val="17"/>
              </w:rPr>
              <w:t>25.6%</w:t>
            </w:r>
          </w:p>
        </w:tc>
      </w:tr>
      <w:tr>
        <w:trPr>
          <w:cantSplit/>
        </w:trPr>
        <w:tc>
          <w:tcPr>
            <w:tcW w:type="dxa" w:w="2448"/>
            <w:vAlign w:val="center"/>
          </w:tcPr>
          <w:p>
            <w:r/>
            <w:r>
              <w:rPr>
                <w:rFonts w:ascii="Aptos" w:hAnsi="Aptos"/>
                <w:b w:val="0"/>
                <w:sz w:val="17"/>
              </w:rPr>
              <w:t>Electronics</w:t>
            </w:r>
          </w:p>
        </w:tc>
        <w:tc>
          <w:tcPr>
            <w:tcW w:type="dxa" w:w="1872"/>
            <w:vAlign w:val="center"/>
          </w:tcPr>
          <w:p>
            <w:r/>
            <w:r>
              <w:rPr>
                <w:rFonts w:ascii="Aptos" w:hAnsi="Aptos"/>
                <w:b w:val="0"/>
                <w:sz w:val="17"/>
              </w:rPr>
              <w:t>$4.29M</w:t>
            </w:r>
          </w:p>
        </w:tc>
        <w:tc>
          <w:tcPr>
            <w:tcW w:type="dxa" w:w="1872"/>
            <w:vAlign w:val="center"/>
          </w:tcPr>
          <w:p>
            <w:r/>
            <w:r>
              <w:rPr>
                <w:rFonts w:ascii="Aptos" w:hAnsi="Aptos"/>
                <w:b w:val="0"/>
                <w:sz w:val="17"/>
              </w:rPr>
              <w:t>14.6%</w:t>
            </w:r>
          </w:p>
        </w:tc>
        <w:tc>
          <w:tcPr>
            <w:tcW w:type="dxa" w:w="1872"/>
            <w:vAlign w:val="center"/>
          </w:tcPr>
          <w:p>
            <w:r/>
            <w:r>
              <w:rPr>
                <w:rFonts w:ascii="Aptos" w:hAnsi="Aptos"/>
                <w:b w:val="0"/>
                <w:sz w:val="17"/>
              </w:rPr>
              <w:t>$0.86M</w:t>
            </w:r>
          </w:p>
        </w:tc>
        <w:tc>
          <w:tcPr>
            <w:tcW w:type="dxa" w:w="1728"/>
            <w:vAlign w:val="center"/>
          </w:tcPr>
          <w:p>
            <w:r/>
            <w:r>
              <w:rPr>
                <w:rFonts w:ascii="Aptos" w:hAnsi="Aptos"/>
                <w:b w:val="0"/>
                <w:sz w:val="17"/>
              </w:rPr>
              <w:t>20.0%</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EAF2FF"/>
          </w:tcPr>
          <w:p>
            <w:pPr>
              <w:pStyle w:val="Callout"/>
            </w:pPr>
            <w:r>
              <w:rPr>
                <w:b/>
                <w:color w:val="2874F0"/>
              </w:rPr>
              <w:t xml:space="preserve">Observed opportunity: </w:t>
            </w:r>
            <w:r>
              <w:t>Home &amp; Kitchen is the largest revenue category. Furniture has the strongest category margin (25.6%). Electronics has the weakest margin (20.0%), while Office Supplies also trails the portfolio average at 21.1%.</w:t>
            </w:r>
          </w:p>
        </w:tc>
      </w:tr>
    </w:tbl>
    <w:p>
      <w:pPr>
        <w:spacing w:after="0"/>
      </w:pPr>
    </w:p>
    <w:p>
      <w:pPr>
        <w:pStyle w:val="Heading2"/>
      </w:pPr>
      <w:r>
        <w:t>High-revenue products with weak margins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cantSplit/>
        </w:trPr>
        <w:tc>
          <w:tcPr>
            <w:tcW w:type="dxa" w:w="3024"/>
            <w:vAlign w:val="center"/>
            <w:shd w:fill="2874F0"/>
          </w:tcPr>
          <w:p>
            <w:r/>
            <w:r>
              <w:rPr>
                <w:rFonts w:ascii="Aptos" w:hAnsi="Aptos"/>
                <w:b/>
                <w:color w:val="FFFFFF"/>
                <w:sz w:val="18"/>
              </w:rPr>
              <w:t>Product</w:t>
            </w:r>
          </w:p>
        </w:tc>
        <w:tc>
          <w:tcPr>
            <w:tcW w:type="dxa" w:w="2160"/>
            <w:vAlign w:val="center"/>
            <w:shd w:fill="2874F0"/>
          </w:tcPr>
          <w:p>
            <w:r/>
            <w:r>
              <w:rPr>
                <w:rFonts w:ascii="Aptos" w:hAnsi="Aptos"/>
                <w:b/>
                <w:color w:val="FFFFFF"/>
                <w:sz w:val="18"/>
              </w:rPr>
              <w:t>Category</w:t>
            </w:r>
          </w:p>
        </w:tc>
        <w:tc>
          <w:tcPr>
            <w:tcW w:type="dxa" w:w="1872"/>
            <w:vAlign w:val="center"/>
            <w:shd w:fill="2874F0"/>
          </w:tcPr>
          <w:p>
            <w:r/>
            <w:r>
              <w:rPr>
                <w:rFonts w:ascii="Aptos" w:hAnsi="Aptos"/>
                <w:b/>
                <w:color w:val="FFFFFF"/>
                <w:sz w:val="18"/>
              </w:rPr>
              <w:t>Revenue</w:t>
            </w:r>
          </w:p>
        </w:tc>
        <w:tc>
          <w:tcPr>
            <w:tcW w:type="dxa" w:w="1440"/>
            <w:vAlign w:val="center"/>
            <w:shd w:fill="2874F0"/>
          </w:tcPr>
          <w:p>
            <w:r/>
            <w:r>
              <w:rPr>
                <w:rFonts w:ascii="Aptos" w:hAnsi="Aptos"/>
                <w:b/>
                <w:color w:val="FFFFFF"/>
                <w:sz w:val="18"/>
              </w:rPr>
              <w:t>Margin</w:t>
            </w:r>
          </w:p>
        </w:tc>
        <w:tc>
          <w:tcPr>
            <w:tcW w:type="dxa" w:w="2304"/>
            <w:vAlign w:val="center"/>
            <w:shd w:fill="2874F0"/>
          </w:tcPr>
          <w:p>
            <w:r/>
            <w:r>
              <w:rPr>
                <w:rFonts w:ascii="Aptos" w:hAnsi="Aptos"/>
                <w:b/>
                <w:color w:val="FFFFFF"/>
                <w:sz w:val="18"/>
              </w:rPr>
              <w:t>Illustrative uplift to 15%</w:t>
            </w:r>
          </w:p>
        </w:tc>
      </w:tr>
      <w:tr>
        <w:trPr>
          <w:cantSplit/>
        </w:trPr>
        <w:tc>
          <w:tcPr>
            <w:tcW w:type="dxa" w:w="3024"/>
            <w:vAlign w:val="center"/>
          </w:tcPr>
          <w:p>
            <w:r/>
            <w:r>
              <w:rPr>
                <w:rFonts w:ascii="Aptos" w:hAnsi="Aptos"/>
                <w:b w:val="0"/>
                <w:sz w:val="17"/>
              </w:rPr>
              <w:t>Paper Product 24</w:t>
            </w:r>
          </w:p>
        </w:tc>
        <w:tc>
          <w:tcPr>
            <w:tcW w:type="dxa" w:w="2160"/>
            <w:vAlign w:val="center"/>
          </w:tcPr>
          <w:p>
            <w:r/>
            <w:r>
              <w:rPr>
                <w:rFonts w:ascii="Aptos" w:hAnsi="Aptos"/>
                <w:b w:val="0"/>
                <w:sz w:val="17"/>
              </w:rPr>
              <w:t>Office Supplies</w:t>
            </w:r>
          </w:p>
        </w:tc>
        <w:tc>
          <w:tcPr>
            <w:tcW w:type="dxa" w:w="1872"/>
            <w:vAlign w:val="center"/>
          </w:tcPr>
          <w:p>
            <w:r/>
            <w:r>
              <w:rPr>
                <w:rFonts w:ascii="Aptos" w:hAnsi="Aptos"/>
                <w:b w:val="0"/>
                <w:sz w:val="17"/>
              </w:rPr>
              <w:t>$344,117</w:t>
            </w:r>
          </w:p>
        </w:tc>
        <w:tc>
          <w:tcPr>
            <w:tcW w:type="dxa" w:w="1440"/>
            <w:vAlign w:val="center"/>
          </w:tcPr>
          <w:p>
            <w:r/>
            <w:r>
              <w:rPr>
                <w:rFonts w:ascii="Aptos" w:hAnsi="Aptos"/>
                <w:b w:val="0"/>
                <w:sz w:val="17"/>
              </w:rPr>
              <w:t>7.9%</w:t>
            </w:r>
          </w:p>
        </w:tc>
        <w:tc>
          <w:tcPr>
            <w:tcW w:type="dxa" w:w="2304"/>
            <w:vAlign w:val="center"/>
          </w:tcPr>
          <w:p>
            <w:r/>
            <w:r>
              <w:rPr>
                <w:rFonts w:ascii="Aptos" w:hAnsi="Aptos"/>
                <w:b w:val="0"/>
                <w:sz w:val="17"/>
              </w:rPr>
              <w:t>$24,448</w:t>
            </w:r>
          </w:p>
        </w:tc>
      </w:tr>
      <w:tr>
        <w:trPr>
          <w:cantSplit/>
        </w:trPr>
        <w:tc>
          <w:tcPr>
            <w:tcW w:type="dxa" w:w="3024"/>
            <w:vAlign w:val="center"/>
            <w:shd w:fill="F5F8FF"/>
          </w:tcPr>
          <w:p>
            <w:r/>
            <w:r>
              <w:rPr>
                <w:rFonts w:ascii="Aptos" w:hAnsi="Aptos"/>
                <w:b w:val="0"/>
                <w:sz w:val="17"/>
              </w:rPr>
              <w:t>Appliances Product 40</w:t>
            </w:r>
          </w:p>
        </w:tc>
        <w:tc>
          <w:tcPr>
            <w:tcW w:type="dxa" w:w="2160"/>
            <w:vAlign w:val="center"/>
            <w:shd w:fill="F5F8FF"/>
          </w:tcPr>
          <w:p>
            <w:r/>
            <w:r>
              <w:rPr>
                <w:rFonts w:ascii="Aptos" w:hAnsi="Aptos"/>
                <w:b w:val="0"/>
                <w:sz w:val="17"/>
              </w:rPr>
              <w:t>Home &amp; Kitchen</w:t>
            </w:r>
          </w:p>
        </w:tc>
        <w:tc>
          <w:tcPr>
            <w:tcW w:type="dxa" w:w="1872"/>
            <w:vAlign w:val="center"/>
            <w:shd w:fill="F5F8FF"/>
          </w:tcPr>
          <w:p>
            <w:r/>
            <w:r>
              <w:rPr>
                <w:rFonts w:ascii="Aptos" w:hAnsi="Aptos"/>
                <w:b w:val="0"/>
                <w:sz w:val="17"/>
              </w:rPr>
              <w:t>$328,348</w:t>
            </w:r>
          </w:p>
        </w:tc>
        <w:tc>
          <w:tcPr>
            <w:tcW w:type="dxa" w:w="1440"/>
            <w:vAlign w:val="center"/>
            <w:shd w:fill="F5F8FF"/>
          </w:tcPr>
          <w:p>
            <w:r/>
            <w:r>
              <w:rPr>
                <w:rFonts w:ascii="Aptos" w:hAnsi="Aptos"/>
                <w:b w:val="0"/>
                <w:sz w:val="17"/>
              </w:rPr>
              <w:t>8.3%</w:t>
            </w:r>
          </w:p>
        </w:tc>
        <w:tc>
          <w:tcPr>
            <w:tcW w:type="dxa" w:w="2304"/>
            <w:vAlign w:val="center"/>
            <w:shd w:fill="F5F8FF"/>
          </w:tcPr>
          <w:p>
            <w:r/>
            <w:r>
              <w:rPr>
                <w:rFonts w:ascii="Aptos" w:hAnsi="Aptos"/>
                <w:b w:val="0"/>
                <w:sz w:val="17"/>
              </w:rPr>
              <w:t>$22,067</w:t>
            </w:r>
          </w:p>
        </w:tc>
      </w:tr>
      <w:tr>
        <w:trPr>
          <w:cantSplit/>
        </w:trPr>
        <w:tc>
          <w:tcPr>
            <w:tcW w:type="dxa" w:w="3024"/>
            <w:vAlign w:val="center"/>
          </w:tcPr>
          <w:p>
            <w:r/>
            <w:r>
              <w:rPr>
                <w:rFonts w:ascii="Aptos" w:hAnsi="Aptos"/>
                <w:b w:val="0"/>
                <w:sz w:val="17"/>
              </w:rPr>
              <w:t>Cookware Product 89</w:t>
            </w:r>
          </w:p>
        </w:tc>
        <w:tc>
          <w:tcPr>
            <w:tcW w:type="dxa" w:w="2160"/>
            <w:vAlign w:val="center"/>
          </w:tcPr>
          <w:p>
            <w:r/>
            <w:r>
              <w:rPr>
                <w:rFonts w:ascii="Aptos" w:hAnsi="Aptos"/>
                <w:b w:val="0"/>
                <w:sz w:val="17"/>
              </w:rPr>
              <w:t>Home &amp; Kitchen</w:t>
            </w:r>
          </w:p>
        </w:tc>
        <w:tc>
          <w:tcPr>
            <w:tcW w:type="dxa" w:w="1872"/>
            <w:vAlign w:val="center"/>
          </w:tcPr>
          <w:p>
            <w:r/>
            <w:r>
              <w:rPr>
                <w:rFonts w:ascii="Aptos" w:hAnsi="Aptos"/>
                <w:b w:val="0"/>
                <w:sz w:val="17"/>
              </w:rPr>
              <w:t>$500,882</w:t>
            </w:r>
          </w:p>
        </w:tc>
        <w:tc>
          <w:tcPr>
            <w:tcW w:type="dxa" w:w="1440"/>
            <w:vAlign w:val="center"/>
          </w:tcPr>
          <w:p>
            <w:r/>
            <w:r>
              <w:rPr>
                <w:rFonts w:ascii="Aptos" w:hAnsi="Aptos"/>
                <w:b w:val="0"/>
                <w:sz w:val="17"/>
              </w:rPr>
              <w:t>9.6%</w:t>
            </w:r>
          </w:p>
        </w:tc>
        <w:tc>
          <w:tcPr>
            <w:tcW w:type="dxa" w:w="2304"/>
            <w:vAlign w:val="center"/>
          </w:tcPr>
          <w:p>
            <w:r/>
            <w:r>
              <w:rPr>
                <w:rFonts w:ascii="Aptos" w:hAnsi="Aptos"/>
                <w:b w:val="0"/>
                <w:sz w:val="17"/>
              </w:rPr>
              <w:t>$27,178</w:t>
            </w:r>
          </w:p>
        </w:tc>
      </w:tr>
      <w:tr>
        <w:trPr>
          <w:cantSplit/>
        </w:trPr>
        <w:tc>
          <w:tcPr>
            <w:tcW w:type="dxa" w:w="3024"/>
            <w:vAlign w:val="center"/>
            <w:shd w:fill="F5F8FF"/>
          </w:tcPr>
          <w:p>
            <w:r/>
            <w:r>
              <w:rPr>
                <w:rFonts w:ascii="Aptos" w:hAnsi="Aptos"/>
                <w:b w:val="0"/>
                <w:sz w:val="17"/>
              </w:rPr>
              <w:t>Cookware Product 64</w:t>
            </w:r>
          </w:p>
        </w:tc>
        <w:tc>
          <w:tcPr>
            <w:tcW w:type="dxa" w:w="2160"/>
            <w:vAlign w:val="center"/>
            <w:shd w:fill="F5F8FF"/>
          </w:tcPr>
          <w:p>
            <w:r/>
            <w:r>
              <w:rPr>
                <w:rFonts w:ascii="Aptos" w:hAnsi="Aptos"/>
                <w:b w:val="0"/>
                <w:sz w:val="17"/>
              </w:rPr>
              <w:t>Home &amp; Kitchen</w:t>
            </w:r>
          </w:p>
        </w:tc>
        <w:tc>
          <w:tcPr>
            <w:tcW w:type="dxa" w:w="1872"/>
            <w:vAlign w:val="center"/>
            <w:shd w:fill="F5F8FF"/>
          </w:tcPr>
          <w:p>
            <w:r/>
            <w:r>
              <w:rPr>
                <w:rFonts w:ascii="Aptos" w:hAnsi="Aptos"/>
                <w:b w:val="0"/>
                <w:sz w:val="17"/>
              </w:rPr>
              <w:t>$404,482</w:t>
            </w:r>
          </w:p>
        </w:tc>
        <w:tc>
          <w:tcPr>
            <w:tcW w:type="dxa" w:w="1440"/>
            <w:vAlign w:val="center"/>
            <w:shd w:fill="F5F8FF"/>
          </w:tcPr>
          <w:p>
            <w:r/>
            <w:r>
              <w:rPr>
                <w:rFonts w:ascii="Aptos" w:hAnsi="Aptos"/>
                <w:b w:val="0"/>
                <w:sz w:val="17"/>
              </w:rPr>
              <w:t>10.7%</w:t>
            </w:r>
          </w:p>
        </w:tc>
        <w:tc>
          <w:tcPr>
            <w:tcW w:type="dxa" w:w="2304"/>
            <w:vAlign w:val="center"/>
            <w:shd w:fill="F5F8FF"/>
          </w:tcPr>
          <w:p>
            <w:r/>
            <w:r>
              <w:rPr>
                <w:rFonts w:ascii="Aptos" w:hAnsi="Aptos"/>
                <w:b w:val="0"/>
                <w:sz w:val="17"/>
              </w:rPr>
              <w:t>$17,475</w:t>
            </w:r>
          </w:p>
        </w:tc>
      </w:tr>
      <w:tr>
        <w:trPr>
          <w:cantSplit/>
        </w:trPr>
        <w:tc>
          <w:tcPr>
            <w:tcW w:type="dxa" w:w="3024"/>
            <w:vAlign w:val="center"/>
          </w:tcPr>
          <w:p>
            <w:r/>
            <w:r>
              <w:rPr>
                <w:rFonts w:ascii="Aptos" w:hAnsi="Aptos"/>
                <w:b w:val="0"/>
                <w:sz w:val="17"/>
              </w:rPr>
              <w:t>Printers Product 86</w:t>
            </w:r>
          </w:p>
        </w:tc>
        <w:tc>
          <w:tcPr>
            <w:tcW w:type="dxa" w:w="2160"/>
            <w:vAlign w:val="center"/>
          </w:tcPr>
          <w:p>
            <w:r/>
            <w:r>
              <w:rPr>
                <w:rFonts w:ascii="Aptos" w:hAnsi="Aptos"/>
                <w:b w:val="0"/>
                <w:sz w:val="17"/>
              </w:rPr>
              <w:t>Office Supplies</w:t>
            </w:r>
          </w:p>
        </w:tc>
        <w:tc>
          <w:tcPr>
            <w:tcW w:type="dxa" w:w="1872"/>
            <w:vAlign w:val="center"/>
          </w:tcPr>
          <w:p>
            <w:r/>
            <w:r>
              <w:rPr>
                <w:rFonts w:ascii="Aptos" w:hAnsi="Aptos"/>
                <w:b w:val="0"/>
                <w:sz w:val="17"/>
              </w:rPr>
              <w:t>$377,258</w:t>
            </w:r>
          </w:p>
        </w:tc>
        <w:tc>
          <w:tcPr>
            <w:tcW w:type="dxa" w:w="1440"/>
            <w:vAlign w:val="center"/>
          </w:tcPr>
          <w:p>
            <w:r/>
            <w:r>
              <w:rPr>
                <w:rFonts w:ascii="Aptos" w:hAnsi="Aptos"/>
                <w:b w:val="0"/>
                <w:sz w:val="17"/>
              </w:rPr>
              <w:t>10.8%</w:t>
            </w:r>
          </w:p>
        </w:tc>
        <w:tc>
          <w:tcPr>
            <w:tcW w:type="dxa" w:w="2304"/>
            <w:vAlign w:val="center"/>
          </w:tcPr>
          <w:p>
            <w:r/>
            <w:r>
              <w:rPr>
                <w:rFonts w:ascii="Aptos" w:hAnsi="Aptos"/>
                <w:b w:val="0"/>
                <w:sz w:val="17"/>
              </w:rPr>
              <w:t>$15,815</w:t>
            </w:r>
          </w:p>
        </w:tc>
      </w:tr>
      <w:tr>
        <w:trPr>
          <w:cantSplit/>
        </w:trPr>
        <w:tc>
          <w:tcPr>
            <w:tcW w:type="dxa" w:w="3024"/>
            <w:vAlign w:val="center"/>
            <w:shd w:fill="F5F8FF"/>
          </w:tcPr>
          <w:p>
            <w:r/>
            <w:r>
              <w:rPr>
                <w:rFonts w:ascii="Aptos" w:hAnsi="Aptos"/>
                <w:b w:val="0"/>
                <w:sz w:val="17"/>
              </w:rPr>
              <w:t>Kids Product 36</w:t>
            </w:r>
          </w:p>
        </w:tc>
        <w:tc>
          <w:tcPr>
            <w:tcW w:type="dxa" w:w="2160"/>
            <w:vAlign w:val="center"/>
            <w:shd w:fill="F5F8FF"/>
          </w:tcPr>
          <w:p>
            <w:r/>
            <w:r>
              <w:rPr>
                <w:rFonts w:ascii="Aptos" w:hAnsi="Aptos"/>
                <w:b w:val="0"/>
                <w:sz w:val="17"/>
              </w:rPr>
              <w:t>Clothing</w:t>
            </w:r>
          </w:p>
        </w:tc>
        <w:tc>
          <w:tcPr>
            <w:tcW w:type="dxa" w:w="1872"/>
            <w:vAlign w:val="center"/>
            <w:shd w:fill="F5F8FF"/>
          </w:tcPr>
          <w:p>
            <w:r/>
            <w:r>
              <w:rPr>
                <w:rFonts w:ascii="Aptos" w:hAnsi="Aptos"/>
                <w:b w:val="0"/>
                <w:sz w:val="17"/>
              </w:rPr>
              <w:t>$390,398</w:t>
            </w:r>
          </w:p>
        </w:tc>
        <w:tc>
          <w:tcPr>
            <w:tcW w:type="dxa" w:w="1440"/>
            <w:vAlign w:val="center"/>
            <w:shd w:fill="F5F8FF"/>
          </w:tcPr>
          <w:p>
            <w:r/>
            <w:r>
              <w:rPr>
                <w:rFonts w:ascii="Aptos" w:hAnsi="Aptos"/>
                <w:b w:val="0"/>
                <w:sz w:val="17"/>
              </w:rPr>
              <w:t>11.4%</w:t>
            </w:r>
          </w:p>
        </w:tc>
        <w:tc>
          <w:tcPr>
            <w:tcW w:type="dxa" w:w="2304"/>
            <w:vAlign w:val="center"/>
            <w:shd w:fill="F5F8FF"/>
          </w:tcPr>
          <w:p>
            <w:r/>
            <w:r>
              <w:rPr>
                <w:rFonts w:ascii="Aptos" w:hAnsi="Aptos"/>
                <w:b w:val="0"/>
                <w:sz w:val="17"/>
              </w:rPr>
              <w:t>$13,906</w:t>
            </w:r>
          </w:p>
        </w:tc>
      </w:tr>
      <w:tr>
        <w:trPr>
          <w:cantSplit/>
        </w:trPr>
        <w:tc>
          <w:tcPr>
            <w:tcW w:type="dxa" w:w="3024"/>
            <w:vAlign w:val="center"/>
          </w:tcPr>
          <w:p>
            <w:r/>
            <w:r>
              <w:rPr>
                <w:rFonts w:ascii="Aptos" w:hAnsi="Aptos"/>
                <w:b w:val="0"/>
                <w:sz w:val="17"/>
              </w:rPr>
              <w:t>Accessories Product 9</w:t>
            </w:r>
          </w:p>
        </w:tc>
        <w:tc>
          <w:tcPr>
            <w:tcW w:type="dxa" w:w="2160"/>
            <w:vAlign w:val="center"/>
          </w:tcPr>
          <w:p>
            <w:r/>
            <w:r>
              <w:rPr>
                <w:rFonts w:ascii="Aptos" w:hAnsi="Aptos"/>
                <w:b w:val="0"/>
                <w:sz w:val="17"/>
              </w:rPr>
              <w:t>Electronics</w:t>
            </w:r>
          </w:p>
        </w:tc>
        <w:tc>
          <w:tcPr>
            <w:tcW w:type="dxa" w:w="1872"/>
            <w:vAlign w:val="center"/>
          </w:tcPr>
          <w:p>
            <w:r/>
            <w:r>
              <w:rPr>
                <w:rFonts w:ascii="Aptos" w:hAnsi="Aptos"/>
                <w:b w:val="0"/>
                <w:sz w:val="17"/>
              </w:rPr>
              <w:t>$302,629</w:t>
            </w:r>
          </w:p>
        </w:tc>
        <w:tc>
          <w:tcPr>
            <w:tcW w:type="dxa" w:w="1440"/>
            <w:vAlign w:val="center"/>
          </w:tcPr>
          <w:p>
            <w:r/>
            <w:r>
              <w:rPr>
                <w:rFonts w:ascii="Aptos" w:hAnsi="Aptos"/>
                <w:b w:val="0"/>
                <w:sz w:val="17"/>
              </w:rPr>
              <w:t>12.0%</w:t>
            </w:r>
          </w:p>
        </w:tc>
        <w:tc>
          <w:tcPr>
            <w:tcW w:type="dxa" w:w="2304"/>
            <w:vAlign w:val="center"/>
          </w:tcPr>
          <w:p>
            <w:r/>
            <w:r>
              <w:rPr>
                <w:rFonts w:ascii="Aptos" w:hAnsi="Aptos"/>
                <w:b w:val="0"/>
                <w:sz w:val="17"/>
              </w:rPr>
              <w:t>$8,972</w:t>
            </w:r>
          </w:p>
        </w:tc>
      </w:tr>
      <w:tr>
        <w:trPr>
          <w:cantSplit/>
        </w:trPr>
        <w:tc>
          <w:tcPr>
            <w:tcW w:type="dxa" w:w="3024"/>
            <w:vAlign w:val="center"/>
            <w:shd w:fill="F5F8FF"/>
          </w:tcPr>
          <w:p>
            <w:r/>
            <w:r>
              <w:rPr>
                <w:rFonts w:ascii="Aptos" w:hAnsi="Aptos"/>
                <w:b w:val="0"/>
                <w:sz w:val="17"/>
              </w:rPr>
              <w:t>Mobiles Product 66</w:t>
            </w:r>
          </w:p>
        </w:tc>
        <w:tc>
          <w:tcPr>
            <w:tcW w:type="dxa" w:w="2160"/>
            <w:vAlign w:val="center"/>
            <w:shd w:fill="F5F8FF"/>
          </w:tcPr>
          <w:p>
            <w:r/>
            <w:r>
              <w:rPr>
                <w:rFonts w:ascii="Aptos" w:hAnsi="Aptos"/>
                <w:b w:val="0"/>
                <w:sz w:val="17"/>
              </w:rPr>
              <w:t>Electronics</w:t>
            </w:r>
          </w:p>
        </w:tc>
        <w:tc>
          <w:tcPr>
            <w:tcW w:type="dxa" w:w="1872"/>
            <w:vAlign w:val="center"/>
            <w:shd w:fill="F5F8FF"/>
          </w:tcPr>
          <w:p>
            <w:r/>
            <w:r>
              <w:rPr>
                <w:rFonts w:ascii="Aptos" w:hAnsi="Aptos"/>
                <w:b w:val="0"/>
                <w:sz w:val="17"/>
              </w:rPr>
              <w:t>$416,699</w:t>
            </w:r>
          </w:p>
        </w:tc>
        <w:tc>
          <w:tcPr>
            <w:tcW w:type="dxa" w:w="1440"/>
            <w:vAlign w:val="center"/>
            <w:shd w:fill="F5F8FF"/>
          </w:tcPr>
          <w:p>
            <w:r/>
            <w:r>
              <w:rPr>
                <w:rFonts w:ascii="Aptos" w:hAnsi="Aptos"/>
                <w:b w:val="0"/>
                <w:sz w:val="17"/>
              </w:rPr>
              <w:t>12.1%</w:t>
            </w:r>
          </w:p>
        </w:tc>
        <w:tc>
          <w:tcPr>
            <w:tcW w:type="dxa" w:w="2304"/>
            <w:vAlign w:val="center"/>
            <w:shd w:fill="F5F8FF"/>
          </w:tcPr>
          <w:p>
            <w:r/>
            <w:r>
              <w:rPr>
                <w:rFonts w:ascii="Aptos" w:hAnsi="Aptos"/>
                <w:b w:val="0"/>
                <w:sz w:val="17"/>
              </w:rPr>
              <w:t>$12,233</w:t>
            </w:r>
          </w:p>
        </w:tc>
      </w:tr>
      <w:tr>
        <w:trPr>
          <w:cantSplit/>
        </w:trPr>
        <w:tc>
          <w:tcPr>
            <w:tcW w:type="dxa" w:w="3024"/>
            <w:vAlign w:val="center"/>
          </w:tcPr>
          <w:p>
            <w:r/>
            <w:r>
              <w:rPr>
                <w:rFonts w:ascii="Aptos" w:hAnsi="Aptos"/>
                <w:b w:val="0"/>
                <w:sz w:val="17"/>
              </w:rPr>
              <w:t>Stationery Product 68</w:t>
            </w:r>
          </w:p>
        </w:tc>
        <w:tc>
          <w:tcPr>
            <w:tcW w:type="dxa" w:w="2160"/>
            <w:vAlign w:val="center"/>
          </w:tcPr>
          <w:p>
            <w:r/>
            <w:r>
              <w:rPr>
                <w:rFonts w:ascii="Aptos" w:hAnsi="Aptos"/>
                <w:b w:val="0"/>
                <w:sz w:val="17"/>
              </w:rPr>
              <w:t>Office Supplies</w:t>
            </w:r>
          </w:p>
        </w:tc>
        <w:tc>
          <w:tcPr>
            <w:tcW w:type="dxa" w:w="1872"/>
            <w:vAlign w:val="center"/>
          </w:tcPr>
          <w:p>
            <w:r/>
            <w:r>
              <w:rPr>
                <w:rFonts w:ascii="Aptos" w:hAnsi="Aptos"/>
                <w:b w:val="0"/>
                <w:sz w:val="17"/>
              </w:rPr>
              <w:t>$369,416</w:t>
            </w:r>
          </w:p>
        </w:tc>
        <w:tc>
          <w:tcPr>
            <w:tcW w:type="dxa" w:w="1440"/>
            <w:vAlign w:val="center"/>
          </w:tcPr>
          <w:p>
            <w:r/>
            <w:r>
              <w:rPr>
                <w:rFonts w:ascii="Aptos" w:hAnsi="Aptos"/>
                <w:b w:val="0"/>
                <w:sz w:val="17"/>
              </w:rPr>
              <w:t>12.2%</w:t>
            </w:r>
          </w:p>
        </w:tc>
        <w:tc>
          <w:tcPr>
            <w:tcW w:type="dxa" w:w="2304"/>
            <w:vAlign w:val="center"/>
          </w:tcPr>
          <w:p>
            <w:r/>
            <w:r>
              <w:rPr>
                <w:rFonts w:ascii="Aptos" w:hAnsi="Aptos"/>
                <w:b w:val="0"/>
                <w:sz w:val="17"/>
              </w:rPr>
              <w:t>$10,180</w:t>
            </w:r>
          </w:p>
        </w:tc>
      </w:tr>
      <w:tr>
        <w:trPr>
          <w:cantSplit/>
        </w:trPr>
        <w:tc>
          <w:tcPr>
            <w:tcW w:type="dxa" w:w="3024"/>
            <w:vAlign w:val="center"/>
            <w:shd w:fill="F5F8FF"/>
          </w:tcPr>
          <w:p>
            <w:r/>
            <w:r>
              <w:rPr>
                <w:rFonts w:ascii="Aptos" w:hAnsi="Aptos"/>
                <w:b w:val="0"/>
                <w:sz w:val="17"/>
              </w:rPr>
              <w:t>Men Product 27</w:t>
            </w:r>
          </w:p>
        </w:tc>
        <w:tc>
          <w:tcPr>
            <w:tcW w:type="dxa" w:w="2160"/>
            <w:vAlign w:val="center"/>
            <w:shd w:fill="F5F8FF"/>
          </w:tcPr>
          <w:p>
            <w:r/>
            <w:r>
              <w:rPr>
                <w:rFonts w:ascii="Aptos" w:hAnsi="Aptos"/>
                <w:b w:val="0"/>
                <w:sz w:val="17"/>
              </w:rPr>
              <w:t>Office Supplies</w:t>
            </w:r>
          </w:p>
        </w:tc>
        <w:tc>
          <w:tcPr>
            <w:tcW w:type="dxa" w:w="1872"/>
            <w:vAlign w:val="center"/>
            <w:shd w:fill="F5F8FF"/>
          </w:tcPr>
          <w:p>
            <w:r/>
            <w:r>
              <w:rPr>
                <w:rFonts w:ascii="Aptos" w:hAnsi="Aptos"/>
                <w:b w:val="0"/>
                <w:sz w:val="17"/>
              </w:rPr>
              <w:t>$316,751</w:t>
            </w:r>
          </w:p>
        </w:tc>
        <w:tc>
          <w:tcPr>
            <w:tcW w:type="dxa" w:w="1440"/>
            <w:vAlign w:val="center"/>
            <w:shd w:fill="F5F8FF"/>
          </w:tcPr>
          <w:p>
            <w:r/>
            <w:r>
              <w:rPr>
                <w:rFonts w:ascii="Aptos" w:hAnsi="Aptos"/>
                <w:b w:val="0"/>
                <w:sz w:val="17"/>
              </w:rPr>
              <w:t>12.7%</w:t>
            </w:r>
          </w:p>
        </w:tc>
        <w:tc>
          <w:tcPr>
            <w:tcW w:type="dxa" w:w="2304"/>
            <w:vAlign w:val="center"/>
            <w:shd w:fill="F5F8FF"/>
          </w:tcPr>
          <w:p>
            <w:r/>
            <w:r>
              <w:rPr>
                <w:rFonts w:ascii="Aptos" w:hAnsi="Aptos"/>
                <w:b w:val="0"/>
                <w:sz w:val="17"/>
              </w:rPr>
              <w:t>$7,131</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FF7DF"/>
          </w:tcPr>
          <w:p>
            <w:pPr>
              <w:pStyle w:val="Callout"/>
            </w:pPr>
            <w:r>
              <w:rPr>
                <w:b/>
                <w:color w:val="2874F0"/>
              </w:rPr>
              <w:t xml:space="preserve">Illustrative portfolio scenario: </w:t>
            </w:r>
            <w:r>
              <w:t>For high-revenue products currently below 15% margin, lifting those SKUs to a 15% margin at unchanged revenue would add about $195,861 in full-period profit. This overlaps with the discount scenario and should not be added to it as an independent benefit.</w:t>
            </w:r>
          </w:p>
        </w:tc>
      </w:tr>
    </w:tbl>
    <w:p>
      <w:pPr>
        <w:spacing w:after="0"/>
      </w:pPr>
    </w:p>
    <w:p>
      <w:pPr>
        <w:pStyle w:val="Heading2"/>
      </w:pPr>
      <w:r>
        <w:t>Recommended actions</w:t>
      </w:r>
    </w:p>
    <w:p>
      <w:pPr>
        <w:pStyle w:val="ListBullet"/>
        <w:spacing w:after="60"/>
      </w:pPr>
      <w:r>
        <w:rPr>
          <w:b/>
        </w:rPr>
        <w:t xml:space="preserve">SKU profitability review. </w:t>
      </w:r>
      <w:r>
        <w:t>For each low-margin high-revenue SKU, determine whether the issue is list price, supplier cost, discounting, or product mix.</w:t>
      </w:r>
    </w:p>
    <w:p>
      <w:pPr>
        <w:pStyle w:val="ListBullet"/>
        <w:spacing w:after="60"/>
      </w:pPr>
      <w:r>
        <w:rPr>
          <w:b/>
        </w:rPr>
        <w:t xml:space="preserve">Vendor / sourcing negotiations. </w:t>
      </w:r>
      <w:r>
        <w:t>Target cost reduction on high-volume low-margin SKUs before applying customer-facing discounts.</w:t>
      </w:r>
    </w:p>
    <w:p>
      <w:pPr>
        <w:pStyle w:val="ListBullet"/>
        <w:spacing w:after="60"/>
      </w:pPr>
      <w:r>
        <w:rPr>
          <w:b/>
        </w:rPr>
        <w:t xml:space="preserve">Price architecture. </w:t>
      </w:r>
      <w:r>
        <w:t>Define target margin corridors by category and flag products outside the corridor.</w:t>
      </w:r>
    </w:p>
    <w:p>
      <w:pPr>
        <w:pStyle w:val="ListBullet"/>
        <w:spacing w:after="60"/>
      </w:pPr>
      <w:r>
        <w:rPr>
          <w:b/>
        </w:rPr>
        <w:t xml:space="preserve">Bundle strategy. </w:t>
      </w:r>
      <w:r>
        <w:t>Pair low-margin traffic drivers with higher-margin complementary items instead of relying only on deeper discounts.</w:t>
      </w:r>
    </w:p>
    <w:p>
      <w:pPr>
        <w:pStyle w:val="ListBullet"/>
        <w:spacing w:after="60"/>
      </w:pPr>
      <w:r>
        <w:rPr>
          <w:b/>
        </w:rPr>
        <w:t xml:space="preserve">Assortment rationalization. </w:t>
      </w:r>
      <w:r>
        <w:t>Products that are both low-margin and low-growth should be reviewed for strategic relevance.</w:t>
      </w:r>
    </w:p>
    <w:tbl>
      <w:tblPr>
        <w:tblW w:type="auto" w:w="0"/>
        <w:jc w:val="center"/>
        <w:tblLook w:firstColumn="1" w:firstRow="1" w:lastColumn="0" w:lastRow="0" w:noHBand="0" w:noVBand="1" w:val="04A0"/>
      </w:tblPr>
      <w:tblGrid>
        <w:gridCol w:w="10166"/>
      </w:tblGrid>
      <w:tr>
        <w:trPr>
          <w:cantSplit/>
        </w:trPr>
        <w:tc>
          <w:tcPr>
            <w:tcW w:type="dxa" w:w="10166"/>
            <w:shd w:fill="EAF2FF"/>
          </w:tcPr>
          <w:p>
            <w:pPr>
              <w:pStyle w:val="Callout"/>
            </w:pPr>
            <w:r>
              <w:rPr>
                <w:b/>
                <w:color w:val="2874F0"/>
              </w:rPr>
              <w:t xml:space="preserve">Category sensitivity examples: </w:t>
            </w:r>
            <w:r>
              <w:t>A 2 percentage-point margin improvement on Electronics, at unchanged revenue, is worth roughly $85,896 across the observed period. A 1 percentage-point improvement on Office Supplies is worth roughly $60,368. These are sensitivity calculations, not forecasts.</w:t>
            </w:r>
          </w:p>
        </w:tc>
      </w:tr>
    </w:tbl>
    <w:p>
      <w:pPr>
        <w:spacing w:after="0"/>
      </w:pPr>
    </w:p>
    <w:p>
      <w:r>
        <w:br w:type="page"/>
      </w:r>
    </w:p>
    <w:p>
      <w:pPr>
        <w:pStyle w:val="Heading1"/>
      </w:pPr>
      <w:r>
        <w:t>5. Customer and Buying-Behavior Assessment</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024"/>
            <w:vAlign w:val="center"/>
            <w:shd w:fill="2874F0"/>
          </w:tcPr>
          <w:p>
            <w:r/>
            <w:r>
              <w:rPr>
                <w:rFonts w:ascii="Aptos" w:hAnsi="Aptos"/>
                <w:b/>
                <w:color w:val="FFFFFF"/>
                <w:sz w:val="18"/>
              </w:rPr>
              <w:t>Finding</w:t>
            </w:r>
          </w:p>
        </w:tc>
        <w:tc>
          <w:tcPr>
            <w:tcW w:type="dxa" w:w="3888"/>
            <w:vAlign w:val="center"/>
            <w:shd w:fill="2874F0"/>
          </w:tcPr>
          <w:p>
            <w:r/>
            <w:r>
              <w:rPr>
                <w:rFonts w:ascii="Aptos" w:hAnsi="Aptos"/>
                <w:b/>
                <w:color w:val="FFFFFF"/>
                <w:sz w:val="18"/>
              </w:rPr>
              <w:t>Business interpretation</w:t>
            </w:r>
          </w:p>
        </w:tc>
        <w:tc>
          <w:tcPr>
            <w:tcW w:type="dxa" w:w="3888"/>
            <w:vAlign w:val="center"/>
            <w:shd w:fill="2874F0"/>
          </w:tcPr>
          <w:p>
            <w:r/>
            <w:r>
              <w:rPr>
                <w:rFonts w:ascii="Aptos" w:hAnsi="Aptos"/>
                <w:b/>
                <w:color w:val="FFFFFF"/>
                <w:sz w:val="18"/>
              </w:rPr>
              <w:t>Risk / limitation</w:t>
            </w:r>
          </w:p>
        </w:tc>
      </w:tr>
      <w:tr>
        <w:trPr>
          <w:cantSplit/>
        </w:trPr>
        <w:tc>
          <w:tcPr>
            <w:tcW w:type="dxa" w:w="3024"/>
            <w:vAlign w:val="center"/>
          </w:tcPr>
          <w:p>
            <w:r/>
            <w:r>
              <w:rPr>
                <w:rFonts w:ascii="Aptos" w:hAnsi="Aptos"/>
                <w:b w:val="0"/>
                <w:sz w:val="17"/>
              </w:rPr>
              <w:t>2,000 purchasing customers across 25,000 orders</w:t>
            </w:r>
          </w:p>
        </w:tc>
        <w:tc>
          <w:tcPr>
            <w:tcW w:type="dxa" w:w="3888"/>
            <w:vAlign w:val="center"/>
          </w:tcPr>
          <w:p>
            <w:r/>
            <w:r>
              <w:rPr>
                <w:rFonts w:ascii="Aptos" w:hAnsi="Aptos"/>
                <w:b w:val="0"/>
                <w:sz w:val="17"/>
              </w:rPr>
              <w:t>The dataset has enough transaction volume for broad segment and product analysis.</w:t>
            </w:r>
          </w:p>
        </w:tc>
        <w:tc>
          <w:tcPr>
            <w:tcW w:type="dxa" w:w="3888"/>
            <w:vAlign w:val="center"/>
          </w:tcPr>
          <w:p>
            <w:r/>
            <w:r>
              <w:rPr>
                <w:rFonts w:ascii="Aptos" w:hAnsi="Aptos"/>
                <w:b w:val="0"/>
                <w:sz w:val="17"/>
              </w:rPr>
              <w:t>Synthetic structure may not reflect real customer acquisition patterns.</w:t>
            </w:r>
          </w:p>
        </w:tc>
      </w:tr>
      <w:tr>
        <w:trPr>
          <w:cantSplit/>
        </w:trPr>
        <w:tc>
          <w:tcPr>
            <w:tcW w:type="dxa" w:w="3024"/>
            <w:vAlign w:val="center"/>
            <w:shd w:fill="F5F8FF"/>
          </w:tcPr>
          <w:p>
            <w:r/>
            <w:r>
              <w:rPr>
                <w:rFonts w:ascii="Aptos" w:hAnsi="Aptos"/>
                <w:b w:val="0"/>
                <w:sz w:val="17"/>
              </w:rPr>
              <w:t>100.0% of customers have &gt;1 order</w:t>
            </w:r>
          </w:p>
        </w:tc>
        <w:tc>
          <w:tcPr>
            <w:tcW w:type="dxa" w:w="3888"/>
            <w:vAlign w:val="center"/>
            <w:shd w:fill="F5F8FF"/>
          </w:tcPr>
          <w:p>
            <w:r/>
            <w:r>
              <w:rPr>
                <w:rFonts w:ascii="Aptos" w:hAnsi="Aptos"/>
                <w:b w:val="0"/>
                <w:sz w:val="17"/>
              </w:rPr>
              <w:t>All identified customers are repeat buyers in the full-period dataset.</w:t>
            </w:r>
          </w:p>
        </w:tc>
        <w:tc>
          <w:tcPr>
            <w:tcW w:type="dxa" w:w="3888"/>
            <w:vAlign w:val="center"/>
            <w:shd w:fill="F5F8FF"/>
          </w:tcPr>
          <w:p>
            <w:r/>
            <w:r>
              <w:rPr>
                <w:rFonts w:ascii="Aptos" w:hAnsi="Aptos"/>
                <w:b w:val="0"/>
                <w:sz w:val="17"/>
              </w:rPr>
              <w:t>This makes “repeat vs one-time” retention analysis uninformative at the full-period level.</w:t>
            </w:r>
          </w:p>
        </w:tc>
      </w:tr>
      <w:tr>
        <w:trPr>
          <w:cantSplit/>
        </w:trPr>
        <w:tc>
          <w:tcPr>
            <w:tcW w:type="dxa" w:w="3024"/>
            <w:vAlign w:val="center"/>
          </w:tcPr>
          <w:p>
            <w:r/>
            <w:r>
              <w:rPr>
                <w:rFonts w:ascii="Aptos" w:hAnsi="Aptos"/>
                <w:b w:val="0"/>
                <w:sz w:val="17"/>
              </w:rPr>
              <w:t>66.6% of customers are needed to reach 80% of revenue</w:t>
            </w:r>
          </w:p>
        </w:tc>
        <w:tc>
          <w:tcPr>
            <w:tcW w:type="dxa" w:w="3888"/>
            <w:vAlign w:val="center"/>
          </w:tcPr>
          <w:p>
            <w:r/>
            <w:r>
              <w:rPr>
                <w:rFonts w:ascii="Aptos" w:hAnsi="Aptos"/>
                <w:b w:val="0"/>
                <w:sz w:val="17"/>
              </w:rPr>
              <w:t>Revenue is not heavily concentrated in a tiny VIP group.</w:t>
            </w:r>
          </w:p>
        </w:tc>
        <w:tc>
          <w:tcPr>
            <w:tcW w:type="dxa" w:w="3888"/>
            <w:vAlign w:val="center"/>
          </w:tcPr>
          <w:p>
            <w:r/>
            <w:r>
              <w:rPr>
                <w:rFonts w:ascii="Aptos" w:hAnsi="Aptos"/>
                <w:b w:val="0"/>
                <w:sz w:val="17"/>
              </w:rPr>
              <w:t>This may be a synthetic-data artifact; customer value strategy needs richer behavior fields.</w:t>
            </w:r>
          </w:p>
        </w:tc>
      </w:tr>
      <w:tr>
        <w:trPr>
          <w:cantSplit/>
        </w:trPr>
        <w:tc>
          <w:tcPr>
            <w:tcW w:type="dxa" w:w="3024"/>
            <w:vAlign w:val="center"/>
            <w:shd w:fill="F5F8FF"/>
          </w:tcPr>
          <w:p>
            <w:r/>
            <w:r>
              <w:rPr>
                <w:rFonts w:ascii="Aptos" w:hAnsi="Aptos"/>
                <w:b w:val="0"/>
                <w:sz w:val="17"/>
              </w:rPr>
              <w:t>55.0% of products are needed to reach 80% of product revenue</w:t>
            </w:r>
          </w:p>
        </w:tc>
        <w:tc>
          <w:tcPr>
            <w:tcW w:type="dxa" w:w="3888"/>
            <w:vAlign w:val="center"/>
            <w:shd w:fill="F5F8FF"/>
          </w:tcPr>
          <w:p>
            <w:r/>
            <w:r>
              <w:rPr>
                <w:rFonts w:ascii="Aptos" w:hAnsi="Aptos"/>
                <w:b w:val="0"/>
                <w:sz w:val="17"/>
              </w:rPr>
              <w:t>Product revenue is moderately diversified rather than dominated by a handful of SKUs.</w:t>
            </w:r>
          </w:p>
        </w:tc>
        <w:tc>
          <w:tcPr>
            <w:tcW w:type="dxa" w:w="3888"/>
            <w:vAlign w:val="center"/>
            <w:shd w:fill="F5F8FF"/>
          </w:tcPr>
          <w:p>
            <w:r/>
            <w:r>
              <w:rPr>
                <w:rFonts w:ascii="Aptos" w:hAnsi="Aptos"/>
                <w:b w:val="0"/>
                <w:sz w:val="17"/>
              </w:rPr>
              <w:t>Does not reveal basket affinity because order_id does not represent multi-line baskets.</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EAF2FF"/>
          </w:tcPr>
          <w:p>
            <w:pPr>
              <w:pStyle w:val="Callout"/>
            </w:pPr>
            <w:r>
              <w:rPr>
                <w:b/>
                <w:color w:val="2874F0"/>
              </w:rPr>
              <w:t xml:space="preserve">Key analytical limitation: </w:t>
            </w:r>
            <w:r>
              <w:t>The current data supports spending, frequency, segment, demographic, product, and region analysis. It does not support defensible market-basket analysis, customer acquisition attribution, or true retention/cohort analysis without additional fields.</w:t>
            </w:r>
          </w:p>
        </w:tc>
      </w:tr>
    </w:tbl>
    <w:p>
      <w:pPr>
        <w:spacing w:after="0"/>
      </w:pPr>
    </w:p>
    <w:p>
      <w:pPr>
        <w:pStyle w:val="Heading2"/>
      </w:pPr>
      <w:r>
        <w:t>Recommended customer-data enrichment</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448"/>
            <w:vAlign w:val="center"/>
            <w:shd w:fill="2874F0"/>
          </w:tcPr>
          <w:p>
            <w:r/>
            <w:r>
              <w:rPr>
                <w:rFonts w:ascii="Aptos" w:hAnsi="Aptos"/>
                <w:b/>
                <w:color w:val="FFFFFF"/>
                <w:sz w:val="18"/>
              </w:rPr>
              <w:t>Add field / entity</w:t>
            </w:r>
          </w:p>
        </w:tc>
        <w:tc>
          <w:tcPr>
            <w:tcW w:type="dxa" w:w="3600"/>
            <w:vAlign w:val="center"/>
            <w:shd w:fill="2874F0"/>
          </w:tcPr>
          <w:p>
            <w:r/>
            <w:r>
              <w:rPr>
                <w:rFonts w:ascii="Aptos" w:hAnsi="Aptos"/>
                <w:b/>
                <w:color w:val="FFFFFF"/>
                <w:sz w:val="18"/>
              </w:rPr>
              <w:t>Why it matters</w:t>
            </w:r>
          </w:p>
        </w:tc>
        <w:tc>
          <w:tcPr>
            <w:tcW w:type="dxa" w:w="4032"/>
            <w:vAlign w:val="center"/>
            <w:shd w:fill="2874F0"/>
          </w:tcPr>
          <w:p>
            <w:r/>
            <w:r>
              <w:rPr>
                <w:rFonts w:ascii="Aptos" w:hAnsi="Aptos"/>
                <w:b/>
                <w:color w:val="FFFFFF"/>
                <w:sz w:val="18"/>
              </w:rPr>
              <w:t>Business decisions enabled</w:t>
            </w:r>
          </w:p>
        </w:tc>
      </w:tr>
      <w:tr>
        <w:trPr>
          <w:cantSplit/>
        </w:trPr>
        <w:tc>
          <w:tcPr>
            <w:tcW w:type="dxa" w:w="2448"/>
            <w:vAlign w:val="center"/>
          </w:tcPr>
          <w:p>
            <w:r/>
            <w:r>
              <w:rPr>
                <w:rFonts w:ascii="Aptos" w:hAnsi="Aptos"/>
                <w:b w:val="0"/>
                <w:sz w:val="17"/>
              </w:rPr>
              <w:t>basket_id / order_group_id</w:t>
            </w:r>
          </w:p>
        </w:tc>
        <w:tc>
          <w:tcPr>
            <w:tcW w:type="dxa" w:w="3600"/>
            <w:vAlign w:val="center"/>
          </w:tcPr>
          <w:p>
            <w:r/>
            <w:r>
              <w:rPr>
                <w:rFonts w:ascii="Aptos" w:hAnsi="Aptos"/>
                <w:b w:val="0"/>
                <w:sz w:val="17"/>
              </w:rPr>
              <w:t>Links multiple products purchased in the same checkout.</w:t>
            </w:r>
          </w:p>
        </w:tc>
        <w:tc>
          <w:tcPr>
            <w:tcW w:type="dxa" w:w="4032"/>
            <w:vAlign w:val="center"/>
          </w:tcPr>
          <w:p>
            <w:r/>
            <w:r>
              <w:rPr>
                <w:rFonts w:ascii="Aptos" w:hAnsi="Aptos"/>
                <w:b w:val="0"/>
                <w:sz w:val="17"/>
              </w:rPr>
              <w:t>Cross-sell, basket affinity, bundles, attach-rate optimization.</w:t>
            </w:r>
          </w:p>
        </w:tc>
      </w:tr>
      <w:tr>
        <w:trPr>
          <w:cantSplit/>
        </w:trPr>
        <w:tc>
          <w:tcPr>
            <w:tcW w:type="dxa" w:w="2448"/>
            <w:vAlign w:val="center"/>
            <w:shd w:fill="F5F8FF"/>
          </w:tcPr>
          <w:p>
            <w:r/>
            <w:r>
              <w:rPr>
                <w:rFonts w:ascii="Aptos" w:hAnsi="Aptos"/>
                <w:b w:val="0"/>
                <w:sz w:val="17"/>
              </w:rPr>
              <w:t>acquisition_channel / campaign_id</w:t>
            </w:r>
          </w:p>
        </w:tc>
        <w:tc>
          <w:tcPr>
            <w:tcW w:type="dxa" w:w="3600"/>
            <w:vAlign w:val="center"/>
            <w:shd w:fill="F5F8FF"/>
          </w:tcPr>
          <w:p>
            <w:r/>
            <w:r>
              <w:rPr>
                <w:rFonts w:ascii="Aptos" w:hAnsi="Aptos"/>
                <w:b w:val="0"/>
                <w:sz w:val="17"/>
              </w:rPr>
              <w:t>Connects customers to source and campaign.</w:t>
            </w:r>
          </w:p>
        </w:tc>
        <w:tc>
          <w:tcPr>
            <w:tcW w:type="dxa" w:w="4032"/>
            <w:vAlign w:val="center"/>
            <w:shd w:fill="F5F8FF"/>
          </w:tcPr>
          <w:p>
            <w:r/>
            <w:r>
              <w:rPr>
                <w:rFonts w:ascii="Aptos" w:hAnsi="Aptos"/>
                <w:b w:val="0"/>
                <w:sz w:val="17"/>
              </w:rPr>
              <w:t>CAC, ROAS, profitable acquisition, channel budget allocation.</w:t>
            </w:r>
          </w:p>
        </w:tc>
      </w:tr>
      <w:tr>
        <w:trPr>
          <w:cantSplit/>
        </w:trPr>
        <w:tc>
          <w:tcPr>
            <w:tcW w:type="dxa" w:w="2448"/>
            <w:vAlign w:val="center"/>
          </w:tcPr>
          <w:p>
            <w:r/>
            <w:r>
              <w:rPr>
                <w:rFonts w:ascii="Aptos" w:hAnsi="Aptos"/>
                <w:b w:val="0"/>
                <w:sz w:val="17"/>
              </w:rPr>
              <w:t>order_status / return_reason</w:t>
            </w:r>
          </w:p>
        </w:tc>
        <w:tc>
          <w:tcPr>
            <w:tcW w:type="dxa" w:w="3600"/>
            <w:vAlign w:val="center"/>
          </w:tcPr>
          <w:p>
            <w:r/>
            <w:r>
              <w:rPr>
                <w:rFonts w:ascii="Aptos" w:hAnsi="Aptos"/>
                <w:b w:val="0"/>
                <w:sz w:val="17"/>
              </w:rPr>
              <w:t>Separates sale, cancellation, refund, return, exchange.</w:t>
            </w:r>
          </w:p>
        </w:tc>
        <w:tc>
          <w:tcPr>
            <w:tcW w:type="dxa" w:w="4032"/>
            <w:vAlign w:val="center"/>
          </w:tcPr>
          <w:p>
            <w:r/>
            <w:r>
              <w:rPr>
                <w:rFonts w:ascii="Aptos" w:hAnsi="Aptos"/>
                <w:b w:val="0"/>
                <w:sz w:val="17"/>
              </w:rPr>
              <w:t>Return-policy decisions and root-cause reduction.</w:t>
            </w:r>
          </w:p>
        </w:tc>
      </w:tr>
      <w:tr>
        <w:trPr>
          <w:cantSplit/>
        </w:trPr>
        <w:tc>
          <w:tcPr>
            <w:tcW w:type="dxa" w:w="2448"/>
            <w:vAlign w:val="center"/>
            <w:shd w:fill="F5F8FF"/>
          </w:tcPr>
          <w:p>
            <w:r/>
            <w:r>
              <w:rPr>
                <w:rFonts w:ascii="Aptos" w:hAnsi="Aptos"/>
                <w:b w:val="0"/>
                <w:sz w:val="17"/>
              </w:rPr>
              <w:t>seller / brand</w:t>
            </w:r>
          </w:p>
        </w:tc>
        <w:tc>
          <w:tcPr>
            <w:tcW w:type="dxa" w:w="3600"/>
            <w:vAlign w:val="center"/>
            <w:shd w:fill="F5F8FF"/>
          </w:tcPr>
          <w:p>
            <w:r/>
            <w:r>
              <w:rPr>
                <w:rFonts w:ascii="Aptos" w:hAnsi="Aptos"/>
                <w:b w:val="0"/>
                <w:sz w:val="17"/>
              </w:rPr>
              <w:t>Separates assortment economics and seller quality.</w:t>
            </w:r>
          </w:p>
        </w:tc>
        <w:tc>
          <w:tcPr>
            <w:tcW w:type="dxa" w:w="4032"/>
            <w:vAlign w:val="center"/>
            <w:shd w:fill="F5F8FF"/>
          </w:tcPr>
          <w:p>
            <w:r/>
            <w:r>
              <w:rPr>
                <w:rFonts w:ascii="Aptos" w:hAnsi="Aptos"/>
                <w:b w:val="0"/>
                <w:sz w:val="17"/>
              </w:rPr>
              <w:t>Vendor negotiations, brand strategy, seller performance.</w:t>
            </w:r>
          </w:p>
        </w:tc>
      </w:tr>
      <w:tr>
        <w:trPr>
          <w:cantSplit/>
        </w:trPr>
        <w:tc>
          <w:tcPr>
            <w:tcW w:type="dxa" w:w="2448"/>
            <w:vAlign w:val="center"/>
          </w:tcPr>
          <w:p>
            <w:r/>
            <w:r>
              <w:rPr>
                <w:rFonts w:ascii="Aptos" w:hAnsi="Aptos"/>
                <w:b w:val="0"/>
                <w:sz w:val="17"/>
              </w:rPr>
              <w:t>delivery date / SLA</w:t>
            </w:r>
          </w:p>
        </w:tc>
        <w:tc>
          <w:tcPr>
            <w:tcW w:type="dxa" w:w="3600"/>
            <w:vAlign w:val="center"/>
          </w:tcPr>
          <w:p>
            <w:r/>
            <w:r>
              <w:rPr>
                <w:rFonts w:ascii="Aptos" w:hAnsi="Aptos"/>
                <w:b w:val="0"/>
                <w:sz w:val="17"/>
              </w:rPr>
              <w:t>Measures customer experience and fulfillment quality.</w:t>
            </w:r>
          </w:p>
        </w:tc>
        <w:tc>
          <w:tcPr>
            <w:tcW w:type="dxa" w:w="4032"/>
            <w:vAlign w:val="center"/>
          </w:tcPr>
          <w:p>
            <w:r/>
            <w:r>
              <w:rPr>
                <w:rFonts w:ascii="Aptos" w:hAnsi="Aptos"/>
                <w:b w:val="0"/>
                <w:sz w:val="17"/>
              </w:rPr>
              <w:t>Delivery optimization, churn risk, service-level management.</w:t>
            </w:r>
          </w:p>
        </w:tc>
      </w:tr>
      <w:tr>
        <w:trPr>
          <w:cantSplit/>
        </w:trPr>
        <w:tc>
          <w:tcPr>
            <w:tcW w:type="dxa" w:w="2448"/>
            <w:vAlign w:val="center"/>
            <w:shd w:fill="F5F8FF"/>
          </w:tcPr>
          <w:p>
            <w:r/>
            <w:r>
              <w:rPr>
                <w:rFonts w:ascii="Aptos" w:hAnsi="Aptos"/>
                <w:b w:val="0"/>
                <w:sz w:val="17"/>
              </w:rPr>
              <w:t>rating / review</w:t>
            </w:r>
          </w:p>
        </w:tc>
        <w:tc>
          <w:tcPr>
            <w:tcW w:type="dxa" w:w="3600"/>
            <w:vAlign w:val="center"/>
            <w:shd w:fill="F5F8FF"/>
          </w:tcPr>
          <w:p>
            <w:r/>
            <w:r>
              <w:rPr>
                <w:rFonts w:ascii="Aptos" w:hAnsi="Aptos"/>
                <w:b w:val="0"/>
                <w:sz w:val="17"/>
              </w:rPr>
              <w:t>Connects commercial performance to customer experience.</w:t>
            </w:r>
          </w:p>
        </w:tc>
        <w:tc>
          <w:tcPr>
            <w:tcW w:type="dxa" w:w="4032"/>
            <w:vAlign w:val="center"/>
            <w:shd w:fill="F5F8FF"/>
          </w:tcPr>
          <w:p>
            <w:r/>
            <w:r>
              <w:rPr>
                <w:rFonts w:ascii="Aptos" w:hAnsi="Aptos"/>
                <w:b w:val="0"/>
                <w:sz w:val="17"/>
              </w:rPr>
              <w:t>Quality interventions, review-driven conversion strategy.</w:t>
            </w:r>
          </w:p>
        </w:tc>
      </w:tr>
    </w:tbl>
    <w:p>
      <w:pPr>
        <w:spacing w:after="0"/>
      </w:pPr>
    </w:p>
    <w:p>
      <w:r>
        <w:br w:type="page"/>
      </w:r>
    </w:p>
    <w:p>
      <w:pPr>
        <w:pStyle w:val="Heading1"/>
      </w:pPr>
      <w:r>
        <w:t>6. Regional Performance and Return Interpretation</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cantSplit/>
        </w:trPr>
        <w:tc>
          <w:tcPr>
            <w:tcW w:type="dxa" w:w="1440"/>
            <w:vAlign w:val="center"/>
            <w:shd w:fill="2874F0"/>
          </w:tcPr>
          <w:p>
            <w:r/>
            <w:r>
              <w:rPr>
                <w:rFonts w:ascii="Aptos" w:hAnsi="Aptos"/>
                <w:b/>
                <w:color w:val="FFFFFF"/>
                <w:sz w:val="18"/>
              </w:rPr>
              <w:t>Region</w:t>
            </w:r>
          </w:p>
        </w:tc>
        <w:tc>
          <w:tcPr>
            <w:tcW w:type="dxa" w:w="1728"/>
            <w:vAlign w:val="center"/>
            <w:shd w:fill="2874F0"/>
          </w:tcPr>
          <w:p>
            <w:r/>
            <w:r>
              <w:rPr>
                <w:rFonts w:ascii="Aptos" w:hAnsi="Aptos"/>
                <w:b/>
                <w:color w:val="FFFFFF"/>
                <w:sz w:val="18"/>
              </w:rPr>
              <w:t>Revenue</w:t>
            </w:r>
          </w:p>
        </w:tc>
        <w:tc>
          <w:tcPr>
            <w:tcW w:type="dxa" w:w="1440"/>
            <w:vAlign w:val="center"/>
            <w:shd w:fill="2874F0"/>
          </w:tcPr>
          <w:p>
            <w:r/>
            <w:r>
              <w:rPr>
                <w:rFonts w:ascii="Aptos" w:hAnsi="Aptos"/>
                <w:b/>
                <w:color w:val="FFFFFF"/>
                <w:sz w:val="18"/>
              </w:rPr>
              <w:t>Share</w:t>
            </w:r>
          </w:p>
        </w:tc>
        <w:tc>
          <w:tcPr>
            <w:tcW w:type="dxa" w:w="1440"/>
            <w:vAlign w:val="center"/>
            <w:shd w:fill="2874F0"/>
          </w:tcPr>
          <w:p>
            <w:r/>
            <w:r>
              <w:rPr>
                <w:rFonts w:ascii="Aptos" w:hAnsi="Aptos"/>
                <w:b/>
                <w:color w:val="FFFFFF"/>
                <w:sz w:val="18"/>
              </w:rPr>
              <w:t>Margin</w:t>
            </w:r>
          </w:p>
        </w:tc>
        <w:tc>
          <w:tcPr>
            <w:tcW w:type="dxa" w:w="1152"/>
            <w:vAlign w:val="center"/>
            <w:shd w:fill="2874F0"/>
          </w:tcPr>
          <w:p>
            <w:r/>
            <w:r>
              <w:rPr>
                <w:rFonts w:ascii="Aptos" w:hAnsi="Aptos"/>
                <w:b/>
                <w:color w:val="FFFFFF"/>
                <w:sz w:val="18"/>
              </w:rPr>
              <w:t>States</w:t>
            </w:r>
          </w:p>
        </w:tc>
        <w:tc>
          <w:tcPr>
            <w:tcW w:type="dxa" w:w="2160"/>
            <w:vAlign w:val="center"/>
            <w:shd w:fill="2874F0"/>
          </w:tcPr>
          <w:p>
            <w:r/>
            <w:r>
              <w:rPr>
                <w:rFonts w:ascii="Aptos" w:hAnsi="Aptos"/>
                <w:b/>
                <w:color w:val="FFFFFF"/>
                <w:sz w:val="18"/>
              </w:rPr>
              <w:t>Revenue / state</w:t>
            </w:r>
          </w:p>
        </w:tc>
      </w:tr>
      <w:tr>
        <w:trPr>
          <w:cantSplit/>
        </w:trPr>
        <w:tc>
          <w:tcPr>
            <w:tcW w:type="dxa" w:w="1440"/>
            <w:vAlign w:val="center"/>
          </w:tcPr>
          <w:p>
            <w:r/>
            <w:r>
              <w:rPr>
                <w:rFonts w:ascii="Aptos" w:hAnsi="Aptos"/>
                <w:b w:val="0"/>
                <w:sz w:val="17"/>
              </w:rPr>
              <w:t>North</w:t>
            </w:r>
          </w:p>
        </w:tc>
        <w:tc>
          <w:tcPr>
            <w:tcW w:type="dxa" w:w="1728"/>
            <w:vAlign w:val="center"/>
          </w:tcPr>
          <w:p>
            <w:r/>
            <w:r>
              <w:rPr>
                <w:rFonts w:ascii="Aptos" w:hAnsi="Aptos"/>
                <w:b w:val="0"/>
                <w:sz w:val="17"/>
              </w:rPr>
              <w:t>$7.57M</w:t>
            </w:r>
          </w:p>
        </w:tc>
        <w:tc>
          <w:tcPr>
            <w:tcW w:type="dxa" w:w="1440"/>
            <w:vAlign w:val="center"/>
          </w:tcPr>
          <w:p>
            <w:r/>
            <w:r>
              <w:rPr>
                <w:rFonts w:ascii="Aptos" w:hAnsi="Aptos"/>
                <w:b w:val="0"/>
                <w:sz w:val="17"/>
              </w:rPr>
              <w:t>25.7%</w:t>
            </w:r>
          </w:p>
        </w:tc>
        <w:tc>
          <w:tcPr>
            <w:tcW w:type="dxa" w:w="1440"/>
            <w:vAlign w:val="center"/>
          </w:tcPr>
          <w:p>
            <w:r/>
            <w:r>
              <w:rPr>
                <w:rFonts w:ascii="Aptos" w:hAnsi="Aptos"/>
                <w:b w:val="0"/>
                <w:sz w:val="17"/>
              </w:rPr>
              <w:t>22.7%</w:t>
            </w:r>
          </w:p>
        </w:tc>
        <w:tc>
          <w:tcPr>
            <w:tcW w:type="dxa" w:w="1152"/>
            <w:vAlign w:val="center"/>
          </w:tcPr>
          <w:p>
            <w:r/>
            <w:r>
              <w:rPr>
                <w:rFonts w:ascii="Aptos" w:hAnsi="Aptos"/>
                <w:b w:val="0"/>
                <w:sz w:val="17"/>
              </w:rPr>
              <w:t>5</w:t>
            </w:r>
          </w:p>
        </w:tc>
        <w:tc>
          <w:tcPr>
            <w:tcW w:type="dxa" w:w="2160"/>
            <w:vAlign w:val="center"/>
          </w:tcPr>
          <w:p>
            <w:r/>
            <w:r>
              <w:rPr>
                <w:rFonts w:ascii="Aptos" w:hAnsi="Aptos"/>
                <w:b w:val="0"/>
                <w:sz w:val="17"/>
              </w:rPr>
              <w:t>$1.51M</w:t>
            </w:r>
          </w:p>
        </w:tc>
      </w:tr>
      <w:tr>
        <w:trPr>
          <w:cantSplit/>
        </w:trPr>
        <w:tc>
          <w:tcPr>
            <w:tcW w:type="dxa" w:w="1440"/>
            <w:vAlign w:val="center"/>
            <w:shd w:fill="F5F8FF"/>
          </w:tcPr>
          <w:p>
            <w:r/>
            <w:r>
              <w:rPr>
                <w:rFonts w:ascii="Aptos" w:hAnsi="Aptos"/>
                <w:b w:val="0"/>
                <w:sz w:val="17"/>
              </w:rPr>
              <w:t>South</w:t>
            </w:r>
          </w:p>
        </w:tc>
        <w:tc>
          <w:tcPr>
            <w:tcW w:type="dxa" w:w="1728"/>
            <w:vAlign w:val="center"/>
            <w:shd w:fill="F5F8FF"/>
          </w:tcPr>
          <w:p>
            <w:r/>
            <w:r>
              <w:rPr>
                <w:rFonts w:ascii="Aptos" w:hAnsi="Aptos"/>
                <w:b w:val="0"/>
                <w:sz w:val="17"/>
              </w:rPr>
              <w:t>$7.38M</w:t>
            </w:r>
          </w:p>
        </w:tc>
        <w:tc>
          <w:tcPr>
            <w:tcW w:type="dxa" w:w="1440"/>
            <w:vAlign w:val="center"/>
            <w:shd w:fill="F5F8FF"/>
          </w:tcPr>
          <w:p>
            <w:r/>
            <w:r>
              <w:rPr>
                <w:rFonts w:ascii="Aptos" w:hAnsi="Aptos"/>
                <w:b w:val="0"/>
                <w:sz w:val="17"/>
              </w:rPr>
              <w:t>25.0%</w:t>
            </w:r>
          </w:p>
        </w:tc>
        <w:tc>
          <w:tcPr>
            <w:tcW w:type="dxa" w:w="1440"/>
            <w:vAlign w:val="center"/>
            <w:shd w:fill="F5F8FF"/>
          </w:tcPr>
          <w:p>
            <w:r/>
            <w:r>
              <w:rPr>
                <w:rFonts w:ascii="Aptos" w:hAnsi="Aptos"/>
                <w:b w:val="0"/>
                <w:sz w:val="17"/>
              </w:rPr>
              <w:t>23.0%</w:t>
            </w:r>
          </w:p>
        </w:tc>
        <w:tc>
          <w:tcPr>
            <w:tcW w:type="dxa" w:w="1152"/>
            <w:vAlign w:val="center"/>
            <w:shd w:fill="F5F8FF"/>
          </w:tcPr>
          <w:p>
            <w:r/>
            <w:r>
              <w:rPr>
                <w:rFonts w:ascii="Aptos" w:hAnsi="Aptos"/>
                <w:b w:val="0"/>
                <w:sz w:val="17"/>
              </w:rPr>
              <w:t>5</w:t>
            </w:r>
          </w:p>
        </w:tc>
        <w:tc>
          <w:tcPr>
            <w:tcW w:type="dxa" w:w="2160"/>
            <w:vAlign w:val="center"/>
            <w:shd w:fill="F5F8FF"/>
          </w:tcPr>
          <w:p>
            <w:r/>
            <w:r>
              <w:rPr>
                <w:rFonts w:ascii="Aptos" w:hAnsi="Aptos"/>
                <w:b w:val="0"/>
                <w:sz w:val="17"/>
              </w:rPr>
              <w:t>$1.48M</w:t>
            </w:r>
          </w:p>
        </w:tc>
      </w:tr>
      <w:tr>
        <w:trPr>
          <w:cantSplit/>
        </w:trPr>
        <w:tc>
          <w:tcPr>
            <w:tcW w:type="dxa" w:w="1440"/>
            <w:vAlign w:val="center"/>
          </w:tcPr>
          <w:p>
            <w:r/>
            <w:r>
              <w:rPr>
                <w:rFonts w:ascii="Aptos" w:hAnsi="Aptos"/>
                <w:b w:val="0"/>
                <w:sz w:val="17"/>
              </w:rPr>
              <w:t>East</w:t>
            </w:r>
          </w:p>
        </w:tc>
        <w:tc>
          <w:tcPr>
            <w:tcW w:type="dxa" w:w="1728"/>
            <w:vAlign w:val="center"/>
          </w:tcPr>
          <w:p>
            <w:r/>
            <w:r>
              <w:rPr>
                <w:rFonts w:ascii="Aptos" w:hAnsi="Aptos"/>
                <w:b w:val="0"/>
                <w:sz w:val="17"/>
              </w:rPr>
              <w:t>$7.35M</w:t>
            </w:r>
          </w:p>
        </w:tc>
        <w:tc>
          <w:tcPr>
            <w:tcW w:type="dxa" w:w="1440"/>
            <w:vAlign w:val="center"/>
          </w:tcPr>
          <w:p>
            <w:r/>
            <w:r>
              <w:rPr>
                <w:rFonts w:ascii="Aptos" w:hAnsi="Aptos"/>
                <w:b w:val="0"/>
                <w:sz w:val="17"/>
              </w:rPr>
              <w:t>24.9%</w:t>
            </w:r>
          </w:p>
        </w:tc>
        <w:tc>
          <w:tcPr>
            <w:tcW w:type="dxa" w:w="1440"/>
            <w:vAlign w:val="center"/>
          </w:tcPr>
          <w:p>
            <w:r/>
            <w:r>
              <w:rPr>
                <w:rFonts w:ascii="Aptos" w:hAnsi="Aptos"/>
                <w:b w:val="0"/>
                <w:sz w:val="17"/>
              </w:rPr>
              <w:t>23.1%</w:t>
            </w:r>
          </w:p>
        </w:tc>
        <w:tc>
          <w:tcPr>
            <w:tcW w:type="dxa" w:w="1152"/>
            <w:vAlign w:val="center"/>
          </w:tcPr>
          <w:p>
            <w:r/>
            <w:r>
              <w:rPr>
                <w:rFonts w:ascii="Aptos" w:hAnsi="Aptos"/>
                <w:b w:val="0"/>
                <w:sz w:val="17"/>
              </w:rPr>
              <w:t>5</w:t>
            </w:r>
          </w:p>
        </w:tc>
        <w:tc>
          <w:tcPr>
            <w:tcW w:type="dxa" w:w="2160"/>
            <w:vAlign w:val="center"/>
          </w:tcPr>
          <w:p>
            <w:r/>
            <w:r>
              <w:rPr>
                <w:rFonts w:ascii="Aptos" w:hAnsi="Aptos"/>
                <w:b w:val="0"/>
                <w:sz w:val="17"/>
              </w:rPr>
              <w:t>$1.47M</w:t>
            </w:r>
          </w:p>
        </w:tc>
      </w:tr>
      <w:tr>
        <w:trPr>
          <w:cantSplit/>
        </w:trPr>
        <w:tc>
          <w:tcPr>
            <w:tcW w:type="dxa" w:w="1440"/>
            <w:vAlign w:val="center"/>
            <w:shd w:fill="F5F8FF"/>
          </w:tcPr>
          <w:p>
            <w:r/>
            <w:r>
              <w:rPr>
                <w:rFonts w:ascii="Aptos" w:hAnsi="Aptos"/>
                <w:b w:val="0"/>
                <w:sz w:val="17"/>
              </w:rPr>
              <w:t>West</w:t>
            </w:r>
          </w:p>
        </w:tc>
        <w:tc>
          <w:tcPr>
            <w:tcW w:type="dxa" w:w="1728"/>
            <w:vAlign w:val="center"/>
            <w:shd w:fill="F5F8FF"/>
          </w:tcPr>
          <w:p>
            <w:r/>
            <w:r>
              <w:rPr>
                <w:rFonts w:ascii="Aptos" w:hAnsi="Aptos"/>
                <w:b w:val="0"/>
                <w:sz w:val="17"/>
              </w:rPr>
              <w:t>$5.78M</w:t>
            </w:r>
          </w:p>
        </w:tc>
        <w:tc>
          <w:tcPr>
            <w:tcW w:type="dxa" w:w="1440"/>
            <w:vAlign w:val="center"/>
            <w:shd w:fill="F5F8FF"/>
          </w:tcPr>
          <w:p>
            <w:r/>
            <w:r>
              <w:rPr>
                <w:rFonts w:ascii="Aptos" w:hAnsi="Aptos"/>
                <w:b w:val="0"/>
                <w:sz w:val="17"/>
              </w:rPr>
              <w:t>19.6%</w:t>
            </w:r>
          </w:p>
        </w:tc>
        <w:tc>
          <w:tcPr>
            <w:tcW w:type="dxa" w:w="1440"/>
            <w:vAlign w:val="center"/>
            <w:shd w:fill="F5F8FF"/>
          </w:tcPr>
          <w:p>
            <w:r/>
            <w:r>
              <w:rPr>
                <w:rFonts w:ascii="Aptos" w:hAnsi="Aptos"/>
                <w:b w:val="0"/>
                <w:sz w:val="17"/>
              </w:rPr>
              <w:t>23.0%</w:t>
            </w:r>
          </w:p>
        </w:tc>
        <w:tc>
          <w:tcPr>
            <w:tcW w:type="dxa" w:w="1152"/>
            <w:vAlign w:val="center"/>
            <w:shd w:fill="F5F8FF"/>
          </w:tcPr>
          <w:p>
            <w:r/>
            <w:r>
              <w:rPr>
                <w:rFonts w:ascii="Aptos" w:hAnsi="Aptos"/>
                <w:b w:val="0"/>
                <w:sz w:val="17"/>
              </w:rPr>
              <w:t>4</w:t>
            </w:r>
          </w:p>
        </w:tc>
        <w:tc>
          <w:tcPr>
            <w:tcW w:type="dxa" w:w="2160"/>
            <w:vAlign w:val="center"/>
            <w:shd w:fill="F5F8FF"/>
          </w:tcPr>
          <w:p>
            <w:r/>
            <w:r>
              <w:rPr>
                <w:rFonts w:ascii="Aptos" w:hAnsi="Aptos"/>
                <w:b w:val="0"/>
                <w:sz w:val="17"/>
              </w:rPr>
              <w:t>$1.44M</w:t>
            </w:r>
          </w:p>
        </w:tc>
      </w:tr>
      <w:tr>
        <w:trPr>
          <w:cantSplit/>
        </w:trPr>
        <w:tc>
          <w:tcPr>
            <w:tcW w:type="dxa" w:w="1440"/>
            <w:vAlign w:val="center"/>
          </w:tcPr>
          <w:p>
            <w:r/>
            <w:r>
              <w:rPr>
                <w:rFonts w:ascii="Aptos" w:hAnsi="Aptos"/>
                <w:b w:val="0"/>
                <w:sz w:val="17"/>
              </w:rPr>
              <w:t>Central</w:t>
            </w:r>
          </w:p>
        </w:tc>
        <w:tc>
          <w:tcPr>
            <w:tcW w:type="dxa" w:w="1728"/>
            <w:vAlign w:val="center"/>
          </w:tcPr>
          <w:p>
            <w:r/>
            <w:r>
              <w:rPr>
                <w:rFonts w:ascii="Aptos" w:hAnsi="Aptos"/>
                <w:b w:val="0"/>
                <w:sz w:val="17"/>
              </w:rPr>
              <w:t>$1.42M</w:t>
            </w:r>
          </w:p>
        </w:tc>
        <w:tc>
          <w:tcPr>
            <w:tcW w:type="dxa" w:w="1440"/>
            <w:vAlign w:val="center"/>
          </w:tcPr>
          <w:p>
            <w:r/>
            <w:r>
              <w:rPr>
                <w:rFonts w:ascii="Aptos" w:hAnsi="Aptos"/>
                <w:b w:val="0"/>
                <w:sz w:val="17"/>
              </w:rPr>
              <w:t>4.8%</w:t>
            </w:r>
          </w:p>
        </w:tc>
        <w:tc>
          <w:tcPr>
            <w:tcW w:type="dxa" w:w="1440"/>
            <w:vAlign w:val="center"/>
          </w:tcPr>
          <w:p>
            <w:r/>
            <w:r>
              <w:rPr>
                <w:rFonts w:ascii="Aptos" w:hAnsi="Aptos"/>
                <w:b w:val="0"/>
                <w:sz w:val="17"/>
              </w:rPr>
              <w:t>22.3%</w:t>
            </w:r>
          </w:p>
        </w:tc>
        <w:tc>
          <w:tcPr>
            <w:tcW w:type="dxa" w:w="1152"/>
            <w:vAlign w:val="center"/>
          </w:tcPr>
          <w:p>
            <w:r/>
            <w:r>
              <w:rPr>
                <w:rFonts w:ascii="Aptos" w:hAnsi="Aptos"/>
                <w:b w:val="0"/>
                <w:sz w:val="17"/>
              </w:rPr>
              <w:t>1</w:t>
            </w:r>
          </w:p>
        </w:tc>
        <w:tc>
          <w:tcPr>
            <w:tcW w:type="dxa" w:w="2160"/>
            <w:vAlign w:val="center"/>
          </w:tcPr>
          <w:p>
            <w:r/>
            <w:r>
              <w:rPr>
                <w:rFonts w:ascii="Aptos" w:hAnsi="Aptos"/>
                <w:b w:val="0"/>
                <w:sz w:val="17"/>
              </w:rPr>
              <w:t>$1.42M</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EAF2FF"/>
          </w:tcPr>
          <w:p>
            <w:pPr>
              <w:pStyle w:val="Callout"/>
            </w:pPr>
            <w:r>
              <w:rPr>
                <w:b/>
                <w:color w:val="2874F0"/>
              </w:rPr>
              <w:t xml:space="preserve">Senior-analyst interpretation: </w:t>
            </w:r>
            <w:r>
              <w:t>Central contributes only 4.8% of total revenue, but it contains only one state in this synthetic geography. Revenue per state is broadly comparable with other regions. Therefore, Central should not be labeled an underperforming region solely from total revenue.</w:t>
            </w:r>
          </w:p>
        </w:tc>
      </w:tr>
    </w:tbl>
    <w:p>
      <w:pPr>
        <w:spacing w:after="0"/>
      </w:pPr>
    </w:p>
    <w:p>
      <w:pPr>
        <w:pStyle w:val="Heading2"/>
      </w:pPr>
      <w:r>
        <w:t>Returns</w:t>
      </w:r>
    </w:p>
    <w:p>
      <w:r>
        <w:t>There are only 15 return-flagged transactions (0.06% of orders). Because the return flag is derived from negative quantity and there is no explicit return status, reason, or refund lifecycle, this signal is insufficient for strong operational recommendations.</w:t>
      </w:r>
    </w:p>
    <w:p>
      <w:pPr>
        <w:pStyle w:val="ListBullet"/>
        <w:spacing w:after="60"/>
      </w:pPr>
      <w:r>
        <w:rPr>
          <w:b/>
        </w:rPr>
        <w:t xml:space="preserve">Do not set return-policy targets from this dataset alone. </w:t>
      </w:r>
      <w:r>
        <w:t>The event definition is too weak.</w:t>
      </w:r>
    </w:p>
    <w:p>
      <w:pPr>
        <w:pStyle w:val="ListBullet"/>
        <w:spacing w:after="60"/>
      </w:pPr>
      <w:r>
        <w:rPr>
          <w:b/>
        </w:rPr>
        <w:t xml:space="preserve">Add return reason and refund fields. </w:t>
      </w:r>
      <w:r>
        <w:t>Separate damaged, wrong item, quality, buyer remorse, delivery issue, and fraud/abuse cases.</w:t>
      </w:r>
    </w:p>
    <w:p>
      <w:pPr>
        <w:pStyle w:val="ListBullet"/>
        <w:spacing w:after="60"/>
      </w:pPr>
      <w:r>
        <w:rPr>
          <w:b/>
        </w:rPr>
        <w:t xml:space="preserve">Measure return rate by product after instrumentation. </w:t>
      </w:r>
      <w:r>
        <w:t>Use return rate, not only return count, and adjust for sales volume.</w:t>
      </w:r>
    </w:p>
    <w:p>
      <w:r>
        <w:br w:type="page"/>
      </w:r>
    </w:p>
    <w:p>
      <w:pPr>
        <w:pStyle w:val="Heading1"/>
      </w:pPr>
      <w:r>
        <w:t>7. Decision-Risk Assessment — Data Quality and Model Limitations</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304"/>
            <w:vAlign w:val="center"/>
            <w:shd w:fill="2874F0"/>
          </w:tcPr>
          <w:p>
            <w:r/>
            <w:r>
              <w:rPr>
                <w:rFonts w:ascii="Aptos" w:hAnsi="Aptos"/>
                <w:b/>
                <w:color w:val="FFFFFF"/>
                <w:sz w:val="18"/>
              </w:rPr>
              <w:t>Issue</w:t>
            </w:r>
          </w:p>
        </w:tc>
        <w:tc>
          <w:tcPr>
            <w:tcW w:type="dxa" w:w="2160"/>
            <w:vAlign w:val="center"/>
            <w:shd w:fill="2874F0"/>
          </w:tcPr>
          <w:p>
            <w:r/>
            <w:r>
              <w:rPr>
                <w:rFonts w:ascii="Aptos" w:hAnsi="Aptos"/>
                <w:b/>
                <w:color w:val="FFFFFF"/>
                <w:sz w:val="18"/>
              </w:rPr>
              <w:t>Observed count / condition</w:t>
            </w:r>
          </w:p>
        </w:tc>
        <w:tc>
          <w:tcPr>
            <w:tcW w:type="dxa" w:w="3600"/>
            <w:vAlign w:val="center"/>
            <w:shd w:fill="2874F0"/>
          </w:tcPr>
          <w:p>
            <w:r/>
            <w:r>
              <w:rPr>
                <w:rFonts w:ascii="Aptos" w:hAnsi="Aptos"/>
                <w:b/>
                <w:color w:val="FFFFFF"/>
                <w:sz w:val="18"/>
              </w:rPr>
              <w:t>Decision risk</w:t>
            </w:r>
          </w:p>
        </w:tc>
        <w:tc>
          <w:tcPr>
            <w:tcW w:type="dxa" w:w="3744"/>
            <w:vAlign w:val="center"/>
            <w:shd w:fill="2874F0"/>
          </w:tcPr>
          <w:p>
            <w:r/>
            <w:r>
              <w:rPr>
                <w:rFonts w:ascii="Aptos" w:hAnsi="Aptos"/>
                <w:b/>
                <w:color w:val="FFFFFF"/>
                <w:sz w:val="18"/>
              </w:rPr>
              <w:t>Required control</w:t>
            </w:r>
          </w:p>
        </w:tc>
      </w:tr>
      <w:tr>
        <w:trPr>
          <w:cantSplit/>
        </w:trPr>
        <w:tc>
          <w:tcPr>
            <w:tcW w:type="dxa" w:w="2304"/>
            <w:vAlign w:val="center"/>
          </w:tcPr>
          <w:p>
            <w:r/>
            <w:r>
              <w:rPr>
                <w:rFonts w:ascii="Aptos" w:hAnsi="Aptos"/>
                <w:b w:val="0"/>
                <w:sz w:val="17"/>
              </w:rPr>
              <w:t>Invalid order dates</w:t>
            </w:r>
          </w:p>
        </w:tc>
        <w:tc>
          <w:tcPr>
            <w:tcW w:type="dxa" w:w="2160"/>
            <w:vAlign w:val="center"/>
          </w:tcPr>
          <w:p>
            <w:r/>
            <w:r>
              <w:rPr>
                <w:rFonts w:ascii="Aptos" w:hAnsi="Aptos"/>
                <w:b w:val="0"/>
                <w:sz w:val="17"/>
              </w:rPr>
              <w:t>10</w:t>
            </w:r>
          </w:p>
        </w:tc>
        <w:tc>
          <w:tcPr>
            <w:tcW w:type="dxa" w:w="3600"/>
            <w:vAlign w:val="center"/>
          </w:tcPr>
          <w:p>
            <w:r/>
            <w:r>
              <w:rPr>
                <w:rFonts w:ascii="Aptos" w:hAnsi="Aptos"/>
                <w:b w:val="0"/>
                <w:sz w:val="17"/>
              </w:rPr>
              <w:t>Time-series metrics can be distorted if invalid dates are included.</w:t>
            </w:r>
          </w:p>
        </w:tc>
        <w:tc>
          <w:tcPr>
            <w:tcW w:type="dxa" w:w="3744"/>
            <w:vAlign w:val="center"/>
          </w:tcPr>
          <w:p>
            <w:r/>
            <w:r>
              <w:rPr>
                <w:rFonts w:ascii="Aptos" w:hAnsi="Aptos"/>
                <w:b w:val="0"/>
                <w:sz w:val="17"/>
              </w:rPr>
              <w:t>Exclude invalid dates from time metrics and track exception count.</w:t>
            </w:r>
          </w:p>
        </w:tc>
      </w:tr>
      <w:tr>
        <w:trPr>
          <w:cantSplit/>
        </w:trPr>
        <w:tc>
          <w:tcPr>
            <w:tcW w:type="dxa" w:w="2304"/>
            <w:vAlign w:val="center"/>
            <w:shd w:fill="F5F8FF"/>
          </w:tcPr>
          <w:p>
            <w:r/>
            <w:r>
              <w:rPr>
                <w:rFonts w:ascii="Aptos" w:hAnsi="Aptos"/>
                <w:b w:val="0"/>
                <w:sz w:val="17"/>
              </w:rPr>
              <w:t>Missing customer IDs</w:t>
            </w:r>
          </w:p>
        </w:tc>
        <w:tc>
          <w:tcPr>
            <w:tcW w:type="dxa" w:w="2160"/>
            <w:vAlign w:val="center"/>
            <w:shd w:fill="F5F8FF"/>
          </w:tcPr>
          <w:p>
            <w:r/>
            <w:r>
              <w:rPr>
                <w:rFonts w:ascii="Aptos" w:hAnsi="Aptos"/>
                <w:b w:val="0"/>
                <w:sz w:val="17"/>
              </w:rPr>
              <w:t>60</w:t>
            </w:r>
          </w:p>
        </w:tc>
        <w:tc>
          <w:tcPr>
            <w:tcW w:type="dxa" w:w="3600"/>
            <w:vAlign w:val="center"/>
            <w:shd w:fill="F5F8FF"/>
          </w:tcPr>
          <w:p>
            <w:r/>
            <w:r>
              <w:rPr>
                <w:rFonts w:ascii="Aptos" w:hAnsi="Aptos"/>
                <w:b w:val="0"/>
                <w:sz w:val="17"/>
              </w:rPr>
              <w:t>Customer-level revenue attribution is incomplete.</w:t>
            </w:r>
          </w:p>
        </w:tc>
        <w:tc>
          <w:tcPr>
            <w:tcW w:type="dxa" w:w="3744"/>
            <w:vAlign w:val="center"/>
            <w:shd w:fill="F5F8FF"/>
          </w:tcPr>
          <w:p>
            <w:r/>
            <w:r>
              <w:rPr>
                <w:rFonts w:ascii="Aptos" w:hAnsi="Aptos"/>
                <w:b w:val="0"/>
                <w:sz w:val="17"/>
              </w:rPr>
              <w:t>Use Unknown Customer bucket or remediate upstream capture.</w:t>
            </w:r>
          </w:p>
        </w:tc>
      </w:tr>
      <w:tr>
        <w:trPr>
          <w:cantSplit/>
        </w:trPr>
        <w:tc>
          <w:tcPr>
            <w:tcW w:type="dxa" w:w="2304"/>
            <w:vAlign w:val="center"/>
          </w:tcPr>
          <w:p>
            <w:r/>
            <w:r>
              <w:rPr>
                <w:rFonts w:ascii="Aptos" w:hAnsi="Aptos"/>
                <w:b w:val="0"/>
                <w:sz w:val="17"/>
              </w:rPr>
              <w:t>Missing product IDs</w:t>
            </w:r>
          </w:p>
        </w:tc>
        <w:tc>
          <w:tcPr>
            <w:tcW w:type="dxa" w:w="2160"/>
            <w:vAlign w:val="center"/>
          </w:tcPr>
          <w:p>
            <w:r/>
            <w:r>
              <w:rPr>
                <w:rFonts w:ascii="Aptos" w:hAnsi="Aptos"/>
                <w:b w:val="0"/>
                <w:sz w:val="17"/>
              </w:rPr>
              <w:t>35</w:t>
            </w:r>
          </w:p>
        </w:tc>
        <w:tc>
          <w:tcPr>
            <w:tcW w:type="dxa" w:w="3600"/>
            <w:vAlign w:val="center"/>
          </w:tcPr>
          <w:p>
            <w:r/>
            <w:r>
              <w:rPr>
                <w:rFonts w:ascii="Aptos" w:hAnsi="Aptos"/>
                <w:b w:val="0"/>
                <w:sz w:val="17"/>
              </w:rPr>
              <w:t>Product/category analysis misses a small share of transactions.</w:t>
            </w:r>
          </w:p>
        </w:tc>
        <w:tc>
          <w:tcPr>
            <w:tcW w:type="dxa" w:w="3744"/>
            <w:vAlign w:val="center"/>
          </w:tcPr>
          <w:p>
            <w:r/>
            <w:r>
              <w:rPr>
                <w:rFonts w:ascii="Aptos" w:hAnsi="Aptos"/>
                <w:b w:val="0"/>
                <w:sz w:val="17"/>
              </w:rPr>
              <w:t>Use Unknown Product bucket; investigate source system.</w:t>
            </w:r>
          </w:p>
        </w:tc>
      </w:tr>
      <w:tr>
        <w:trPr>
          <w:cantSplit/>
        </w:trPr>
        <w:tc>
          <w:tcPr>
            <w:tcW w:type="dxa" w:w="2304"/>
            <w:vAlign w:val="center"/>
            <w:shd w:fill="F5F8FF"/>
          </w:tcPr>
          <w:p>
            <w:r/>
            <w:r>
              <w:rPr>
                <w:rFonts w:ascii="Aptos" w:hAnsi="Aptos"/>
                <w:b w:val="0"/>
                <w:sz w:val="17"/>
              </w:rPr>
              <w:t>Category/sub-category anomalies</w:t>
            </w:r>
          </w:p>
        </w:tc>
        <w:tc>
          <w:tcPr>
            <w:tcW w:type="dxa" w:w="2160"/>
            <w:vAlign w:val="center"/>
            <w:shd w:fill="F5F8FF"/>
          </w:tcPr>
          <w:p>
            <w:r/>
            <w:r>
              <w:rPr>
                <w:rFonts w:ascii="Aptos" w:hAnsi="Aptos"/>
                <w:b w:val="0"/>
                <w:sz w:val="17"/>
              </w:rPr>
              <w:t>12 product rows flagged</w:t>
            </w:r>
          </w:p>
        </w:tc>
        <w:tc>
          <w:tcPr>
            <w:tcW w:type="dxa" w:w="3600"/>
            <w:vAlign w:val="center"/>
            <w:shd w:fill="F5F8FF"/>
          </w:tcPr>
          <w:p>
            <w:r/>
            <w:r>
              <w:rPr>
                <w:rFonts w:ascii="Aptos" w:hAnsi="Aptos"/>
                <w:b w:val="0"/>
                <w:sz w:val="17"/>
              </w:rPr>
              <w:t>Product hierarchy comparisons may be inconsistent.</w:t>
            </w:r>
          </w:p>
        </w:tc>
        <w:tc>
          <w:tcPr>
            <w:tcW w:type="dxa" w:w="3744"/>
            <w:vAlign w:val="center"/>
            <w:shd w:fill="F5F8FF"/>
          </w:tcPr>
          <w:p>
            <w:r/>
            <w:r>
              <w:rPr>
                <w:rFonts w:ascii="Aptos" w:hAnsi="Aptos"/>
                <w:b w:val="0"/>
                <w:sz w:val="17"/>
              </w:rPr>
              <w:t>Define governed product taxonomy and stewardship process.</w:t>
            </w:r>
          </w:p>
        </w:tc>
      </w:tr>
      <w:tr>
        <w:trPr>
          <w:cantSplit/>
        </w:trPr>
        <w:tc>
          <w:tcPr>
            <w:tcW w:type="dxa" w:w="2304"/>
            <w:vAlign w:val="center"/>
          </w:tcPr>
          <w:p>
            <w:r/>
            <w:r>
              <w:rPr>
                <w:rFonts w:ascii="Aptos" w:hAnsi="Aptos"/>
                <w:b w:val="0"/>
                <w:sz w:val="17"/>
              </w:rPr>
              <w:t>Signup chronology conflicts</w:t>
            </w:r>
          </w:p>
        </w:tc>
        <w:tc>
          <w:tcPr>
            <w:tcW w:type="dxa" w:w="2160"/>
            <w:vAlign w:val="center"/>
          </w:tcPr>
          <w:p>
            <w:r/>
            <w:r>
              <w:rPr>
                <w:rFonts w:ascii="Aptos" w:hAnsi="Aptos"/>
                <w:b w:val="0"/>
                <w:sz w:val="17"/>
              </w:rPr>
              <w:t>Many orders predate recorded signup_date</w:t>
            </w:r>
          </w:p>
        </w:tc>
        <w:tc>
          <w:tcPr>
            <w:tcW w:type="dxa" w:w="3600"/>
            <w:vAlign w:val="center"/>
          </w:tcPr>
          <w:p>
            <w:r/>
            <w:r>
              <w:rPr>
                <w:rFonts w:ascii="Aptos" w:hAnsi="Aptos"/>
                <w:b w:val="0"/>
                <w:sz w:val="17"/>
              </w:rPr>
              <w:t>Acquisition/cohort conclusions may be misleading.</w:t>
            </w:r>
          </w:p>
        </w:tc>
        <w:tc>
          <w:tcPr>
            <w:tcW w:type="dxa" w:w="3744"/>
            <w:vAlign w:val="center"/>
          </w:tcPr>
          <w:p>
            <w:r/>
            <w:r>
              <w:rPr>
                <w:rFonts w:ascii="Aptos" w:hAnsi="Aptos"/>
                <w:b w:val="0"/>
                <w:sz w:val="17"/>
              </w:rPr>
              <w:t>Clarify business meaning of signup_date before cohort use.</w:t>
            </w:r>
          </w:p>
        </w:tc>
      </w:tr>
      <w:tr>
        <w:trPr>
          <w:cantSplit/>
        </w:trPr>
        <w:tc>
          <w:tcPr>
            <w:tcW w:type="dxa" w:w="2304"/>
            <w:vAlign w:val="center"/>
            <w:shd w:fill="F5F8FF"/>
          </w:tcPr>
          <w:p>
            <w:r/>
            <w:r>
              <w:rPr>
                <w:rFonts w:ascii="Aptos" w:hAnsi="Aptos"/>
                <w:b w:val="0"/>
                <w:sz w:val="17"/>
              </w:rPr>
              <w:t>All customers are repeat in full period</w:t>
            </w:r>
          </w:p>
        </w:tc>
        <w:tc>
          <w:tcPr>
            <w:tcW w:type="dxa" w:w="2160"/>
            <w:vAlign w:val="center"/>
            <w:shd w:fill="F5F8FF"/>
          </w:tcPr>
          <w:p>
            <w:r/>
            <w:r>
              <w:rPr>
                <w:rFonts w:ascii="Aptos" w:hAnsi="Aptos"/>
                <w:b w:val="0"/>
                <w:sz w:val="17"/>
              </w:rPr>
              <w:t>100% repeat rate</w:t>
            </w:r>
          </w:p>
        </w:tc>
        <w:tc>
          <w:tcPr>
            <w:tcW w:type="dxa" w:w="3600"/>
            <w:vAlign w:val="center"/>
            <w:shd w:fill="F5F8FF"/>
          </w:tcPr>
          <w:p>
            <w:r/>
            <w:r>
              <w:rPr>
                <w:rFonts w:ascii="Aptos" w:hAnsi="Aptos"/>
                <w:b w:val="0"/>
                <w:sz w:val="17"/>
              </w:rPr>
              <w:t>One-time vs repeat segmentation is not useful for this dataset.</w:t>
            </w:r>
          </w:p>
        </w:tc>
        <w:tc>
          <w:tcPr>
            <w:tcW w:type="dxa" w:w="3744"/>
            <w:vAlign w:val="center"/>
            <w:shd w:fill="F5F8FF"/>
          </w:tcPr>
          <w:p>
            <w:r/>
            <w:r>
              <w:rPr>
                <w:rFonts w:ascii="Aptos" w:hAnsi="Aptos"/>
                <w:b w:val="0"/>
                <w:sz w:val="17"/>
              </w:rPr>
              <w:t>Use rolling-window definitions and add first-order / acquisition context.</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EAF2FF"/>
          </w:tcPr>
          <w:p>
            <w:pPr>
              <w:pStyle w:val="Callout"/>
            </w:pPr>
            <w:r>
              <w:rPr>
                <w:b/>
                <w:color w:val="2874F0"/>
              </w:rPr>
              <w:t xml:space="preserve">Decision rule: </w:t>
            </w:r>
            <w:r>
              <w:t>No strategic KPI should be used in management reporting unless its business definition, source field, exception handling, and ownership are documented.</w:t>
            </w:r>
          </w:p>
        </w:tc>
      </w:tr>
    </w:tbl>
    <w:p>
      <w:pPr>
        <w:spacing w:after="0"/>
      </w:pPr>
    </w:p>
    <w:p>
      <w:pPr>
        <w:pStyle w:val="Heading2"/>
      </w:pPr>
      <w:r>
        <w:t>Recommended analytical governance</w:t>
      </w:r>
    </w:p>
    <w:p>
      <w:pPr>
        <w:pStyle w:val="ListBullet"/>
        <w:spacing w:after="60"/>
      </w:pPr>
      <w:r>
        <w:rPr>
          <w:b/>
        </w:rPr>
        <w:t xml:space="preserve">Metric dictionary. </w:t>
      </w:r>
      <w:r>
        <w:t>Define Revenue, Net Revenue, Profit, Margin, AOV, Return Rate, Discounted Order Rate, Loss-Order Rate, Active Customer, and Repeat Customer.</w:t>
      </w:r>
    </w:p>
    <w:p>
      <w:pPr>
        <w:pStyle w:val="ListBullet"/>
        <w:spacing w:after="60"/>
      </w:pPr>
      <w:r>
        <w:rPr>
          <w:b/>
        </w:rPr>
        <w:t xml:space="preserve">Data quality scorecard. </w:t>
      </w:r>
      <w:r>
        <w:t>Track missing keys, invalid dates, taxonomy anomalies, and unknown dimension attribution every refresh.</w:t>
      </w:r>
    </w:p>
    <w:p>
      <w:pPr>
        <w:pStyle w:val="ListBullet"/>
        <w:spacing w:after="60"/>
      </w:pPr>
      <w:r>
        <w:rPr>
          <w:b/>
        </w:rPr>
        <w:t xml:space="preserve">Dimension stewardship. </w:t>
      </w:r>
      <w:r>
        <w:t>Assign ownership for product hierarchy and regional master data.</w:t>
      </w:r>
    </w:p>
    <w:p>
      <w:pPr>
        <w:pStyle w:val="ListBullet"/>
        <w:spacing w:after="60"/>
      </w:pPr>
      <w:r>
        <w:rPr>
          <w:b/>
        </w:rPr>
        <w:t xml:space="preserve">Decision traceability. </w:t>
      </w:r>
      <w:r>
        <w:t>Record which dashboard metric drove each commercial action and evaluate the result later.</w:t>
      </w:r>
    </w:p>
    <w:p>
      <w:r>
        <w:br w:type="page"/>
      </w:r>
    </w:p>
    <w:p>
      <w:pPr>
        <w:pStyle w:val="Heading1"/>
      </w:pPr>
      <w:r>
        <w:t>8. Business Recommendation Portfolio</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cantSplit/>
        </w:trPr>
        <w:tc>
          <w:tcPr>
            <w:tcW w:type="dxa" w:w="1008"/>
            <w:vAlign w:val="center"/>
            <w:shd w:fill="2874F0"/>
          </w:tcPr>
          <w:p>
            <w:r/>
            <w:r>
              <w:rPr>
                <w:rFonts w:ascii="Aptos" w:hAnsi="Aptos"/>
                <w:b/>
                <w:color w:val="FFFFFF"/>
                <w:sz w:val="18"/>
              </w:rPr>
              <w:t>Priority</w:t>
            </w:r>
          </w:p>
        </w:tc>
        <w:tc>
          <w:tcPr>
            <w:tcW w:type="dxa" w:w="2592"/>
            <w:vAlign w:val="center"/>
            <w:shd w:fill="2874F0"/>
          </w:tcPr>
          <w:p>
            <w:r/>
            <w:r>
              <w:rPr>
                <w:rFonts w:ascii="Aptos" w:hAnsi="Aptos"/>
                <w:b/>
                <w:color w:val="FFFFFF"/>
                <w:sz w:val="18"/>
              </w:rPr>
              <w:t>Recommendation</w:t>
            </w:r>
          </w:p>
        </w:tc>
        <w:tc>
          <w:tcPr>
            <w:tcW w:type="dxa" w:w="3888"/>
            <w:vAlign w:val="center"/>
            <w:shd w:fill="2874F0"/>
          </w:tcPr>
          <w:p>
            <w:r/>
            <w:r>
              <w:rPr>
                <w:rFonts w:ascii="Aptos" w:hAnsi="Aptos"/>
                <w:b/>
                <w:color w:val="FFFFFF"/>
                <w:sz w:val="18"/>
              </w:rPr>
              <w:t>Business rationale</w:t>
            </w:r>
          </w:p>
        </w:tc>
        <w:tc>
          <w:tcPr>
            <w:tcW w:type="dxa" w:w="2304"/>
            <w:vAlign w:val="center"/>
            <w:shd w:fill="2874F0"/>
          </w:tcPr>
          <w:p>
            <w:r/>
            <w:r>
              <w:rPr>
                <w:rFonts w:ascii="Aptos" w:hAnsi="Aptos"/>
                <w:b/>
                <w:color w:val="FFFFFF"/>
                <w:sz w:val="18"/>
              </w:rPr>
              <w:t>Primary KPI</w:t>
            </w:r>
          </w:p>
        </w:tc>
        <w:tc>
          <w:tcPr>
            <w:tcW w:type="dxa" w:w="1728"/>
            <w:vAlign w:val="center"/>
            <w:shd w:fill="2874F0"/>
          </w:tcPr>
          <w:p>
            <w:r/>
            <w:r>
              <w:rPr>
                <w:rFonts w:ascii="Aptos" w:hAnsi="Aptos"/>
                <w:b/>
                <w:color w:val="FFFFFF"/>
                <w:sz w:val="18"/>
              </w:rPr>
              <w:t>Illustrative horizon</w:t>
            </w:r>
          </w:p>
        </w:tc>
      </w:tr>
      <w:tr>
        <w:trPr>
          <w:cantSplit/>
        </w:trPr>
        <w:tc>
          <w:tcPr>
            <w:tcW w:type="dxa" w:w="1008"/>
            <w:vAlign w:val="center"/>
          </w:tcPr>
          <w:p>
            <w:r/>
            <w:r>
              <w:rPr>
                <w:rFonts w:ascii="Aptos" w:hAnsi="Aptos"/>
                <w:b w:val="0"/>
                <w:sz w:val="17"/>
              </w:rPr>
              <w:t>P0</w:t>
            </w:r>
          </w:p>
        </w:tc>
        <w:tc>
          <w:tcPr>
            <w:tcW w:type="dxa" w:w="2592"/>
            <w:vAlign w:val="center"/>
          </w:tcPr>
          <w:p>
            <w:r/>
            <w:r>
              <w:rPr>
                <w:rFonts w:ascii="Aptos" w:hAnsi="Aptos"/>
                <w:b w:val="0"/>
                <w:sz w:val="17"/>
              </w:rPr>
              <w:t>Discount governance &amp; margin floors</w:t>
            </w:r>
          </w:p>
        </w:tc>
        <w:tc>
          <w:tcPr>
            <w:tcW w:type="dxa" w:w="3888"/>
            <w:vAlign w:val="center"/>
          </w:tcPr>
          <w:p>
            <w:r/>
            <w:r>
              <w:rPr>
                <w:rFonts w:ascii="Aptos" w:hAnsi="Aptos"/>
                <w:b w:val="0"/>
                <w:sz w:val="17"/>
              </w:rPr>
              <w:t>Deep discounts correlate with much lower margin and high loss-order rates.</w:t>
            </w:r>
          </w:p>
        </w:tc>
        <w:tc>
          <w:tcPr>
            <w:tcW w:type="dxa" w:w="2304"/>
            <w:vAlign w:val="center"/>
          </w:tcPr>
          <w:p>
            <w:r/>
            <w:r>
              <w:rPr>
                <w:rFonts w:ascii="Aptos" w:hAnsi="Aptos"/>
                <w:b w:val="0"/>
                <w:sz w:val="17"/>
              </w:rPr>
              <w:t>Profit margin; loss-order rate; promo ROI</w:t>
            </w:r>
          </w:p>
        </w:tc>
        <w:tc>
          <w:tcPr>
            <w:tcW w:type="dxa" w:w="1728"/>
            <w:vAlign w:val="center"/>
          </w:tcPr>
          <w:p>
            <w:r/>
            <w:r>
              <w:rPr>
                <w:rFonts w:ascii="Aptos" w:hAnsi="Aptos"/>
                <w:b w:val="0"/>
                <w:sz w:val="17"/>
              </w:rPr>
              <w:t>0–30 days</w:t>
            </w:r>
          </w:p>
        </w:tc>
      </w:tr>
      <w:tr>
        <w:trPr>
          <w:cantSplit/>
        </w:trPr>
        <w:tc>
          <w:tcPr>
            <w:tcW w:type="dxa" w:w="1008"/>
            <w:vAlign w:val="center"/>
            <w:shd w:fill="F5F8FF"/>
          </w:tcPr>
          <w:p>
            <w:r/>
            <w:r>
              <w:rPr>
                <w:rFonts w:ascii="Aptos" w:hAnsi="Aptos"/>
                <w:b w:val="0"/>
                <w:sz w:val="17"/>
              </w:rPr>
              <w:t>P0</w:t>
            </w:r>
          </w:p>
        </w:tc>
        <w:tc>
          <w:tcPr>
            <w:tcW w:type="dxa" w:w="2592"/>
            <w:vAlign w:val="center"/>
            <w:shd w:fill="F5F8FF"/>
          </w:tcPr>
          <w:p>
            <w:r/>
            <w:r>
              <w:rPr>
                <w:rFonts w:ascii="Aptos" w:hAnsi="Aptos"/>
                <w:b w:val="0"/>
                <w:sz w:val="17"/>
              </w:rPr>
              <w:t>Commercial KPI &amp; data-quality governance</w:t>
            </w:r>
          </w:p>
        </w:tc>
        <w:tc>
          <w:tcPr>
            <w:tcW w:type="dxa" w:w="3888"/>
            <w:vAlign w:val="center"/>
            <w:shd w:fill="F5F8FF"/>
          </w:tcPr>
          <w:p>
            <w:r/>
            <w:r>
              <w:rPr>
                <w:rFonts w:ascii="Aptos" w:hAnsi="Aptos"/>
                <w:b w:val="0"/>
                <w:sz w:val="17"/>
              </w:rPr>
              <w:t>Current limitations can produce misleading customer, return, and cohort decisions.</w:t>
            </w:r>
          </w:p>
        </w:tc>
        <w:tc>
          <w:tcPr>
            <w:tcW w:type="dxa" w:w="2304"/>
            <w:vAlign w:val="center"/>
            <w:shd w:fill="F5F8FF"/>
          </w:tcPr>
          <w:p>
            <w:r/>
            <w:r>
              <w:rPr>
                <w:rFonts w:ascii="Aptos" w:hAnsi="Aptos"/>
                <w:b w:val="0"/>
                <w:sz w:val="17"/>
              </w:rPr>
              <w:t>DQ exceptions; metric adoption</w:t>
            </w:r>
          </w:p>
        </w:tc>
        <w:tc>
          <w:tcPr>
            <w:tcW w:type="dxa" w:w="1728"/>
            <w:vAlign w:val="center"/>
            <w:shd w:fill="F5F8FF"/>
          </w:tcPr>
          <w:p>
            <w:r/>
            <w:r>
              <w:rPr>
                <w:rFonts w:ascii="Aptos" w:hAnsi="Aptos"/>
                <w:b w:val="0"/>
                <w:sz w:val="17"/>
              </w:rPr>
              <w:t>0–30 days</w:t>
            </w:r>
          </w:p>
        </w:tc>
      </w:tr>
      <w:tr>
        <w:trPr>
          <w:cantSplit/>
        </w:trPr>
        <w:tc>
          <w:tcPr>
            <w:tcW w:type="dxa" w:w="1008"/>
            <w:vAlign w:val="center"/>
          </w:tcPr>
          <w:p>
            <w:r/>
            <w:r>
              <w:rPr>
                <w:rFonts w:ascii="Aptos" w:hAnsi="Aptos"/>
                <w:b w:val="0"/>
                <w:sz w:val="17"/>
              </w:rPr>
              <w:t>P1</w:t>
            </w:r>
          </w:p>
        </w:tc>
        <w:tc>
          <w:tcPr>
            <w:tcW w:type="dxa" w:w="2592"/>
            <w:vAlign w:val="center"/>
          </w:tcPr>
          <w:p>
            <w:r/>
            <w:r>
              <w:rPr>
                <w:rFonts w:ascii="Aptos" w:hAnsi="Aptos"/>
                <w:b w:val="0"/>
                <w:sz w:val="17"/>
              </w:rPr>
              <w:t>High-revenue / low-margin SKU recovery</w:t>
            </w:r>
          </w:p>
        </w:tc>
        <w:tc>
          <w:tcPr>
            <w:tcW w:type="dxa" w:w="3888"/>
            <w:vAlign w:val="center"/>
          </w:tcPr>
          <w:p>
            <w:r/>
            <w:r>
              <w:rPr>
                <w:rFonts w:ascii="Aptos" w:hAnsi="Aptos"/>
                <w:b w:val="0"/>
                <w:sz w:val="17"/>
              </w:rPr>
              <w:t>Several products carry significant revenue but &lt;15% margin.</w:t>
            </w:r>
          </w:p>
        </w:tc>
        <w:tc>
          <w:tcPr>
            <w:tcW w:type="dxa" w:w="2304"/>
            <w:vAlign w:val="center"/>
          </w:tcPr>
          <w:p>
            <w:r/>
            <w:r>
              <w:rPr>
                <w:rFonts w:ascii="Aptos" w:hAnsi="Aptos"/>
                <w:b w:val="0"/>
                <w:sz w:val="17"/>
              </w:rPr>
              <w:t>SKU margin; contribution profit</w:t>
            </w:r>
          </w:p>
        </w:tc>
        <w:tc>
          <w:tcPr>
            <w:tcW w:type="dxa" w:w="1728"/>
            <w:vAlign w:val="center"/>
          </w:tcPr>
          <w:p>
            <w:r/>
            <w:r>
              <w:rPr>
                <w:rFonts w:ascii="Aptos" w:hAnsi="Aptos"/>
                <w:b w:val="0"/>
                <w:sz w:val="17"/>
              </w:rPr>
              <w:t>30–60 days</w:t>
            </w:r>
          </w:p>
        </w:tc>
      </w:tr>
      <w:tr>
        <w:trPr>
          <w:cantSplit/>
        </w:trPr>
        <w:tc>
          <w:tcPr>
            <w:tcW w:type="dxa" w:w="1008"/>
            <w:vAlign w:val="center"/>
            <w:shd w:fill="F5F8FF"/>
          </w:tcPr>
          <w:p>
            <w:r/>
            <w:r>
              <w:rPr>
                <w:rFonts w:ascii="Aptos" w:hAnsi="Aptos"/>
                <w:b w:val="0"/>
                <w:sz w:val="17"/>
              </w:rPr>
              <w:t>P1</w:t>
            </w:r>
          </w:p>
        </w:tc>
        <w:tc>
          <w:tcPr>
            <w:tcW w:type="dxa" w:w="2592"/>
            <w:vAlign w:val="center"/>
            <w:shd w:fill="F5F8FF"/>
          </w:tcPr>
          <w:p>
            <w:r/>
            <w:r>
              <w:rPr>
                <w:rFonts w:ascii="Aptos" w:hAnsi="Aptos"/>
                <w:b w:val="0"/>
                <w:sz w:val="17"/>
              </w:rPr>
              <w:t>Category margin program</w:t>
            </w:r>
          </w:p>
        </w:tc>
        <w:tc>
          <w:tcPr>
            <w:tcW w:type="dxa" w:w="3888"/>
            <w:vAlign w:val="center"/>
            <w:shd w:fill="F5F8FF"/>
          </w:tcPr>
          <w:p>
            <w:r/>
            <w:r>
              <w:rPr>
                <w:rFonts w:ascii="Aptos" w:hAnsi="Aptos"/>
                <w:b w:val="0"/>
                <w:sz w:val="17"/>
              </w:rPr>
              <w:t>Electronics and Office Supplies trail portfolio margin.</w:t>
            </w:r>
          </w:p>
        </w:tc>
        <w:tc>
          <w:tcPr>
            <w:tcW w:type="dxa" w:w="2304"/>
            <w:vAlign w:val="center"/>
            <w:shd w:fill="F5F8FF"/>
          </w:tcPr>
          <w:p>
            <w:r/>
            <w:r>
              <w:rPr>
                <w:rFonts w:ascii="Aptos" w:hAnsi="Aptos"/>
                <w:b w:val="0"/>
                <w:sz w:val="17"/>
              </w:rPr>
              <w:t>Category margin; profit dollars</w:t>
            </w:r>
          </w:p>
        </w:tc>
        <w:tc>
          <w:tcPr>
            <w:tcW w:type="dxa" w:w="1728"/>
            <w:vAlign w:val="center"/>
            <w:shd w:fill="F5F8FF"/>
          </w:tcPr>
          <w:p>
            <w:r/>
            <w:r>
              <w:rPr>
                <w:rFonts w:ascii="Aptos" w:hAnsi="Aptos"/>
                <w:b w:val="0"/>
                <w:sz w:val="17"/>
              </w:rPr>
              <w:t>30–90 days</w:t>
            </w:r>
          </w:p>
        </w:tc>
      </w:tr>
      <w:tr>
        <w:trPr>
          <w:cantSplit/>
        </w:trPr>
        <w:tc>
          <w:tcPr>
            <w:tcW w:type="dxa" w:w="1008"/>
            <w:vAlign w:val="center"/>
          </w:tcPr>
          <w:p>
            <w:r/>
            <w:r>
              <w:rPr>
                <w:rFonts w:ascii="Aptos" w:hAnsi="Aptos"/>
                <w:b w:val="0"/>
                <w:sz w:val="17"/>
              </w:rPr>
              <w:t>P1</w:t>
            </w:r>
          </w:p>
        </w:tc>
        <w:tc>
          <w:tcPr>
            <w:tcW w:type="dxa" w:w="2592"/>
            <w:vAlign w:val="center"/>
          </w:tcPr>
          <w:p>
            <w:r/>
            <w:r>
              <w:rPr>
                <w:rFonts w:ascii="Aptos" w:hAnsi="Aptos"/>
                <w:b w:val="0"/>
                <w:sz w:val="17"/>
              </w:rPr>
              <w:t>Growth experiment program</w:t>
            </w:r>
          </w:p>
        </w:tc>
        <w:tc>
          <w:tcPr>
            <w:tcW w:type="dxa" w:w="3888"/>
            <w:vAlign w:val="center"/>
          </w:tcPr>
          <w:p>
            <w:r/>
            <w:r>
              <w:rPr>
                <w:rFonts w:ascii="Aptos" w:hAnsi="Aptos"/>
                <w:b w:val="0"/>
                <w:sz w:val="17"/>
              </w:rPr>
              <w:t>2025 revenue and order growth are almost flat.</w:t>
            </w:r>
          </w:p>
        </w:tc>
        <w:tc>
          <w:tcPr>
            <w:tcW w:type="dxa" w:w="2304"/>
            <w:vAlign w:val="center"/>
          </w:tcPr>
          <w:p>
            <w:r/>
            <w:r>
              <w:rPr>
                <w:rFonts w:ascii="Aptos" w:hAnsi="Aptos"/>
                <w:b w:val="0"/>
                <w:sz w:val="17"/>
              </w:rPr>
              <w:t>Incremental revenue/profit; conversion</w:t>
            </w:r>
          </w:p>
        </w:tc>
        <w:tc>
          <w:tcPr>
            <w:tcW w:type="dxa" w:w="1728"/>
            <w:vAlign w:val="center"/>
          </w:tcPr>
          <w:p>
            <w:r/>
            <w:r>
              <w:rPr>
                <w:rFonts w:ascii="Aptos" w:hAnsi="Aptos"/>
                <w:b w:val="0"/>
                <w:sz w:val="17"/>
              </w:rPr>
              <w:t>30–90 days</w:t>
            </w:r>
          </w:p>
        </w:tc>
      </w:tr>
      <w:tr>
        <w:trPr>
          <w:cantSplit/>
        </w:trPr>
        <w:tc>
          <w:tcPr>
            <w:tcW w:type="dxa" w:w="1008"/>
            <w:vAlign w:val="center"/>
            <w:shd w:fill="F5F8FF"/>
          </w:tcPr>
          <w:p>
            <w:r/>
            <w:r>
              <w:rPr>
                <w:rFonts w:ascii="Aptos" w:hAnsi="Aptos"/>
                <w:b w:val="0"/>
                <w:sz w:val="17"/>
              </w:rPr>
              <w:t>P2</w:t>
            </w:r>
          </w:p>
        </w:tc>
        <w:tc>
          <w:tcPr>
            <w:tcW w:type="dxa" w:w="2592"/>
            <w:vAlign w:val="center"/>
            <w:shd w:fill="F5F8FF"/>
          </w:tcPr>
          <w:p>
            <w:r/>
            <w:r>
              <w:rPr>
                <w:rFonts w:ascii="Aptos" w:hAnsi="Aptos"/>
                <w:b w:val="0"/>
                <w:sz w:val="17"/>
              </w:rPr>
              <w:t>Customer lifecycle enrichment</w:t>
            </w:r>
          </w:p>
        </w:tc>
        <w:tc>
          <w:tcPr>
            <w:tcW w:type="dxa" w:w="3888"/>
            <w:vAlign w:val="center"/>
            <w:shd w:fill="F5F8FF"/>
          </w:tcPr>
          <w:p>
            <w:r/>
            <w:r>
              <w:rPr>
                <w:rFonts w:ascii="Aptos" w:hAnsi="Aptos"/>
                <w:b w:val="0"/>
                <w:sz w:val="17"/>
              </w:rPr>
              <w:t>Current customer data is insufficient for true acquisition and retention strategy.</w:t>
            </w:r>
          </w:p>
        </w:tc>
        <w:tc>
          <w:tcPr>
            <w:tcW w:type="dxa" w:w="2304"/>
            <w:vAlign w:val="center"/>
            <w:shd w:fill="F5F8FF"/>
          </w:tcPr>
          <w:p>
            <w:r/>
            <w:r>
              <w:rPr>
                <w:rFonts w:ascii="Aptos" w:hAnsi="Aptos"/>
                <w:b w:val="0"/>
                <w:sz w:val="17"/>
              </w:rPr>
              <w:t>CAC, repeat rate, retention, CLV</w:t>
            </w:r>
          </w:p>
        </w:tc>
        <w:tc>
          <w:tcPr>
            <w:tcW w:type="dxa" w:w="1728"/>
            <w:vAlign w:val="center"/>
            <w:shd w:fill="F5F8FF"/>
          </w:tcPr>
          <w:p>
            <w:r/>
            <w:r>
              <w:rPr>
                <w:rFonts w:ascii="Aptos" w:hAnsi="Aptos"/>
                <w:b w:val="0"/>
                <w:sz w:val="17"/>
              </w:rPr>
              <w:t>60–120 days</w:t>
            </w:r>
          </w:p>
        </w:tc>
      </w:tr>
      <w:tr>
        <w:trPr>
          <w:cantSplit/>
        </w:trPr>
        <w:tc>
          <w:tcPr>
            <w:tcW w:type="dxa" w:w="1008"/>
            <w:vAlign w:val="center"/>
          </w:tcPr>
          <w:p>
            <w:r/>
            <w:r>
              <w:rPr>
                <w:rFonts w:ascii="Aptos" w:hAnsi="Aptos"/>
                <w:b w:val="0"/>
                <w:sz w:val="17"/>
              </w:rPr>
              <w:t>P2</w:t>
            </w:r>
          </w:p>
        </w:tc>
        <w:tc>
          <w:tcPr>
            <w:tcW w:type="dxa" w:w="2592"/>
            <w:vAlign w:val="center"/>
          </w:tcPr>
          <w:p>
            <w:r/>
            <w:r>
              <w:rPr>
                <w:rFonts w:ascii="Aptos" w:hAnsi="Aptos"/>
                <w:b w:val="0"/>
                <w:sz w:val="17"/>
              </w:rPr>
              <w:t>Return instrumentation</w:t>
            </w:r>
          </w:p>
        </w:tc>
        <w:tc>
          <w:tcPr>
            <w:tcW w:type="dxa" w:w="3888"/>
            <w:vAlign w:val="center"/>
          </w:tcPr>
          <w:p>
            <w:r/>
            <w:r>
              <w:rPr>
                <w:rFonts w:ascii="Aptos" w:hAnsi="Aptos"/>
                <w:b w:val="0"/>
                <w:sz w:val="17"/>
              </w:rPr>
              <w:t>Return signal is too weak for operational policy decisions.</w:t>
            </w:r>
          </w:p>
        </w:tc>
        <w:tc>
          <w:tcPr>
            <w:tcW w:type="dxa" w:w="2304"/>
            <w:vAlign w:val="center"/>
          </w:tcPr>
          <w:p>
            <w:r/>
            <w:r>
              <w:rPr>
                <w:rFonts w:ascii="Aptos" w:hAnsi="Aptos"/>
                <w:b w:val="0"/>
                <w:sz w:val="17"/>
              </w:rPr>
              <w:t>Return rate by reason/product</w:t>
            </w:r>
          </w:p>
        </w:tc>
        <w:tc>
          <w:tcPr>
            <w:tcW w:type="dxa" w:w="1728"/>
            <w:vAlign w:val="center"/>
          </w:tcPr>
          <w:p>
            <w:r/>
            <w:r>
              <w:rPr>
                <w:rFonts w:ascii="Aptos" w:hAnsi="Aptos"/>
                <w:b w:val="0"/>
                <w:sz w:val="17"/>
              </w:rPr>
              <w:t>60–120 days</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FF7DF"/>
          </w:tcPr>
          <w:p>
            <w:pPr>
              <w:pStyle w:val="Callout"/>
            </w:pPr>
            <w:r>
              <w:rPr>
                <w:b/>
                <w:color w:val="2874F0"/>
              </w:rPr>
              <w:t xml:space="preserve">What not to do: </w:t>
            </w:r>
            <w:r>
              <w:t>Do not reduce all discounts indiscriminately, declare Central a weak region based only on total revenue, or claim strong retention/return insights from the current data. Each would overstate what the dataset can support.</w:t>
            </w:r>
          </w:p>
        </w:tc>
      </w:tr>
    </w:tbl>
    <w:p>
      <w:pPr>
        <w:spacing w:after="0"/>
      </w:pPr>
    </w:p>
    <w:p>
      <w:r>
        <w:br w:type="page"/>
      </w:r>
    </w:p>
    <w:p>
      <w:pPr>
        <w:pStyle w:val="Heading1"/>
      </w:pPr>
      <w:r>
        <w:t>9. 90-Day Decision and Execution Roadmap</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1872"/>
            <w:vAlign w:val="center"/>
            <w:shd w:fill="2874F0"/>
          </w:tcPr>
          <w:p>
            <w:r/>
            <w:r>
              <w:rPr>
                <w:rFonts w:ascii="Aptos" w:hAnsi="Aptos"/>
                <w:b/>
                <w:color w:val="FFFFFF"/>
                <w:sz w:val="18"/>
              </w:rPr>
              <w:t>Phase</w:t>
            </w:r>
          </w:p>
        </w:tc>
        <w:tc>
          <w:tcPr>
            <w:tcW w:type="dxa" w:w="3888"/>
            <w:vAlign w:val="center"/>
            <w:shd w:fill="2874F0"/>
          </w:tcPr>
          <w:p>
            <w:r/>
            <w:r>
              <w:rPr>
                <w:rFonts w:ascii="Aptos" w:hAnsi="Aptos"/>
                <w:b/>
                <w:color w:val="FFFFFF"/>
                <w:sz w:val="18"/>
              </w:rPr>
              <w:t>Business actions</w:t>
            </w:r>
          </w:p>
        </w:tc>
        <w:tc>
          <w:tcPr>
            <w:tcW w:type="dxa" w:w="4032"/>
            <w:vAlign w:val="center"/>
            <w:shd w:fill="2874F0"/>
          </w:tcPr>
          <w:p>
            <w:r/>
            <w:r>
              <w:rPr>
                <w:rFonts w:ascii="Aptos" w:hAnsi="Aptos"/>
                <w:b/>
                <w:color w:val="FFFFFF"/>
                <w:sz w:val="18"/>
              </w:rPr>
              <w:t>Analytical actions</w:t>
            </w:r>
          </w:p>
        </w:tc>
        <w:tc>
          <w:tcPr>
            <w:tcW w:type="dxa" w:w="2880"/>
            <w:vAlign w:val="center"/>
            <w:shd w:fill="2874F0"/>
          </w:tcPr>
          <w:p>
            <w:r/>
            <w:r>
              <w:rPr>
                <w:rFonts w:ascii="Aptos" w:hAnsi="Aptos"/>
                <w:b/>
                <w:color w:val="FFFFFF"/>
                <w:sz w:val="18"/>
              </w:rPr>
              <w:t>Decision gate</w:t>
            </w:r>
          </w:p>
        </w:tc>
      </w:tr>
      <w:tr>
        <w:trPr>
          <w:cantSplit/>
        </w:trPr>
        <w:tc>
          <w:tcPr>
            <w:tcW w:type="dxa" w:w="1872"/>
            <w:vAlign w:val="center"/>
          </w:tcPr>
          <w:p>
            <w:r/>
            <w:r>
              <w:rPr>
                <w:rFonts w:ascii="Aptos" w:hAnsi="Aptos"/>
                <w:b w:val="0"/>
                <w:sz w:val="17"/>
              </w:rPr>
              <w:t>Days 0–30: Control</w:t>
            </w:r>
          </w:p>
        </w:tc>
        <w:tc>
          <w:tcPr>
            <w:tcW w:type="dxa" w:w="3888"/>
            <w:vAlign w:val="center"/>
          </w:tcPr>
          <w:p>
            <w:r/>
            <w:r>
              <w:rPr>
                <w:rFonts w:ascii="Aptos" w:hAnsi="Aptos"/>
                <w:b w:val="0"/>
                <w:sz w:val="17"/>
              </w:rPr>
              <w:t>Define margin floors; require approval for deep discounts; identify top 20 margin-leakage SKUs.</w:t>
            </w:r>
          </w:p>
        </w:tc>
        <w:tc>
          <w:tcPr>
            <w:tcW w:type="dxa" w:w="4032"/>
            <w:vAlign w:val="center"/>
          </w:tcPr>
          <w:p>
            <w:r/>
            <w:r>
              <w:rPr>
                <w:rFonts w:ascii="Aptos" w:hAnsi="Aptos"/>
                <w:b w:val="0"/>
                <w:sz w:val="17"/>
              </w:rPr>
              <w:t>Publish KPI dictionary; create discount and loss-order exception report; validate product taxonomy.</w:t>
            </w:r>
          </w:p>
        </w:tc>
        <w:tc>
          <w:tcPr>
            <w:tcW w:type="dxa" w:w="2880"/>
            <w:vAlign w:val="center"/>
          </w:tcPr>
          <w:p>
            <w:r/>
            <w:r>
              <w:rPr>
                <w:rFonts w:ascii="Aptos" w:hAnsi="Aptos"/>
                <w:b w:val="0"/>
                <w:sz w:val="17"/>
              </w:rPr>
              <w:t>Approve pilot rules and measurement design.</w:t>
            </w:r>
          </w:p>
        </w:tc>
      </w:tr>
      <w:tr>
        <w:trPr>
          <w:cantSplit/>
        </w:trPr>
        <w:tc>
          <w:tcPr>
            <w:tcW w:type="dxa" w:w="1872"/>
            <w:vAlign w:val="center"/>
            <w:shd w:fill="F5F8FF"/>
          </w:tcPr>
          <w:p>
            <w:r/>
            <w:r>
              <w:rPr>
                <w:rFonts w:ascii="Aptos" w:hAnsi="Aptos"/>
                <w:b w:val="0"/>
                <w:sz w:val="17"/>
              </w:rPr>
              <w:t>Days 31–60: Pilot</w:t>
            </w:r>
          </w:p>
        </w:tc>
        <w:tc>
          <w:tcPr>
            <w:tcW w:type="dxa" w:w="3888"/>
            <w:vAlign w:val="center"/>
            <w:shd w:fill="F5F8FF"/>
          </w:tcPr>
          <w:p>
            <w:r/>
            <w:r>
              <w:rPr>
                <w:rFonts w:ascii="Aptos" w:hAnsi="Aptos"/>
                <w:b w:val="0"/>
                <w:sz w:val="17"/>
              </w:rPr>
              <w:t>Pilot revised discounts on selected low-margin SKUs/categories; begin vendor/cost negotiations.</w:t>
            </w:r>
          </w:p>
        </w:tc>
        <w:tc>
          <w:tcPr>
            <w:tcW w:type="dxa" w:w="4032"/>
            <w:vAlign w:val="center"/>
            <w:shd w:fill="F5F8FF"/>
          </w:tcPr>
          <w:p>
            <w:r/>
            <w:r>
              <w:rPr>
                <w:rFonts w:ascii="Aptos" w:hAnsi="Aptos"/>
                <w:b w:val="0"/>
                <w:sz w:val="17"/>
              </w:rPr>
              <w:t>Create treatment/control comparison; monitor conversion, units, revenue, profit, and margin.</w:t>
            </w:r>
          </w:p>
        </w:tc>
        <w:tc>
          <w:tcPr>
            <w:tcW w:type="dxa" w:w="2880"/>
            <w:vAlign w:val="center"/>
            <w:shd w:fill="F5F8FF"/>
          </w:tcPr>
          <w:p>
            <w:r/>
            <w:r>
              <w:rPr>
                <w:rFonts w:ascii="Aptos" w:hAnsi="Aptos"/>
                <w:b w:val="0"/>
                <w:sz w:val="17"/>
              </w:rPr>
              <w:t>Scale only if contribution profit improves without unacceptable demand loss.</w:t>
            </w:r>
          </w:p>
        </w:tc>
      </w:tr>
      <w:tr>
        <w:trPr>
          <w:cantSplit/>
        </w:trPr>
        <w:tc>
          <w:tcPr>
            <w:tcW w:type="dxa" w:w="1872"/>
            <w:vAlign w:val="center"/>
          </w:tcPr>
          <w:p>
            <w:r/>
            <w:r>
              <w:rPr>
                <w:rFonts w:ascii="Aptos" w:hAnsi="Aptos"/>
                <w:b w:val="0"/>
                <w:sz w:val="17"/>
              </w:rPr>
              <w:t>Days 61–90: Scale</w:t>
            </w:r>
          </w:p>
        </w:tc>
        <w:tc>
          <w:tcPr>
            <w:tcW w:type="dxa" w:w="3888"/>
            <w:vAlign w:val="center"/>
          </w:tcPr>
          <w:p>
            <w:r/>
            <w:r>
              <w:rPr>
                <w:rFonts w:ascii="Aptos" w:hAnsi="Aptos"/>
                <w:b w:val="0"/>
                <w:sz w:val="17"/>
              </w:rPr>
              <w:t>Expand successful rules; launch category growth tests and targeted cross-sell/bundling.</w:t>
            </w:r>
          </w:p>
        </w:tc>
        <w:tc>
          <w:tcPr>
            <w:tcW w:type="dxa" w:w="4032"/>
            <w:vAlign w:val="center"/>
          </w:tcPr>
          <w:p>
            <w:r/>
            <w:r>
              <w:rPr>
                <w:rFonts w:ascii="Aptos" w:hAnsi="Aptos"/>
                <w:b w:val="0"/>
                <w:sz w:val="17"/>
              </w:rPr>
              <w:t>Add channel, basket, return, and delivery data to the model; automate commercial scorecard.</w:t>
            </w:r>
          </w:p>
        </w:tc>
        <w:tc>
          <w:tcPr>
            <w:tcW w:type="dxa" w:w="2880"/>
            <w:vAlign w:val="center"/>
          </w:tcPr>
          <w:p>
            <w:r/>
            <w:r>
              <w:rPr>
                <w:rFonts w:ascii="Aptos" w:hAnsi="Aptos"/>
                <w:b w:val="0"/>
                <w:sz w:val="17"/>
              </w:rPr>
              <w:t>Adopt new commercial policy and quarterly optimization cycle.</w:t>
            </w:r>
          </w:p>
        </w:tc>
      </w:tr>
    </w:tbl>
    <w:p>
      <w:pPr>
        <w:spacing w:after="0"/>
      </w:pPr>
    </w:p>
    <w:p>
      <w:pPr>
        <w:pStyle w:val="Heading2"/>
      </w:pPr>
      <w:r>
        <w:t>Illustrative pilot design</w:t>
      </w:r>
    </w:p>
    <w:p>
      <w:pPr>
        <w:pStyle w:val="ListNumber"/>
        <w:spacing w:after="80"/>
      </w:pPr>
      <w:r>
        <w:t>Select 10–20 high-revenue SKUs with margins below 15%, stratified by category.</w:t>
      </w:r>
    </w:p>
    <w:p>
      <w:pPr>
        <w:pStyle w:val="ListNumber"/>
        <w:spacing w:after="80"/>
      </w:pPr>
      <w:r>
        <w:t>Split comparable traffic / periods into current-promotion and revised-promotion groups where operationally feasible.</w:t>
      </w:r>
    </w:p>
    <w:p>
      <w:pPr>
        <w:pStyle w:val="ListNumber"/>
        <w:spacing w:after="80"/>
      </w:pPr>
      <w:r>
        <w:t>Measure conversion, units, revenue, contribution profit, margin, cancellation/return rate, and follow-on purchase behavior.</w:t>
      </w:r>
    </w:p>
    <w:p>
      <w:pPr>
        <w:pStyle w:val="ListNumber"/>
        <w:spacing w:after="80"/>
      </w:pPr>
      <w:r>
        <w:t>Use contribution profit as the primary decision metric, with revenue and conversion as guardrails.</w:t>
      </w:r>
    </w:p>
    <w:p>
      <w:pPr>
        <w:pStyle w:val="ListNumber"/>
        <w:spacing w:after="80"/>
      </w:pPr>
      <w:r>
        <w:t>Scale only when profit improvement is statistically and commercially meaningful.</w:t>
      </w:r>
    </w:p>
    <w:p>
      <w:r>
        <w:br w:type="page"/>
      </w:r>
    </w:p>
    <w:p>
      <w:pPr>
        <w:pStyle w:val="Heading1"/>
      </w:pPr>
      <w:r>
        <w:t>10. Management KPI and Decision Framework</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160"/>
            <w:vAlign w:val="center"/>
            <w:shd w:fill="2874F0"/>
          </w:tcPr>
          <w:p>
            <w:r/>
            <w:r>
              <w:rPr>
                <w:rFonts w:ascii="Aptos" w:hAnsi="Aptos"/>
                <w:b/>
                <w:color w:val="FFFFFF"/>
                <w:sz w:val="18"/>
              </w:rPr>
              <w:t>KPI</w:t>
            </w:r>
          </w:p>
        </w:tc>
        <w:tc>
          <w:tcPr>
            <w:tcW w:type="dxa" w:w="4032"/>
            <w:vAlign w:val="center"/>
            <w:shd w:fill="2874F0"/>
          </w:tcPr>
          <w:p>
            <w:r/>
            <w:r>
              <w:rPr>
                <w:rFonts w:ascii="Aptos" w:hAnsi="Aptos"/>
                <w:b/>
                <w:color w:val="FFFFFF"/>
                <w:sz w:val="18"/>
              </w:rPr>
              <w:t>Definition / purpose</w:t>
            </w:r>
          </w:p>
        </w:tc>
        <w:tc>
          <w:tcPr>
            <w:tcW w:type="dxa" w:w="2592"/>
            <w:vAlign w:val="center"/>
            <w:shd w:fill="2874F0"/>
          </w:tcPr>
          <w:p>
            <w:r/>
            <w:r>
              <w:rPr>
                <w:rFonts w:ascii="Aptos" w:hAnsi="Aptos"/>
                <w:b/>
                <w:color w:val="FFFFFF"/>
                <w:sz w:val="18"/>
              </w:rPr>
              <w:t>Current baseline</w:t>
            </w:r>
          </w:p>
        </w:tc>
        <w:tc>
          <w:tcPr>
            <w:tcW w:type="dxa" w:w="3024"/>
            <w:vAlign w:val="center"/>
            <w:shd w:fill="2874F0"/>
          </w:tcPr>
          <w:p>
            <w:r/>
            <w:r>
              <w:rPr>
                <w:rFonts w:ascii="Aptos" w:hAnsi="Aptos"/>
                <w:b/>
                <w:color w:val="FFFFFF"/>
                <w:sz w:val="18"/>
              </w:rPr>
              <w:t>Illustrative target direction</w:t>
            </w:r>
          </w:p>
        </w:tc>
      </w:tr>
      <w:tr>
        <w:trPr>
          <w:cantSplit/>
        </w:trPr>
        <w:tc>
          <w:tcPr>
            <w:tcW w:type="dxa" w:w="2160"/>
            <w:vAlign w:val="center"/>
          </w:tcPr>
          <w:p>
            <w:r/>
            <w:r>
              <w:rPr>
                <w:rFonts w:ascii="Aptos" w:hAnsi="Aptos"/>
                <w:b w:val="0"/>
                <w:sz w:val="17"/>
              </w:rPr>
              <w:t>Profit Margin</w:t>
            </w:r>
          </w:p>
        </w:tc>
        <w:tc>
          <w:tcPr>
            <w:tcW w:type="dxa" w:w="4032"/>
            <w:vAlign w:val="center"/>
          </w:tcPr>
          <w:p>
            <w:r/>
            <w:r>
              <w:rPr>
                <w:rFonts w:ascii="Aptos" w:hAnsi="Aptos"/>
                <w:b w:val="0"/>
                <w:sz w:val="17"/>
              </w:rPr>
              <w:t>Profit / Revenue</w:t>
            </w:r>
          </w:p>
        </w:tc>
        <w:tc>
          <w:tcPr>
            <w:tcW w:type="dxa" w:w="2592"/>
            <w:vAlign w:val="center"/>
          </w:tcPr>
          <w:p>
            <w:r/>
            <w:r>
              <w:rPr>
                <w:rFonts w:ascii="Aptos" w:hAnsi="Aptos"/>
                <w:b w:val="0"/>
                <w:sz w:val="17"/>
              </w:rPr>
              <w:t>22.9%</w:t>
            </w:r>
          </w:p>
        </w:tc>
        <w:tc>
          <w:tcPr>
            <w:tcW w:type="dxa" w:w="3024"/>
            <w:vAlign w:val="center"/>
          </w:tcPr>
          <w:p>
            <w:r/>
            <w:r>
              <w:rPr>
                <w:rFonts w:ascii="Aptos" w:hAnsi="Aptos"/>
                <w:b w:val="0"/>
                <w:sz w:val="17"/>
              </w:rPr>
              <w:t>Increase without material order decline.</w:t>
            </w:r>
          </w:p>
        </w:tc>
      </w:tr>
      <w:tr>
        <w:trPr>
          <w:cantSplit/>
        </w:trPr>
        <w:tc>
          <w:tcPr>
            <w:tcW w:type="dxa" w:w="2160"/>
            <w:vAlign w:val="center"/>
            <w:shd w:fill="F5F8FF"/>
          </w:tcPr>
          <w:p>
            <w:r/>
            <w:r>
              <w:rPr>
                <w:rFonts w:ascii="Aptos" w:hAnsi="Aptos"/>
                <w:b w:val="0"/>
                <w:sz w:val="17"/>
              </w:rPr>
              <w:t>Loss-Making Order Rate</w:t>
            </w:r>
          </w:p>
        </w:tc>
        <w:tc>
          <w:tcPr>
            <w:tcW w:type="dxa" w:w="4032"/>
            <w:vAlign w:val="center"/>
            <w:shd w:fill="F5F8FF"/>
          </w:tcPr>
          <w:p>
            <w:r/>
            <w:r>
              <w:rPr>
                <w:rFonts w:ascii="Aptos" w:hAnsi="Aptos"/>
                <w:b w:val="0"/>
                <w:sz w:val="17"/>
              </w:rPr>
              <w:t>Orders with profit &lt; 0 / orders</w:t>
            </w:r>
          </w:p>
        </w:tc>
        <w:tc>
          <w:tcPr>
            <w:tcW w:type="dxa" w:w="2592"/>
            <w:vAlign w:val="center"/>
            <w:shd w:fill="F5F8FF"/>
          </w:tcPr>
          <w:p>
            <w:r/>
            <w:r>
              <w:rPr>
                <w:rFonts w:ascii="Aptos" w:hAnsi="Aptos"/>
                <w:b w:val="0"/>
                <w:sz w:val="17"/>
              </w:rPr>
              <w:t>2.3%</w:t>
            </w:r>
          </w:p>
        </w:tc>
        <w:tc>
          <w:tcPr>
            <w:tcW w:type="dxa" w:w="3024"/>
            <w:vAlign w:val="center"/>
            <w:shd w:fill="F5F8FF"/>
          </w:tcPr>
          <w:p>
            <w:r/>
            <w:r>
              <w:rPr>
                <w:rFonts w:ascii="Aptos" w:hAnsi="Aptos"/>
                <w:b w:val="0"/>
                <w:sz w:val="17"/>
              </w:rPr>
              <w:t>Reduce, especially at 15–20% discount tiers.</w:t>
            </w:r>
          </w:p>
        </w:tc>
      </w:tr>
      <w:tr>
        <w:trPr>
          <w:cantSplit/>
        </w:trPr>
        <w:tc>
          <w:tcPr>
            <w:tcW w:type="dxa" w:w="2160"/>
            <w:vAlign w:val="center"/>
          </w:tcPr>
          <w:p>
            <w:r/>
            <w:r>
              <w:rPr>
                <w:rFonts w:ascii="Aptos" w:hAnsi="Aptos"/>
                <w:b w:val="0"/>
                <w:sz w:val="17"/>
              </w:rPr>
              <w:t>Discounted Order Rate</w:t>
            </w:r>
          </w:p>
        </w:tc>
        <w:tc>
          <w:tcPr>
            <w:tcW w:type="dxa" w:w="4032"/>
            <w:vAlign w:val="center"/>
          </w:tcPr>
          <w:p>
            <w:r/>
            <w:r>
              <w:rPr>
                <w:rFonts w:ascii="Aptos" w:hAnsi="Aptos"/>
                <w:b w:val="0"/>
                <w:sz w:val="17"/>
              </w:rPr>
              <w:t>Orders with discount &gt; 0 / orders</w:t>
            </w:r>
          </w:p>
        </w:tc>
        <w:tc>
          <w:tcPr>
            <w:tcW w:type="dxa" w:w="2592"/>
            <w:vAlign w:val="center"/>
          </w:tcPr>
          <w:p>
            <w:r/>
            <w:r>
              <w:rPr>
                <w:rFonts w:ascii="Aptos" w:hAnsi="Aptos"/>
                <w:b w:val="0"/>
                <w:sz w:val="17"/>
              </w:rPr>
              <w:t>57.9%</w:t>
            </w:r>
          </w:p>
        </w:tc>
        <w:tc>
          <w:tcPr>
            <w:tcW w:type="dxa" w:w="3024"/>
            <w:vAlign w:val="center"/>
          </w:tcPr>
          <w:p>
            <w:r/>
            <w:r>
              <w:rPr>
                <w:rFonts w:ascii="Aptos" w:hAnsi="Aptos"/>
                <w:b w:val="0"/>
                <w:sz w:val="17"/>
              </w:rPr>
              <w:t>Optimize; lower only where profit improves.</w:t>
            </w:r>
          </w:p>
        </w:tc>
      </w:tr>
      <w:tr>
        <w:trPr>
          <w:cantSplit/>
        </w:trPr>
        <w:tc>
          <w:tcPr>
            <w:tcW w:type="dxa" w:w="2160"/>
            <w:vAlign w:val="center"/>
            <w:shd w:fill="F5F8FF"/>
          </w:tcPr>
          <w:p>
            <w:r/>
            <w:r>
              <w:rPr>
                <w:rFonts w:ascii="Aptos" w:hAnsi="Aptos"/>
                <w:b w:val="0"/>
                <w:sz w:val="17"/>
              </w:rPr>
              <w:t>AOV</w:t>
            </w:r>
          </w:p>
        </w:tc>
        <w:tc>
          <w:tcPr>
            <w:tcW w:type="dxa" w:w="4032"/>
            <w:vAlign w:val="center"/>
            <w:shd w:fill="F5F8FF"/>
          </w:tcPr>
          <w:p>
            <w:r/>
            <w:r>
              <w:rPr>
                <w:rFonts w:ascii="Aptos" w:hAnsi="Aptos"/>
                <w:b w:val="0"/>
                <w:sz w:val="17"/>
              </w:rPr>
              <w:t>Revenue / orders</w:t>
            </w:r>
          </w:p>
        </w:tc>
        <w:tc>
          <w:tcPr>
            <w:tcW w:type="dxa" w:w="2592"/>
            <w:vAlign w:val="center"/>
            <w:shd w:fill="F5F8FF"/>
          </w:tcPr>
          <w:p>
            <w:r/>
            <w:r>
              <w:rPr>
                <w:rFonts w:ascii="Aptos" w:hAnsi="Aptos"/>
                <w:b w:val="0"/>
                <w:sz w:val="17"/>
              </w:rPr>
              <w:t>$1,180</w:t>
            </w:r>
          </w:p>
        </w:tc>
        <w:tc>
          <w:tcPr>
            <w:tcW w:type="dxa" w:w="3024"/>
            <w:vAlign w:val="center"/>
            <w:shd w:fill="F5F8FF"/>
          </w:tcPr>
          <w:p>
            <w:r/>
            <w:r>
              <w:rPr>
                <w:rFonts w:ascii="Aptos" w:hAnsi="Aptos"/>
                <w:b w:val="0"/>
                <w:sz w:val="17"/>
              </w:rPr>
              <w:t>Maintain or increase while protecting margin.</w:t>
            </w:r>
          </w:p>
        </w:tc>
      </w:tr>
      <w:tr>
        <w:trPr>
          <w:cantSplit/>
        </w:trPr>
        <w:tc>
          <w:tcPr>
            <w:tcW w:type="dxa" w:w="2160"/>
            <w:vAlign w:val="center"/>
          </w:tcPr>
          <w:p>
            <w:r/>
            <w:r>
              <w:rPr>
                <w:rFonts w:ascii="Aptos" w:hAnsi="Aptos"/>
                <w:b w:val="0"/>
                <w:sz w:val="17"/>
              </w:rPr>
              <w:t>Revenue Growth</w:t>
            </w:r>
          </w:p>
        </w:tc>
        <w:tc>
          <w:tcPr>
            <w:tcW w:type="dxa" w:w="4032"/>
            <w:vAlign w:val="center"/>
          </w:tcPr>
          <w:p>
            <w:r/>
            <w:r>
              <w:rPr>
                <w:rFonts w:ascii="Aptos" w:hAnsi="Aptos"/>
                <w:b w:val="0"/>
                <w:sz w:val="17"/>
              </w:rPr>
              <w:t>Current period vs prior comparable period</w:t>
            </w:r>
          </w:p>
        </w:tc>
        <w:tc>
          <w:tcPr>
            <w:tcW w:type="dxa" w:w="2592"/>
            <w:vAlign w:val="center"/>
          </w:tcPr>
          <w:p>
            <w:r/>
            <w:r>
              <w:rPr>
                <w:rFonts w:ascii="Aptos" w:hAnsi="Aptos"/>
                <w:b w:val="0"/>
                <w:sz w:val="17"/>
              </w:rPr>
              <w:t>2025 YoY 0.43%</w:t>
            </w:r>
          </w:p>
        </w:tc>
        <w:tc>
          <w:tcPr>
            <w:tcW w:type="dxa" w:w="3024"/>
            <w:vAlign w:val="center"/>
          </w:tcPr>
          <w:p>
            <w:r/>
            <w:r>
              <w:rPr>
                <w:rFonts w:ascii="Aptos" w:hAnsi="Aptos"/>
                <w:b w:val="0"/>
                <w:sz w:val="17"/>
              </w:rPr>
              <w:t>Move from flat to sustainable positive growth.</w:t>
            </w:r>
          </w:p>
        </w:tc>
      </w:tr>
      <w:tr>
        <w:trPr>
          <w:cantSplit/>
        </w:trPr>
        <w:tc>
          <w:tcPr>
            <w:tcW w:type="dxa" w:w="2160"/>
            <w:vAlign w:val="center"/>
            <w:shd w:fill="F5F8FF"/>
          </w:tcPr>
          <w:p>
            <w:r/>
            <w:r>
              <w:rPr>
                <w:rFonts w:ascii="Aptos" w:hAnsi="Aptos"/>
                <w:b w:val="0"/>
                <w:sz w:val="17"/>
              </w:rPr>
              <w:t>Profit Growth</w:t>
            </w:r>
          </w:p>
        </w:tc>
        <w:tc>
          <w:tcPr>
            <w:tcW w:type="dxa" w:w="4032"/>
            <w:vAlign w:val="center"/>
            <w:shd w:fill="F5F8FF"/>
          </w:tcPr>
          <w:p>
            <w:r/>
            <w:r>
              <w:rPr>
                <w:rFonts w:ascii="Aptos" w:hAnsi="Aptos"/>
                <w:b w:val="0"/>
                <w:sz w:val="17"/>
              </w:rPr>
              <w:t>Current period vs prior comparable period</w:t>
            </w:r>
          </w:p>
        </w:tc>
        <w:tc>
          <w:tcPr>
            <w:tcW w:type="dxa" w:w="2592"/>
            <w:vAlign w:val="center"/>
            <w:shd w:fill="F5F8FF"/>
          </w:tcPr>
          <w:p>
            <w:r/>
            <w:r>
              <w:rPr>
                <w:rFonts w:ascii="Aptos" w:hAnsi="Aptos"/>
                <w:b w:val="0"/>
                <w:sz w:val="17"/>
              </w:rPr>
              <w:t>2025 YoY 0.17%</w:t>
            </w:r>
          </w:p>
        </w:tc>
        <w:tc>
          <w:tcPr>
            <w:tcW w:type="dxa" w:w="3024"/>
            <w:vAlign w:val="center"/>
            <w:shd w:fill="F5F8FF"/>
          </w:tcPr>
          <w:p>
            <w:r/>
            <w:r>
              <w:rPr>
                <w:rFonts w:ascii="Aptos" w:hAnsi="Aptos"/>
                <w:b w:val="0"/>
                <w:sz w:val="17"/>
              </w:rPr>
              <w:t>Grow at least in line with revenue.</w:t>
            </w:r>
          </w:p>
        </w:tc>
      </w:tr>
      <w:tr>
        <w:trPr>
          <w:cantSplit/>
        </w:trPr>
        <w:tc>
          <w:tcPr>
            <w:tcW w:type="dxa" w:w="2160"/>
            <w:vAlign w:val="center"/>
          </w:tcPr>
          <w:p>
            <w:r/>
            <w:r>
              <w:rPr>
                <w:rFonts w:ascii="Aptos" w:hAnsi="Aptos"/>
                <w:b w:val="0"/>
                <w:sz w:val="17"/>
              </w:rPr>
              <w:t>Return Rate</w:t>
            </w:r>
          </w:p>
        </w:tc>
        <w:tc>
          <w:tcPr>
            <w:tcW w:type="dxa" w:w="4032"/>
            <w:vAlign w:val="center"/>
          </w:tcPr>
          <w:p>
            <w:r/>
            <w:r>
              <w:rPr>
                <w:rFonts w:ascii="Aptos" w:hAnsi="Aptos"/>
                <w:b w:val="0"/>
                <w:sz w:val="17"/>
              </w:rPr>
              <w:t>Return-flagged orders / orders</w:t>
            </w:r>
          </w:p>
        </w:tc>
        <w:tc>
          <w:tcPr>
            <w:tcW w:type="dxa" w:w="2592"/>
            <w:vAlign w:val="center"/>
          </w:tcPr>
          <w:p>
            <w:r/>
            <w:r>
              <w:rPr>
                <w:rFonts w:ascii="Aptos" w:hAnsi="Aptos"/>
                <w:b w:val="0"/>
                <w:sz w:val="17"/>
              </w:rPr>
              <w:t>0.06% (proxy)</w:t>
            </w:r>
          </w:p>
        </w:tc>
        <w:tc>
          <w:tcPr>
            <w:tcW w:type="dxa" w:w="3024"/>
            <w:vAlign w:val="center"/>
          </w:tcPr>
          <w:p>
            <w:r/>
            <w:r>
              <w:rPr>
                <w:rFonts w:ascii="Aptos" w:hAnsi="Aptos"/>
                <w:b w:val="0"/>
                <w:sz w:val="17"/>
              </w:rPr>
              <w:t>Do not set target until return instrumentation improves.</w:t>
            </w:r>
          </w:p>
        </w:tc>
      </w:tr>
      <w:tr>
        <w:trPr>
          <w:cantSplit/>
        </w:trPr>
        <w:tc>
          <w:tcPr>
            <w:tcW w:type="dxa" w:w="2160"/>
            <w:vAlign w:val="center"/>
            <w:shd w:fill="F5F8FF"/>
          </w:tcPr>
          <w:p>
            <w:r/>
            <w:r>
              <w:rPr>
                <w:rFonts w:ascii="Aptos" w:hAnsi="Aptos"/>
                <w:b w:val="0"/>
                <w:sz w:val="17"/>
              </w:rPr>
              <w:t>Data Quality Exceptions</w:t>
            </w:r>
          </w:p>
        </w:tc>
        <w:tc>
          <w:tcPr>
            <w:tcW w:type="dxa" w:w="4032"/>
            <w:vAlign w:val="center"/>
            <w:shd w:fill="F5F8FF"/>
          </w:tcPr>
          <w:p>
            <w:r/>
            <w:r>
              <w:rPr>
                <w:rFonts w:ascii="Aptos" w:hAnsi="Aptos"/>
                <w:b w:val="0"/>
                <w:sz w:val="17"/>
              </w:rPr>
              <w:t>Invalid/missing analytical keys</w:t>
            </w:r>
          </w:p>
        </w:tc>
        <w:tc>
          <w:tcPr>
            <w:tcW w:type="dxa" w:w="2592"/>
            <w:vAlign w:val="center"/>
            <w:shd w:fill="F5F8FF"/>
          </w:tcPr>
          <w:p>
            <w:r/>
            <w:r>
              <w:rPr>
                <w:rFonts w:ascii="Aptos" w:hAnsi="Aptos"/>
                <w:b w:val="0"/>
                <w:sz w:val="17"/>
              </w:rPr>
              <w:t>10 invalid dates; 60 missing customer; 35 missing product</w:t>
            </w:r>
          </w:p>
        </w:tc>
        <w:tc>
          <w:tcPr>
            <w:tcW w:type="dxa" w:w="3024"/>
            <w:vAlign w:val="center"/>
            <w:shd w:fill="F5F8FF"/>
          </w:tcPr>
          <w:p>
            <w:r/>
            <w:r>
              <w:rPr>
                <w:rFonts w:ascii="Aptos" w:hAnsi="Aptos"/>
                <w:b w:val="0"/>
                <w:sz w:val="17"/>
              </w:rPr>
              <w:t>Drive toward near-zero critical exceptions.</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FF7DF"/>
          </w:tcPr>
          <w:p>
            <w:pPr>
              <w:pStyle w:val="Callout"/>
            </w:pPr>
            <w:r>
              <w:rPr>
                <w:b/>
                <w:color w:val="2874F0"/>
              </w:rPr>
              <w:t xml:space="preserve">Illustrative management target: </w:t>
            </w:r>
            <w:r>
              <w:t>For a pilot, a reasonable decision gate could be +0.5 percentage points of contribution margin with no more than a pre-agreed decline in conversion or units. This target is illustrative and should be calibrated using business tolerance and experimental evidence.</w:t>
            </w:r>
          </w:p>
        </w:tc>
      </w:tr>
    </w:tbl>
    <w:p>
      <w:pPr>
        <w:spacing w:after="0"/>
      </w:pPr>
    </w:p>
    <w:p>
      <w:r>
        <w:br w:type="page"/>
      </w:r>
    </w:p>
    <w:p>
      <w:pPr>
        <w:pStyle w:val="Heading1"/>
      </w:pPr>
      <w:r>
        <w:t>11. Recommendation Risks and Mitigations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880"/>
            <w:vAlign w:val="center"/>
            <w:shd w:fill="2874F0"/>
          </w:tcPr>
          <w:p>
            <w:r/>
            <w:r>
              <w:rPr>
                <w:rFonts w:ascii="Aptos" w:hAnsi="Aptos"/>
                <w:b/>
                <w:color w:val="FFFFFF"/>
                <w:sz w:val="18"/>
              </w:rPr>
              <w:t>Risk</w:t>
            </w:r>
          </w:p>
        </w:tc>
        <w:tc>
          <w:tcPr>
            <w:tcW w:type="dxa" w:w="3888"/>
            <w:vAlign w:val="center"/>
            <w:shd w:fill="2874F0"/>
          </w:tcPr>
          <w:p>
            <w:r/>
            <w:r>
              <w:rPr>
                <w:rFonts w:ascii="Aptos" w:hAnsi="Aptos"/>
                <w:b/>
                <w:color w:val="FFFFFF"/>
                <w:sz w:val="18"/>
              </w:rPr>
              <w:t>Why it matters</w:t>
            </w:r>
          </w:p>
        </w:tc>
        <w:tc>
          <w:tcPr>
            <w:tcW w:type="dxa" w:w="4032"/>
            <w:vAlign w:val="center"/>
            <w:shd w:fill="2874F0"/>
          </w:tcPr>
          <w:p>
            <w:r/>
            <w:r>
              <w:rPr>
                <w:rFonts w:ascii="Aptos" w:hAnsi="Aptos"/>
                <w:b/>
                <w:color w:val="FFFFFF"/>
                <w:sz w:val="18"/>
              </w:rPr>
              <w:t>Mitigation</w:t>
            </w:r>
          </w:p>
        </w:tc>
      </w:tr>
      <w:tr>
        <w:trPr>
          <w:cantSplit/>
        </w:trPr>
        <w:tc>
          <w:tcPr>
            <w:tcW w:type="dxa" w:w="2880"/>
            <w:vAlign w:val="center"/>
          </w:tcPr>
          <w:p>
            <w:r/>
            <w:r>
              <w:rPr>
                <w:rFonts w:ascii="Aptos" w:hAnsi="Aptos"/>
                <w:b w:val="0"/>
                <w:sz w:val="17"/>
              </w:rPr>
              <w:t>Discount reduction lowers demand</w:t>
            </w:r>
          </w:p>
        </w:tc>
        <w:tc>
          <w:tcPr>
            <w:tcW w:type="dxa" w:w="3888"/>
            <w:vAlign w:val="center"/>
          </w:tcPr>
          <w:p>
            <w:r/>
            <w:r>
              <w:rPr>
                <w:rFonts w:ascii="Aptos" w:hAnsi="Aptos"/>
                <w:b w:val="0"/>
                <w:sz w:val="17"/>
              </w:rPr>
              <w:t>Scenario benefits assume unchanged volume, which may not hold.</w:t>
            </w:r>
          </w:p>
        </w:tc>
        <w:tc>
          <w:tcPr>
            <w:tcW w:type="dxa" w:w="4032"/>
            <w:vAlign w:val="center"/>
          </w:tcPr>
          <w:p>
            <w:r/>
            <w:r>
              <w:rPr>
                <w:rFonts w:ascii="Aptos" w:hAnsi="Aptos"/>
                <w:b w:val="0"/>
                <w:sz w:val="17"/>
              </w:rPr>
              <w:t>Use controlled pilots; set revenue/conversion guardrails.</w:t>
            </w:r>
          </w:p>
        </w:tc>
      </w:tr>
      <w:tr>
        <w:trPr>
          <w:cantSplit/>
        </w:trPr>
        <w:tc>
          <w:tcPr>
            <w:tcW w:type="dxa" w:w="2880"/>
            <w:vAlign w:val="center"/>
            <w:shd w:fill="F5F8FF"/>
          </w:tcPr>
          <w:p>
            <w:r/>
            <w:r>
              <w:rPr>
                <w:rFonts w:ascii="Aptos" w:hAnsi="Aptos"/>
                <w:b w:val="0"/>
                <w:sz w:val="17"/>
              </w:rPr>
              <w:t>Margin optimization harms customer perception</w:t>
            </w:r>
          </w:p>
        </w:tc>
        <w:tc>
          <w:tcPr>
            <w:tcW w:type="dxa" w:w="3888"/>
            <w:vAlign w:val="center"/>
            <w:shd w:fill="F5F8FF"/>
          </w:tcPr>
          <w:p>
            <w:r/>
            <w:r>
              <w:rPr>
                <w:rFonts w:ascii="Aptos" w:hAnsi="Aptos"/>
                <w:b w:val="0"/>
                <w:sz w:val="17"/>
              </w:rPr>
              <w:t>Price increases or reduced discounts can reduce perceived value.</w:t>
            </w:r>
          </w:p>
        </w:tc>
        <w:tc>
          <w:tcPr>
            <w:tcW w:type="dxa" w:w="4032"/>
            <w:vAlign w:val="center"/>
            <w:shd w:fill="F5F8FF"/>
          </w:tcPr>
          <w:p>
            <w:r/>
            <w:r>
              <w:rPr>
                <w:rFonts w:ascii="Aptos" w:hAnsi="Aptos"/>
                <w:b w:val="0"/>
                <w:sz w:val="17"/>
              </w:rPr>
              <w:t>Use targeted offers, bundles, loyalty benefits, and personalized incentives.</w:t>
            </w:r>
          </w:p>
        </w:tc>
      </w:tr>
      <w:tr>
        <w:trPr>
          <w:cantSplit/>
        </w:trPr>
        <w:tc>
          <w:tcPr>
            <w:tcW w:type="dxa" w:w="2880"/>
            <w:vAlign w:val="center"/>
          </w:tcPr>
          <w:p>
            <w:r/>
            <w:r>
              <w:rPr>
                <w:rFonts w:ascii="Aptos" w:hAnsi="Aptos"/>
                <w:b w:val="0"/>
                <w:sz w:val="17"/>
              </w:rPr>
              <w:t>Supplier-cost negotiations take time</w:t>
            </w:r>
          </w:p>
        </w:tc>
        <w:tc>
          <w:tcPr>
            <w:tcW w:type="dxa" w:w="3888"/>
            <w:vAlign w:val="center"/>
          </w:tcPr>
          <w:p>
            <w:r/>
            <w:r>
              <w:rPr>
                <w:rFonts w:ascii="Aptos" w:hAnsi="Aptos"/>
                <w:b w:val="0"/>
                <w:sz w:val="17"/>
              </w:rPr>
              <w:t>Cost-side improvements may not be immediately available.</w:t>
            </w:r>
          </w:p>
        </w:tc>
        <w:tc>
          <w:tcPr>
            <w:tcW w:type="dxa" w:w="4032"/>
            <w:vAlign w:val="center"/>
          </w:tcPr>
          <w:p>
            <w:r/>
            <w:r>
              <w:rPr>
                <w:rFonts w:ascii="Aptos" w:hAnsi="Aptos"/>
                <w:b w:val="0"/>
                <w:sz w:val="17"/>
              </w:rPr>
              <w:t>Prioritize products by profit-dollar opportunity and supplier leverage.</w:t>
            </w:r>
          </w:p>
        </w:tc>
      </w:tr>
      <w:tr>
        <w:trPr>
          <w:cantSplit/>
        </w:trPr>
        <w:tc>
          <w:tcPr>
            <w:tcW w:type="dxa" w:w="2880"/>
            <w:vAlign w:val="center"/>
            <w:shd w:fill="F5F8FF"/>
          </w:tcPr>
          <w:p>
            <w:r/>
            <w:r>
              <w:rPr>
                <w:rFonts w:ascii="Aptos" w:hAnsi="Aptos"/>
                <w:b w:val="0"/>
                <w:sz w:val="17"/>
              </w:rPr>
              <w:t>Synthetic data overstates pattern stability</w:t>
            </w:r>
          </w:p>
        </w:tc>
        <w:tc>
          <w:tcPr>
            <w:tcW w:type="dxa" w:w="3888"/>
            <w:vAlign w:val="center"/>
            <w:shd w:fill="F5F8FF"/>
          </w:tcPr>
          <w:p>
            <w:r/>
            <w:r>
              <w:rPr>
                <w:rFonts w:ascii="Aptos" w:hAnsi="Aptos"/>
                <w:b w:val="0"/>
                <w:sz w:val="17"/>
              </w:rPr>
              <w:t>Portfolio dataset may not reflect real marketplace seasonality or customer behavior.</w:t>
            </w:r>
          </w:p>
        </w:tc>
        <w:tc>
          <w:tcPr>
            <w:tcW w:type="dxa" w:w="4032"/>
            <w:vAlign w:val="center"/>
            <w:shd w:fill="F5F8FF"/>
          </w:tcPr>
          <w:p>
            <w:r/>
            <w:r>
              <w:rPr>
                <w:rFonts w:ascii="Aptos" w:hAnsi="Aptos"/>
                <w:b w:val="0"/>
                <w:sz w:val="17"/>
              </w:rPr>
              <w:t>Treat results as a case-study decision framework, not real Flipkart evidence.</w:t>
            </w:r>
          </w:p>
        </w:tc>
      </w:tr>
      <w:tr>
        <w:trPr>
          <w:cantSplit/>
        </w:trPr>
        <w:tc>
          <w:tcPr>
            <w:tcW w:type="dxa" w:w="2880"/>
            <w:vAlign w:val="center"/>
          </w:tcPr>
          <w:p>
            <w:r/>
            <w:r>
              <w:rPr>
                <w:rFonts w:ascii="Aptos" w:hAnsi="Aptos"/>
                <w:b w:val="0"/>
                <w:sz w:val="17"/>
              </w:rPr>
              <w:t>Overfitting to current period</w:t>
            </w:r>
          </w:p>
        </w:tc>
        <w:tc>
          <w:tcPr>
            <w:tcW w:type="dxa" w:w="3888"/>
            <w:vAlign w:val="center"/>
          </w:tcPr>
          <w:p>
            <w:r/>
            <w:r>
              <w:rPr>
                <w:rFonts w:ascii="Aptos" w:hAnsi="Aptos"/>
                <w:b w:val="0"/>
                <w:sz w:val="17"/>
              </w:rPr>
              <w:t>Two years may not capture shocks, campaigns, or longer cycles.</w:t>
            </w:r>
          </w:p>
        </w:tc>
        <w:tc>
          <w:tcPr>
            <w:tcW w:type="dxa" w:w="4032"/>
            <w:vAlign w:val="center"/>
          </w:tcPr>
          <w:p>
            <w:r/>
            <w:r>
              <w:rPr>
                <w:rFonts w:ascii="Aptos" w:hAnsi="Aptos"/>
                <w:b w:val="0"/>
                <w:sz w:val="17"/>
              </w:rPr>
              <w:t>Use rolling comparisons and continuously re-estimate economics.</w:t>
            </w:r>
          </w:p>
        </w:tc>
      </w:tr>
    </w:tbl>
    <w:p>
      <w:pPr>
        <w:spacing w:after="0"/>
      </w:pPr>
    </w:p>
    <w:p>
      <w:pPr>
        <w:pStyle w:val="Heading2"/>
      </w:pPr>
      <w:r>
        <w:t>Assumptions</w:t>
      </w:r>
    </w:p>
    <w:p>
      <w:pPr>
        <w:pStyle w:val="ListBullet"/>
        <w:spacing w:after="60"/>
      </w:pPr>
      <w:r>
        <w:t>Sales_amount, cost_amount, and profit are assumed to be the intended commercial measures for each transaction.</w:t>
      </w:r>
    </w:p>
    <w:p>
      <w:pPr>
        <w:pStyle w:val="ListBullet"/>
        <w:spacing w:after="60"/>
      </w:pPr>
      <w:r>
        <w:t>Negative quantity is treated as a return proxy because that is how the cleaned dataset was designed.</w:t>
      </w:r>
    </w:p>
    <w:p>
      <w:pPr>
        <w:pStyle w:val="ListBullet"/>
        <w:spacing w:after="60"/>
      </w:pPr>
      <w:r>
        <w:t>Scenario calculations assume unchanged volume and cost unless explicitly stated; therefore they are sensitivity analyses, not forecasts.</w:t>
      </w:r>
    </w:p>
    <w:p>
      <w:pPr>
        <w:pStyle w:val="ListBullet"/>
        <w:spacing w:after="60"/>
      </w:pPr>
      <w:r>
        <w:t>Category and region recommendations use the cleaned standardized fields, while known taxonomy anomalies remain a governance concern.</w:t>
      </w:r>
    </w:p>
    <w:p>
      <w:pPr>
        <w:pStyle w:val="ListBullet"/>
        <w:spacing w:after="60"/>
      </w:pPr>
      <w:r>
        <w:t>This report intentionally avoids presenting the portfolio dataset as actual Flipkart operational data.</w:t>
      </w:r>
    </w:p>
    <w:p>
      <w:r>
        <w:br w:type="page"/>
      </w:r>
    </w:p>
    <w:p>
      <w:pPr>
        <w:pStyle w:val="Heading1"/>
      </w:pPr>
      <w:r>
        <w:t>12. Final Business Recommendation</w:t>
      </w:r>
    </w:p>
    <w:p>
      <w:r>
        <w:rPr>
          <w:b/>
          <w:color w:val="2874F0"/>
        </w:rPr>
        <w:t xml:space="preserve">Primary decision: </w:t>
      </w:r>
      <w:r>
        <w:t>Move the commercial operating model from revenue-first discounting toward profit-aware growth.</w:t>
      </w:r>
    </w:p>
    <w:p>
      <w:r>
        <w:t>The strongest evidence in this analysis is the discount-to-profit relationship. The business already produces a healthy overall margin, so the immediate opportunity is to preserve and improve contribution economics while testing growth. Deep promotions should become exception-based, not default. High-revenue low-margin products should receive structured pricing and cost interventions. Growth initiatives should then be measured on incremental profit, not only incremental sales.</w:t>
      </w:r>
    </w:p>
    <w:tbl>
      <w:tblPr>
        <w:tblStyle w:val="TableGrid"/>
        <w:tblW w:type="auto" w:w="0"/>
        <w:jc w:val="center"/>
        <w:tblLook w:firstColumn="1" w:firstRow="1" w:lastColumn="0" w:lastRow="0" w:noHBand="0" w:noVBand="1" w:val="04A0"/>
      </w:tblPr>
      <w:tblGrid>
        <w:gridCol w:w="5083"/>
        <w:gridCol w:w="5083"/>
      </w:tblGrid>
      <w:tr>
        <w:trPr>
          <w:cantSplit/>
        </w:trPr>
        <w:tc>
          <w:tcPr>
            <w:tcW w:type="dxa" w:w="3168"/>
            <w:vAlign w:val="center"/>
            <w:shd w:fill="2874F0"/>
          </w:tcPr>
          <w:p>
            <w:r/>
            <w:r>
              <w:rPr>
                <w:rFonts w:ascii="Aptos" w:hAnsi="Aptos"/>
                <w:b/>
                <w:color w:val="FFFFFF"/>
                <w:sz w:val="18"/>
              </w:rPr>
              <w:t>Decision</w:t>
            </w:r>
          </w:p>
        </w:tc>
        <w:tc>
          <w:tcPr>
            <w:tcW w:type="dxa" w:w="7776"/>
            <w:vAlign w:val="center"/>
            <w:shd w:fill="2874F0"/>
          </w:tcPr>
          <w:p>
            <w:r/>
            <w:r>
              <w:rPr>
                <w:rFonts w:ascii="Aptos" w:hAnsi="Aptos"/>
                <w:b/>
                <w:color w:val="FFFFFF"/>
                <w:sz w:val="18"/>
              </w:rPr>
              <w:t>Recommended stance</w:t>
            </w:r>
          </w:p>
        </w:tc>
      </w:tr>
      <w:tr>
        <w:trPr>
          <w:cantSplit/>
        </w:trPr>
        <w:tc>
          <w:tcPr>
            <w:tcW w:type="dxa" w:w="3168"/>
            <w:vAlign w:val="center"/>
          </w:tcPr>
          <w:p>
            <w:r/>
            <w:r>
              <w:rPr>
                <w:rFonts w:ascii="Aptos" w:hAnsi="Aptos"/>
                <w:b w:val="0"/>
                <w:sz w:val="17"/>
              </w:rPr>
              <w:t>Deep discounts (&gt;10%)</w:t>
            </w:r>
          </w:p>
        </w:tc>
        <w:tc>
          <w:tcPr>
            <w:tcW w:type="dxa" w:w="7776"/>
            <w:vAlign w:val="center"/>
          </w:tcPr>
          <w:p>
            <w:r/>
            <w:r>
              <w:rPr>
                <w:rFonts w:ascii="Aptos" w:hAnsi="Aptos"/>
                <w:b w:val="0"/>
                <w:sz w:val="17"/>
              </w:rPr>
              <w:t>Restrict to validated use cases; require post-discount margin check and campaign rationale.</w:t>
            </w:r>
          </w:p>
        </w:tc>
      </w:tr>
      <w:tr>
        <w:trPr>
          <w:cantSplit/>
        </w:trPr>
        <w:tc>
          <w:tcPr>
            <w:tcW w:type="dxa" w:w="3168"/>
            <w:vAlign w:val="center"/>
            <w:shd w:fill="F5F8FF"/>
          </w:tcPr>
          <w:p>
            <w:r/>
            <w:r>
              <w:rPr>
                <w:rFonts w:ascii="Aptos" w:hAnsi="Aptos"/>
                <w:b w:val="0"/>
                <w:sz w:val="17"/>
              </w:rPr>
              <w:t>High-revenue low-margin SKUs</w:t>
            </w:r>
          </w:p>
        </w:tc>
        <w:tc>
          <w:tcPr>
            <w:tcW w:type="dxa" w:w="7776"/>
            <w:vAlign w:val="center"/>
            <w:shd w:fill="F5F8FF"/>
          </w:tcPr>
          <w:p>
            <w:r/>
            <w:r>
              <w:rPr>
                <w:rFonts w:ascii="Aptos" w:hAnsi="Aptos"/>
                <w:b w:val="0"/>
                <w:sz w:val="17"/>
              </w:rPr>
              <w:t>Prioritize for price, cost, supplier, and promotion redesign.</w:t>
            </w:r>
          </w:p>
        </w:tc>
      </w:tr>
      <w:tr>
        <w:trPr>
          <w:cantSplit/>
        </w:trPr>
        <w:tc>
          <w:tcPr>
            <w:tcW w:type="dxa" w:w="3168"/>
            <w:vAlign w:val="center"/>
          </w:tcPr>
          <w:p>
            <w:r/>
            <w:r>
              <w:rPr>
                <w:rFonts w:ascii="Aptos" w:hAnsi="Aptos"/>
                <w:b w:val="0"/>
                <w:sz w:val="17"/>
              </w:rPr>
              <w:t>Category strategy</w:t>
            </w:r>
          </w:p>
        </w:tc>
        <w:tc>
          <w:tcPr>
            <w:tcW w:type="dxa" w:w="7776"/>
            <w:vAlign w:val="center"/>
          </w:tcPr>
          <w:p>
            <w:r/>
            <w:r>
              <w:rPr>
                <w:rFonts w:ascii="Aptos" w:hAnsi="Aptos"/>
                <w:b w:val="0"/>
                <w:sz w:val="17"/>
              </w:rPr>
              <w:t>Protect Furniture / Home &amp; Kitchen economics; improve Electronics and Office Supplies margin quality.</w:t>
            </w:r>
          </w:p>
        </w:tc>
      </w:tr>
      <w:tr>
        <w:trPr>
          <w:cantSplit/>
        </w:trPr>
        <w:tc>
          <w:tcPr>
            <w:tcW w:type="dxa" w:w="3168"/>
            <w:vAlign w:val="center"/>
            <w:shd w:fill="F5F8FF"/>
          </w:tcPr>
          <w:p>
            <w:r/>
            <w:r>
              <w:rPr>
                <w:rFonts w:ascii="Aptos" w:hAnsi="Aptos"/>
                <w:b w:val="0"/>
                <w:sz w:val="17"/>
              </w:rPr>
              <w:t>Regional strategy</w:t>
            </w:r>
          </w:p>
        </w:tc>
        <w:tc>
          <w:tcPr>
            <w:tcW w:type="dxa" w:w="7776"/>
            <w:vAlign w:val="center"/>
            <w:shd w:fill="F5F8FF"/>
          </w:tcPr>
          <w:p>
            <w:r/>
            <w:r>
              <w:rPr>
                <w:rFonts w:ascii="Aptos" w:hAnsi="Aptos"/>
                <w:b w:val="0"/>
                <w:sz w:val="17"/>
              </w:rPr>
              <w:t>Compare normalized metrics before reallocating investment; avoid judging Central by total revenue alone.</w:t>
            </w:r>
          </w:p>
        </w:tc>
      </w:tr>
      <w:tr>
        <w:trPr>
          <w:cantSplit/>
        </w:trPr>
        <w:tc>
          <w:tcPr>
            <w:tcW w:type="dxa" w:w="3168"/>
            <w:vAlign w:val="center"/>
          </w:tcPr>
          <w:p>
            <w:r/>
            <w:r>
              <w:rPr>
                <w:rFonts w:ascii="Aptos" w:hAnsi="Aptos"/>
                <w:b w:val="0"/>
                <w:sz w:val="17"/>
              </w:rPr>
              <w:t>Customer strategy</w:t>
            </w:r>
          </w:p>
        </w:tc>
        <w:tc>
          <w:tcPr>
            <w:tcW w:type="dxa" w:w="7776"/>
            <w:vAlign w:val="center"/>
          </w:tcPr>
          <w:p>
            <w:r/>
            <w:r>
              <w:rPr>
                <w:rFonts w:ascii="Aptos" w:hAnsi="Aptos"/>
                <w:b w:val="0"/>
                <w:sz w:val="17"/>
              </w:rPr>
              <w:t>Use current data for spend/frequency segmentation, but enrich the model before acquisition/retention decisions.</w:t>
            </w:r>
          </w:p>
        </w:tc>
      </w:tr>
      <w:tr>
        <w:trPr>
          <w:cantSplit/>
        </w:trPr>
        <w:tc>
          <w:tcPr>
            <w:tcW w:type="dxa" w:w="3168"/>
            <w:vAlign w:val="center"/>
            <w:shd w:fill="F5F8FF"/>
          </w:tcPr>
          <w:p>
            <w:r/>
            <w:r>
              <w:rPr>
                <w:rFonts w:ascii="Aptos" w:hAnsi="Aptos"/>
                <w:b w:val="0"/>
                <w:sz w:val="17"/>
              </w:rPr>
              <w:t>Return strategy</w:t>
            </w:r>
          </w:p>
        </w:tc>
        <w:tc>
          <w:tcPr>
            <w:tcW w:type="dxa" w:w="7776"/>
            <w:vAlign w:val="center"/>
            <w:shd w:fill="F5F8FF"/>
          </w:tcPr>
          <w:p>
            <w:r/>
            <w:r>
              <w:rPr>
                <w:rFonts w:ascii="Aptos" w:hAnsi="Aptos"/>
                <w:b w:val="0"/>
                <w:sz w:val="17"/>
              </w:rPr>
              <w:t>Instrument true return lifecycle before policy optimization.</w:t>
            </w:r>
          </w:p>
        </w:tc>
      </w:tr>
      <w:tr>
        <w:trPr>
          <w:cantSplit/>
        </w:trPr>
        <w:tc>
          <w:tcPr>
            <w:tcW w:type="dxa" w:w="3168"/>
            <w:vAlign w:val="center"/>
          </w:tcPr>
          <w:p>
            <w:r/>
            <w:r>
              <w:rPr>
                <w:rFonts w:ascii="Aptos" w:hAnsi="Aptos"/>
                <w:b w:val="0"/>
                <w:sz w:val="17"/>
              </w:rPr>
              <w:t>Management cadence</w:t>
            </w:r>
          </w:p>
        </w:tc>
        <w:tc>
          <w:tcPr>
            <w:tcW w:type="dxa" w:w="7776"/>
            <w:vAlign w:val="center"/>
          </w:tcPr>
          <w:p>
            <w:r/>
            <w:r>
              <w:rPr>
                <w:rFonts w:ascii="Aptos" w:hAnsi="Aptos"/>
                <w:b w:val="0"/>
                <w:sz w:val="17"/>
              </w:rPr>
              <w:t>Review profit, margin, loss-order rate, and promotion ROI weekly; review category and growth strategy monthly.</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EAF2FF"/>
          </w:tcPr>
          <w:p>
            <w:pPr>
              <w:pStyle w:val="Callout"/>
            </w:pPr>
            <w:r>
              <w:rPr>
                <w:b/>
                <w:color w:val="2874F0"/>
              </w:rPr>
              <w:t xml:space="preserve">Expected business outcome: </w:t>
            </w:r>
            <w:r>
              <w:t>A more disciplined commercial model with fewer loss-making promotions, better SKU-level profitability, clearer growth experiments, and stronger confidence in management decisions. The objective is not simply to maximize revenue; it is to increase sustainable, decision-quality profit.</w:t>
            </w:r>
          </w:p>
        </w:tc>
      </w:tr>
    </w:tbl>
    <w:p>
      <w:pPr>
        <w:spacing w:after="0"/>
      </w:pPr>
    </w:p>
    <w:p>
      <w:pPr>
        <w:spacing w:before="360"/>
      </w:pPr>
      <w:r>
        <w:rPr>
          <w:b/>
          <w:color w:val="65748B"/>
        </w:rPr>
        <w:t>End of report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5748B"/>
        <w:sz w:val="16"/>
      </w:rPr>
      <w:t xml:space="preserve">Portfolio Case Study | Decision Recommendation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5748B"/>
        <w:sz w:val="16"/>
      </w:rPr>
      <w:t>Flipkart-Style E-Commerce Customer Purchase Analytics | Business Decision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Aptos Display" w:hAnsi="Aptos Display"/>
      <w:b/>
      <w:bCs/>
      <w:color w:val="2874F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5748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ind w:left="216" w:right="216"/>
    </w:pPr>
    <w:rPr>
      <w:rFonts w:ascii="Aptos" w:hAnsi="Aptos"/>
      <w:color w:val="17365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