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E56E" w14:textId="77777777" w:rsidR="00A33934" w:rsidRDefault="00000000">
      <w:pPr>
        <w:spacing w:after="60"/>
        <w:jc w:val="center"/>
      </w:pPr>
      <w:r>
        <w:rPr>
          <w:rFonts w:cs="Times New Roman"/>
          <w:b/>
          <w:bCs/>
          <w:sz w:val="44"/>
          <w:szCs w:val="44"/>
        </w:rPr>
        <w:t>Hardware-Software Co-Design for LLM Quantization:</w:t>
      </w:r>
    </w:p>
    <w:p w14:paraId="50DB805B" w14:textId="77777777" w:rsidR="00A33934" w:rsidRDefault="00000000">
      <w:pPr>
        <w:spacing w:after="160"/>
        <w:jc w:val="center"/>
      </w:pPr>
      <w:r>
        <w:rPr>
          <w:rFonts w:cs="Times New Roman"/>
          <w:b/>
          <w:bCs/>
          <w:sz w:val="44"/>
          <w:szCs w:val="44"/>
        </w:rPr>
        <w:t>A Comparative Analysis of ASIC and FPGA Approaches</w:t>
      </w:r>
    </w:p>
    <w:p w14:paraId="0FD80345" w14:textId="77777777" w:rsidR="00A33934" w:rsidRDefault="00000000">
      <w:pPr>
        <w:spacing w:after="40"/>
        <w:jc w:val="center"/>
      </w:pPr>
      <w:proofErr w:type="spellStart"/>
      <w:r>
        <w:rPr>
          <w:rFonts w:cs="Times New Roman"/>
        </w:rPr>
        <w:t>Gyanu</w:t>
      </w:r>
      <w:proofErr w:type="spellEnd"/>
      <w:r>
        <w:rPr>
          <w:rFonts w:cs="Times New Roman"/>
        </w:rPr>
        <w:t xml:space="preserve"> Pandey</w:t>
      </w:r>
    </w:p>
    <w:p w14:paraId="6D022A3B" w14:textId="07396217" w:rsidR="00A33934" w:rsidRDefault="00000000">
      <w:pPr>
        <w:spacing w:after="40"/>
        <w:jc w:val="center"/>
      </w:pPr>
      <w:r>
        <w:rPr>
          <w:rFonts w:cs="Times New Roman"/>
        </w:rPr>
        <w:t>CECS 5</w:t>
      </w:r>
      <w:r w:rsidR="00224390">
        <w:rPr>
          <w:rFonts w:cs="Times New Roman"/>
        </w:rPr>
        <w:t>30</w:t>
      </w:r>
      <w:r>
        <w:rPr>
          <w:rFonts w:cs="Times New Roman"/>
        </w:rPr>
        <w:t>: Advanced Computer Architecture</w:t>
      </w:r>
    </w:p>
    <w:p w14:paraId="071B142C" w14:textId="77777777" w:rsidR="00A33934" w:rsidRDefault="00000000">
      <w:pPr>
        <w:spacing w:after="240"/>
        <w:jc w:val="center"/>
      </w:pPr>
      <w:r>
        <w:rPr>
          <w:rFonts w:cs="Times New Roman"/>
        </w:rPr>
        <w:t>California State University, Long Beach</w:t>
      </w:r>
    </w:p>
    <w:p w14:paraId="34E17D54" w14:textId="77777777" w:rsidR="00A33934" w:rsidRDefault="00000000">
      <w:pPr>
        <w:spacing w:before="120" w:after="80"/>
      </w:pPr>
      <w:r>
        <w:rPr>
          <w:rFonts w:cs="Times New Roman"/>
          <w:b/>
          <w:bCs/>
          <w:sz w:val="26"/>
          <w:szCs w:val="26"/>
        </w:rPr>
        <w:t>I. INTRODUCTION</w:t>
      </w:r>
    </w:p>
    <w:p w14:paraId="4991D2D6" w14:textId="77777777" w:rsidR="00A33934" w:rsidRDefault="00000000">
      <w:pPr>
        <w:spacing w:after="100"/>
        <w:jc w:val="both"/>
      </w:pPr>
      <w:r>
        <w:rPr>
          <w:rFonts w:cs="Times New Roman"/>
        </w:rPr>
        <w:t xml:space="preserve">Large Language Models have fundamentally changed what artificial intelligence can accomplish. Models like GPT-4 and </w:t>
      </w:r>
      <w:proofErr w:type="spellStart"/>
      <w:r>
        <w:rPr>
          <w:rFonts w:cs="Times New Roman"/>
        </w:rPr>
        <w:t>LLaMA</w:t>
      </w:r>
      <w:proofErr w:type="spellEnd"/>
      <w:r>
        <w:rPr>
          <w:rFonts w:cs="Times New Roman"/>
        </w:rPr>
        <w:t xml:space="preserve"> demonstrate remarkable abilities in text generation, code synthesis, and complex reasoning. However, deploying these models at scale presents a significant engineering challenge. A model like LLaMA-70B requires approximately 140 GB just to store its weights, which exceeds the memory capacity of most available hardware. Even high-end </w:t>
      </w:r>
      <w:proofErr w:type="spellStart"/>
      <w:r>
        <w:rPr>
          <w:rFonts w:cs="Times New Roman"/>
        </w:rPr>
        <w:t>datacenter</w:t>
      </w:r>
      <w:proofErr w:type="spellEnd"/>
      <w:r>
        <w:rPr>
          <w:rFonts w:cs="Times New Roman"/>
        </w:rPr>
        <w:t xml:space="preserve"> GPUs like the NVIDIA A100, priced at over $15,000, provide only 80 GB of memory.</w:t>
      </w:r>
    </w:p>
    <w:p w14:paraId="7A5234FB" w14:textId="77777777" w:rsidR="00A33934" w:rsidRDefault="00000000">
      <w:pPr>
        <w:spacing w:after="100"/>
        <w:jc w:val="both"/>
      </w:pPr>
      <w:r>
        <w:rPr>
          <w:rFonts w:cs="Times New Roman"/>
        </w:rPr>
        <w:t>Quantization offers a practical solution by reducing numerical precision from 32-bit floating point to 8-bit or 4-bit integers, shrinking memory requirements by 4-8x. However, software-based quantization on standard GPUs introduces overhead from runtime dequantization, sometimes making inference slower rather than faster. This paper examines whether custom hardware designed specifically for quantized inference can overcome these limitations.</w:t>
      </w:r>
    </w:p>
    <w:p w14:paraId="3EC767D6" w14:textId="77777777" w:rsidR="00A33934" w:rsidRDefault="00000000">
      <w:pPr>
        <w:spacing w:before="120" w:after="80"/>
      </w:pPr>
      <w:r>
        <w:rPr>
          <w:rFonts w:cs="Times New Roman"/>
          <w:b/>
          <w:bCs/>
          <w:sz w:val="26"/>
          <w:szCs w:val="26"/>
        </w:rPr>
        <w:t>II. RELATED WORK</w:t>
      </w:r>
    </w:p>
    <w:p w14:paraId="02E750BE" w14:textId="77777777" w:rsidR="00A33934" w:rsidRDefault="00000000">
      <w:pPr>
        <w:spacing w:after="100"/>
        <w:jc w:val="both"/>
      </w:pPr>
      <w:r>
        <w:rPr>
          <w:rFonts w:cs="Times New Roman"/>
        </w:rPr>
        <w:t xml:space="preserve">Software quantization tools like </w:t>
      </w:r>
      <w:proofErr w:type="spellStart"/>
      <w:r>
        <w:rPr>
          <w:rFonts w:cs="Times New Roman"/>
        </w:rPr>
        <w:t>bitsandbytes</w:t>
      </w:r>
      <w:proofErr w:type="spellEnd"/>
      <w:r>
        <w:rPr>
          <w:rFonts w:cs="Times New Roman"/>
        </w:rPr>
        <w:t xml:space="preserve">, ONNX Runtime, and llama.cpp have made quantized inference accessible on commodity hardware. These libraries store weights in reduced precision but must convert them back to floating point for GPU computation. </w:t>
      </w:r>
      <w:proofErr w:type="spellStart"/>
      <w:r>
        <w:rPr>
          <w:rFonts w:cs="Times New Roman"/>
        </w:rPr>
        <w:t>CipherCore</w:t>
      </w:r>
      <w:proofErr w:type="spellEnd"/>
      <w:r>
        <w:rPr>
          <w:rFonts w:cs="Times New Roman"/>
        </w:rPr>
        <w:t xml:space="preserve"> benchmarks reveal mixed results: </w:t>
      </w:r>
      <w:proofErr w:type="spellStart"/>
      <w:r>
        <w:rPr>
          <w:rFonts w:cs="Times New Roman"/>
        </w:rPr>
        <w:t>bitsandbytes</w:t>
      </w:r>
      <w:proofErr w:type="spellEnd"/>
      <w:r>
        <w:rPr>
          <w:rFonts w:cs="Times New Roman"/>
        </w:rPr>
        <w:t xml:space="preserve"> runs 35% slower than unquantized baselines on certain workloads, while ONNX Runtime achieves a 1.7x speedup in optimal conditions.</w:t>
      </w:r>
    </w:p>
    <w:p w14:paraId="7F112DE2" w14:textId="77777777" w:rsidR="00A33934" w:rsidRDefault="00000000">
      <w:pPr>
        <w:spacing w:after="100"/>
        <w:jc w:val="both"/>
      </w:pPr>
      <w:proofErr w:type="spellStart"/>
      <w:r>
        <w:rPr>
          <w:rFonts w:cs="Times New Roman"/>
          <w:b/>
          <w:bCs/>
        </w:rPr>
        <w:t>Oltron</w:t>
      </w:r>
      <w:proofErr w:type="spellEnd"/>
      <w:r>
        <w:rPr>
          <w:rFonts w:cs="Times New Roman"/>
        </w:rPr>
        <w:t xml:space="preserve"> [1], developed at Peking University and published at DAC 2024, introduces a custom ASIC that addresses the outlier problem in neural network quantization. Approximately 1% of weight values are outliers, 10-100x larger than typical values. </w:t>
      </w:r>
      <w:proofErr w:type="spellStart"/>
      <w:r>
        <w:rPr>
          <w:rFonts w:cs="Times New Roman"/>
        </w:rPr>
        <w:t>Oltron</w:t>
      </w:r>
      <w:proofErr w:type="spellEnd"/>
      <w:r>
        <w:rPr>
          <w:rFonts w:cs="Times New Roman"/>
        </w:rPr>
        <w:t xml:space="preserve"> handles this through adaptive quantization that assigns different precision levels per channel, combined with reconfigurable processing elements that switch between INT4 and FP16 operations at runtime.</w:t>
      </w:r>
    </w:p>
    <w:p w14:paraId="511A4564" w14:textId="77777777" w:rsidR="00A33934" w:rsidRDefault="00000000">
      <w:pPr>
        <w:spacing w:after="100"/>
        <w:jc w:val="both"/>
      </w:pPr>
      <w:r>
        <w:rPr>
          <w:rFonts w:cs="Times New Roman"/>
          <w:b/>
          <w:bCs/>
        </w:rPr>
        <w:t>FlightLLM</w:t>
      </w:r>
      <w:r>
        <w:rPr>
          <w:rFonts w:cs="Times New Roman"/>
        </w:rPr>
        <w:t xml:space="preserve"> [2], from Tsinghua University and published at FPGA 2024, uses reconfigurable FPGA fabric. Their architecture exploits sparsity through configurable DSP units that skip zero-value computations entirely, and keeps the key-value cache in fast on-chip SRAM rather than slower DRAM, eliminating a major memory bottleneck during autoregressive decoding.</w:t>
      </w:r>
    </w:p>
    <w:p w14:paraId="77E4FBB2" w14:textId="77777777" w:rsidR="00A33934" w:rsidRDefault="00000000">
      <w:pPr>
        <w:spacing w:before="120" w:after="80"/>
      </w:pPr>
      <w:r>
        <w:rPr>
          <w:rFonts w:cs="Times New Roman"/>
          <w:b/>
          <w:bCs/>
          <w:sz w:val="26"/>
          <w:szCs w:val="26"/>
        </w:rPr>
        <w:t>III. METHODOLOGY</w:t>
      </w:r>
    </w:p>
    <w:p w14:paraId="2698CADC" w14:textId="77777777" w:rsidR="00A33934" w:rsidRDefault="00000000">
      <w:pPr>
        <w:spacing w:after="100"/>
        <w:jc w:val="both"/>
      </w:pPr>
      <w:r>
        <w:rPr>
          <w:rFonts w:cs="Times New Roman"/>
        </w:rPr>
        <w:t xml:space="preserve">This study conducts a comparative analysis of the two hardware approaches against software-only baselines. The evaluation focuses on three metrics: inference throughput (tokens per second), energy efficiency (performance per watt), and accuracy preservation (perplexity degradation). Both papers evaluate on </w:t>
      </w:r>
      <w:proofErr w:type="spellStart"/>
      <w:r>
        <w:rPr>
          <w:rFonts w:cs="Times New Roman"/>
        </w:rPr>
        <w:t>LLaMA</w:t>
      </w:r>
      <w:proofErr w:type="spellEnd"/>
      <w:r>
        <w:rPr>
          <w:rFonts w:cs="Times New Roman"/>
        </w:rPr>
        <w:t xml:space="preserve"> variants, providing a reasonable basis for </w:t>
      </w:r>
      <w:r>
        <w:rPr>
          <w:rFonts w:cs="Times New Roman"/>
        </w:rPr>
        <w:lastRenderedPageBreak/>
        <w:t>comparison. The analysis examines each system's architectural innovations and their impact on the memory bottleneck that dominates LLM inference.</w:t>
      </w:r>
    </w:p>
    <w:p w14:paraId="4EAB22AD" w14:textId="77777777" w:rsidR="00A33934" w:rsidRDefault="00000000">
      <w:pPr>
        <w:spacing w:before="120" w:after="80"/>
      </w:pPr>
      <w:r>
        <w:rPr>
          <w:rFonts w:cs="Times New Roman"/>
          <w:b/>
          <w:bCs/>
          <w:sz w:val="26"/>
          <w:szCs w:val="26"/>
        </w:rPr>
        <w:t>IV. RESULTS AND DISCUSSION</w:t>
      </w:r>
    </w:p>
    <w:p w14:paraId="165E2F00" w14:textId="77777777" w:rsidR="00A33934" w:rsidRDefault="00000000">
      <w:pPr>
        <w:spacing w:after="100"/>
        <w:jc w:val="both"/>
      </w:pPr>
      <w:proofErr w:type="spellStart"/>
      <w:r>
        <w:rPr>
          <w:rFonts w:cs="Times New Roman"/>
        </w:rPr>
        <w:t>Oltron</w:t>
      </w:r>
      <w:proofErr w:type="spellEnd"/>
      <w:r>
        <w:rPr>
          <w:rFonts w:cs="Times New Roman"/>
        </w:rPr>
        <w:t xml:space="preserve"> achieves a 1.9x speedup over prior accelerators while maintaining less than 1% accuracy degradation. The chip, fabricated in 12nm technology, demonstrates 1.6x better energy efficiency through its tile-based dataflow that maximizes data reuse. The adaptive quantization scheme proves effective at handling outliers without the runtime dequantization overhead that plagues software solutions.</w:t>
      </w:r>
    </w:p>
    <w:p w14:paraId="363DD8E9" w14:textId="77777777" w:rsidR="00A33934" w:rsidRDefault="00000000">
      <w:pPr>
        <w:spacing w:after="100"/>
        <w:jc w:val="both"/>
      </w:pPr>
      <w:r>
        <w:rPr>
          <w:rFonts w:cs="Times New Roman"/>
        </w:rPr>
        <w:t xml:space="preserve">FlightLLM delivers even more dramatic improvements in energy efficiency, achieving 6x better performance per watt compared to GPU baselines. Running on a Xilinx U280 FPGA that draws only 75 watts, it matches or exceeds the throughput of an NVIDIA A100 consuming 300 watts. At </w:t>
      </w:r>
      <w:proofErr w:type="spellStart"/>
      <w:r>
        <w:rPr>
          <w:rFonts w:cs="Times New Roman"/>
        </w:rPr>
        <w:t>datacenter</w:t>
      </w:r>
      <w:proofErr w:type="spellEnd"/>
      <w:r>
        <w:rPr>
          <w:rFonts w:cs="Times New Roman"/>
        </w:rPr>
        <w:t xml:space="preserve"> scale where power and cooling dominate operational costs, this efficiency advantage translates directly to reduced total cost of ownership.</w:t>
      </w:r>
    </w:p>
    <w:p w14:paraId="7DB7282D" w14:textId="77777777" w:rsidR="00A33934" w:rsidRDefault="00000000">
      <w:pPr>
        <w:spacing w:after="100"/>
        <w:jc w:val="both"/>
      </w:pPr>
      <w:r>
        <w:rPr>
          <w:rFonts w:cs="Times New Roman"/>
        </w:rPr>
        <w:t>The results confirm that hardware-software co-design substantially outperforms software-only approaches. While the best software tools achieve 1.7x speedup, dedicated hardware consistently delivers 1.9x or better with far superior energy efficiency. The key advantage is eliminating the dequantization overhead entirely by computing directly on quantized values.</w:t>
      </w:r>
    </w:p>
    <w:p w14:paraId="768D35C3" w14:textId="77777777" w:rsidR="00A33934" w:rsidRDefault="00000000">
      <w:pPr>
        <w:spacing w:before="120" w:after="80"/>
      </w:pPr>
      <w:r>
        <w:rPr>
          <w:rFonts w:cs="Times New Roman"/>
          <w:b/>
          <w:bCs/>
          <w:sz w:val="26"/>
          <w:szCs w:val="26"/>
        </w:rPr>
        <w:t>V. CONCLUSION</w:t>
      </w:r>
    </w:p>
    <w:p w14:paraId="22547DF1" w14:textId="77777777" w:rsidR="00A33934" w:rsidRDefault="00000000">
      <w:pPr>
        <w:spacing w:after="100"/>
        <w:jc w:val="both"/>
      </w:pPr>
      <w:r>
        <w:rPr>
          <w:rFonts w:cs="Times New Roman"/>
        </w:rPr>
        <w:t xml:space="preserve">This comparative analysis demonstrates that custom hardware designed for quantized LLM inference significantly outperforms software implementations on general-purpose GPUs. ASICs like </w:t>
      </w:r>
      <w:proofErr w:type="spellStart"/>
      <w:r>
        <w:rPr>
          <w:rFonts w:cs="Times New Roman"/>
        </w:rPr>
        <w:t>Oltron</w:t>
      </w:r>
      <w:proofErr w:type="spellEnd"/>
      <w:r>
        <w:rPr>
          <w:rFonts w:cs="Times New Roman"/>
        </w:rPr>
        <w:t xml:space="preserve"> offer maximum performance through fixed-function optimization, while FPGAs like FlightLLM provide flexibility to adapt as models evolve. Both approaches achieve their gains by addressing the fundamental memory bottleneck through co-designed algorithms and architectures. As LLMs continue to grow in size and deployment scale, hardware-software co-design will likely become essential for practical inference systems.</w:t>
      </w:r>
    </w:p>
    <w:p w14:paraId="1E704305" w14:textId="77777777" w:rsidR="00A33934" w:rsidRDefault="00000000">
      <w:pPr>
        <w:spacing w:before="160" w:after="80"/>
      </w:pPr>
      <w:r>
        <w:rPr>
          <w:rFonts w:cs="Times New Roman"/>
          <w:b/>
          <w:bCs/>
          <w:sz w:val="26"/>
          <w:szCs w:val="26"/>
        </w:rPr>
        <w:t>REFERENCES</w:t>
      </w:r>
    </w:p>
    <w:p w14:paraId="53C7E0B2" w14:textId="77777777" w:rsidR="00A33934" w:rsidRDefault="00000000">
      <w:pPr>
        <w:spacing w:after="60"/>
      </w:pPr>
      <w:r>
        <w:rPr>
          <w:rFonts w:cs="Times New Roman"/>
          <w:sz w:val="22"/>
          <w:szCs w:val="22"/>
        </w:rPr>
        <w:t>[1] Y. Liu et al., "</w:t>
      </w:r>
      <w:proofErr w:type="spellStart"/>
      <w:r>
        <w:rPr>
          <w:rFonts w:cs="Times New Roman"/>
          <w:sz w:val="22"/>
          <w:szCs w:val="22"/>
        </w:rPr>
        <w:t>Oltron</w:t>
      </w:r>
      <w:proofErr w:type="spellEnd"/>
      <w:r>
        <w:rPr>
          <w:rFonts w:cs="Times New Roman"/>
          <w:sz w:val="22"/>
          <w:szCs w:val="22"/>
        </w:rPr>
        <w:t>: An ASIC for Efficient LLM Inference via Mixed-Precision Quantization," Proc. Design Automation Conference (DAC), 2024.</w:t>
      </w:r>
    </w:p>
    <w:p w14:paraId="3603EA40" w14:textId="77777777" w:rsidR="00A33934" w:rsidRDefault="00000000">
      <w:pPr>
        <w:spacing w:after="60"/>
      </w:pPr>
      <w:r>
        <w:rPr>
          <w:rFonts w:cs="Times New Roman"/>
          <w:sz w:val="22"/>
          <w:szCs w:val="22"/>
        </w:rPr>
        <w:t>[2] S. Zeng et al., "FlightLLM: Efficient Large Language Model Inference with a Complete Mapping Flow on FPGAs," Proc. ACM/SIGDA International Symposium on FPGAs, 2024.</w:t>
      </w:r>
    </w:p>
    <w:p w14:paraId="4F3E6E11" w14:textId="77777777" w:rsidR="00A33934" w:rsidRDefault="00000000">
      <w:pPr>
        <w:spacing w:after="60"/>
      </w:pPr>
      <w:r>
        <w:rPr>
          <w:rFonts w:cs="Times New Roman"/>
          <w:sz w:val="22"/>
          <w:szCs w:val="22"/>
        </w:rPr>
        <w:t>[3] T. Dettmers et al., "</w:t>
      </w:r>
      <w:proofErr w:type="spellStart"/>
      <w:r>
        <w:rPr>
          <w:rFonts w:cs="Times New Roman"/>
          <w:sz w:val="22"/>
          <w:szCs w:val="22"/>
        </w:rPr>
        <w:t>bitsandbytes</w:t>
      </w:r>
      <w:proofErr w:type="spellEnd"/>
      <w:r>
        <w:rPr>
          <w:rFonts w:cs="Times New Roman"/>
          <w:sz w:val="22"/>
          <w:szCs w:val="22"/>
        </w:rPr>
        <w:t xml:space="preserve">: 8-bit Matrix Multiplication for Transformers at Scale," </w:t>
      </w:r>
      <w:proofErr w:type="spellStart"/>
      <w:r>
        <w:rPr>
          <w:rFonts w:cs="Times New Roman"/>
          <w:sz w:val="22"/>
          <w:szCs w:val="22"/>
        </w:rPr>
        <w:t>NeurIPS</w:t>
      </w:r>
      <w:proofErr w:type="spellEnd"/>
      <w:r>
        <w:rPr>
          <w:rFonts w:cs="Times New Roman"/>
          <w:sz w:val="22"/>
          <w:szCs w:val="22"/>
        </w:rPr>
        <w:t>, 2022.</w:t>
      </w:r>
    </w:p>
    <w:p w14:paraId="291173B2" w14:textId="2AB93EC6" w:rsidR="00A33934" w:rsidRDefault="00000000">
      <w:pPr>
        <w:spacing w:after="60"/>
      </w:pPr>
      <w:r>
        <w:rPr>
          <w:rFonts w:cs="Times New Roman"/>
          <w:sz w:val="22"/>
          <w:szCs w:val="22"/>
        </w:rPr>
        <w:t>[4]</w:t>
      </w:r>
      <w:r w:rsidR="00FC72B8">
        <w:rPr>
          <w:rFonts w:cs="Times New Roman"/>
          <w:sz w:val="22"/>
          <w:szCs w:val="22"/>
        </w:rPr>
        <w:t xml:space="preserve"> Class </w:t>
      </w:r>
      <w:r>
        <w:rPr>
          <w:rFonts w:cs="Times New Roman"/>
          <w:sz w:val="22"/>
          <w:szCs w:val="22"/>
        </w:rPr>
        <w:t>"LLM Quantization Benchmark: Software Tools Comparison," Technical Report, 2024.</w:t>
      </w:r>
    </w:p>
    <w:sectPr w:rsidR="00A339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B0388"/>
    <w:multiLevelType w:val="hybridMultilevel"/>
    <w:tmpl w:val="9A0A2038"/>
    <w:lvl w:ilvl="0" w:tplc="8B3E38D0">
      <w:start w:val="1"/>
      <w:numFmt w:val="bullet"/>
      <w:lvlText w:val="●"/>
      <w:lvlJc w:val="left"/>
      <w:pPr>
        <w:ind w:left="720" w:hanging="360"/>
      </w:pPr>
    </w:lvl>
    <w:lvl w:ilvl="1" w:tplc="0324E5E6">
      <w:start w:val="1"/>
      <w:numFmt w:val="bullet"/>
      <w:lvlText w:val="○"/>
      <w:lvlJc w:val="left"/>
      <w:pPr>
        <w:ind w:left="1440" w:hanging="360"/>
      </w:pPr>
    </w:lvl>
    <w:lvl w:ilvl="2" w:tplc="32287CF8">
      <w:start w:val="1"/>
      <w:numFmt w:val="bullet"/>
      <w:lvlText w:val="■"/>
      <w:lvlJc w:val="left"/>
      <w:pPr>
        <w:ind w:left="2160" w:hanging="360"/>
      </w:pPr>
    </w:lvl>
    <w:lvl w:ilvl="3" w:tplc="B232BE06">
      <w:start w:val="1"/>
      <w:numFmt w:val="bullet"/>
      <w:lvlText w:val="●"/>
      <w:lvlJc w:val="left"/>
      <w:pPr>
        <w:ind w:left="2880" w:hanging="360"/>
      </w:pPr>
    </w:lvl>
    <w:lvl w:ilvl="4" w:tplc="8EE2DBB2">
      <w:start w:val="1"/>
      <w:numFmt w:val="bullet"/>
      <w:lvlText w:val="○"/>
      <w:lvlJc w:val="left"/>
      <w:pPr>
        <w:ind w:left="3600" w:hanging="360"/>
      </w:pPr>
    </w:lvl>
    <w:lvl w:ilvl="5" w:tplc="C35AF124">
      <w:start w:val="1"/>
      <w:numFmt w:val="bullet"/>
      <w:lvlText w:val="■"/>
      <w:lvlJc w:val="left"/>
      <w:pPr>
        <w:ind w:left="4320" w:hanging="360"/>
      </w:pPr>
    </w:lvl>
    <w:lvl w:ilvl="6" w:tplc="7C1A61C4">
      <w:start w:val="1"/>
      <w:numFmt w:val="bullet"/>
      <w:lvlText w:val="●"/>
      <w:lvlJc w:val="left"/>
      <w:pPr>
        <w:ind w:left="5040" w:hanging="360"/>
      </w:pPr>
    </w:lvl>
    <w:lvl w:ilvl="7" w:tplc="0EA4FD78">
      <w:start w:val="1"/>
      <w:numFmt w:val="bullet"/>
      <w:lvlText w:val="●"/>
      <w:lvlJc w:val="left"/>
      <w:pPr>
        <w:ind w:left="5760" w:hanging="360"/>
      </w:pPr>
    </w:lvl>
    <w:lvl w:ilvl="8" w:tplc="B0BCA074">
      <w:start w:val="1"/>
      <w:numFmt w:val="bullet"/>
      <w:lvlText w:val="●"/>
      <w:lvlJc w:val="left"/>
      <w:pPr>
        <w:ind w:left="6480" w:hanging="360"/>
      </w:pPr>
    </w:lvl>
  </w:abstractNum>
  <w:num w:numId="1" w16cid:durableId="1981878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934"/>
    <w:rsid w:val="00224390"/>
    <w:rsid w:val="00805C6B"/>
    <w:rsid w:val="00A33934"/>
    <w:rsid w:val="00FC72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48FE291"/>
  <w15:docId w15:val="{5B277592-989E-A049-86DA-D5862FE3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Words>
  <Characters>4650</Characters>
  <Application>Microsoft Office Word</Application>
  <DocSecurity>0</DocSecurity>
  <Lines>75</Lines>
  <Paragraphs>28</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Gyanendra Pandey</cp:lastModifiedBy>
  <cp:revision>3</cp:revision>
  <dcterms:created xsi:type="dcterms:W3CDTF">2025-12-06T19:47:00Z</dcterms:created>
  <dcterms:modified xsi:type="dcterms:W3CDTF">2025-12-06T19:51:00Z</dcterms:modified>
</cp:coreProperties>
</file>