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3"/>
                              <w:rPr>
                                <w:rFonts w:hint="default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rFonts w:hint="default"/>
                                <w:color w:val="000000"/>
                              </w:rPr>
                              <w:t xml:space="preserve"> 1800440094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3"/>
                        <w:rPr>
                          <w:rFonts w:hint="default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rFonts w:hint="default"/>
                          <w:color w:val="000000"/>
                        </w:rPr>
                        <w:t xml:space="preserve"> 1800440094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11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u w:val="single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jc w:val="left"/>
        <w:rPr>
          <w:rFonts w:hint="eastAsia" w:eastAsia="宋体"/>
          <w:b/>
          <w:sz w:val="28"/>
          <w:szCs w:val="28"/>
          <w:u w:val="single"/>
          <w:lang w:eastAsia="zh-CN"/>
        </w:rPr>
      </w:pPr>
      <w:r>
        <w:rPr>
          <w:b/>
          <w:sz w:val="28"/>
        </w:rPr>
        <w:t>实验名称：</w:t>
      </w:r>
      <w:r>
        <w:rPr>
          <w:rFonts w:hint="eastAsia"/>
          <w:b/>
          <w:sz w:val="28"/>
          <w:u w:val="single"/>
          <w:lang w:eastAsia="zh-CN"/>
        </w:rPr>
        <w:t>电子秤的设计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08B634EC">
      <w:pPr>
        <w:spacing w:line="900" w:lineRule="auto"/>
        <w:ind w:firstLine="1079"/>
        <w:rPr>
          <w:rFonts w:hint="eastAsia" w:eastAsia="宋体"/>
          <w:b/>
          <w:sz w:val="28"/>
          <w:lang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eastAsia="zh-CN"/>
        </w:rPr>
        <w:t>郭嘉庆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rFonts w:hint="default" w:eastAsia="宋体"/>
          <w:b/>
          <w:sz w:val="28"/>
          <w:u w:val="single"/>
          <w:lang w:val="en-US" w:eastAsia="zh-CN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eastAsia="zh-CN"/>
        </w:rPr>
        <w:t>致原楼</w:t>
      </w:r>
      <w:r>
        <w:rPr>
          <w:rFonts w:hint="eastAsia"/>
          <w:b/>
          <w:sz w:val="28"/>
          <w:u w:val="single"/>
          <w:lang w:val="en-US" w:eastAsia="zh-CN"/>
        </w:rPr>
        <w:t>214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18</w:t>
      </w:r>
      <w:bookmarkStart w:id="3" w:name="_GoBack"/>
      <w:bookmarkEnd w:id="3"/>
      <w:r>
        <w:rPr>
          <w:b/>
          <w:sz w:val="28"/>
          <w:u w:val="single"/>
        </w:rPr>
        <w:t xml:space="preserve">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10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一、实验目的</w:t>
            </w:r>
          </w:p>
          <w:p w14:paraId="6F09F57E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了解金属箔式应变片的应变效应</w:t>
            </w:r>
          </w:p>
          <w:p w14:paraId="0D4AA459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学习单臂电桥、半桥、全桥的工作原理</w:t>
            </w:r>
          </w:p>
          <w:p w14:paraId="2B72AB53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了解差动放大器的工作原理</w:t>
            </w:r>
          </w:p>
          <w:p w14:paraId="24B65642">
            <w:pPr>
              <w:spacing w:line="300" w:lineRule="auto"/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设计电子秤系统</w:t>
            </w: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416A883D">
            <w:pPr>
              <w:ind w:firstLine="210" w:firstLineChars="100"/>
              <w:rPr>
                <w:rFonts w:hint="default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1.金属电阻的应变效应</w:t>
            </w:r>
            <w:r>
              <w:rPr>
                <w:rFonts w:hint="eastAsia" w:ascii="宋体" w:hAnsi="宋体" w:cs="宋体"/>
                <w:lang w:val="en-US" w:eastAsia="zh-CN"/>
              </w:rPr>
              <w:t>：金属丝在外力作用下发生机械形变时电阻值会发生变化。</w:t>
            </w:r>
          </w:p>
          <w:p w14:paraId="1108C95F">
            <w:pPr>
              <w:ind w:firstLine="210" w:firstLineChars="10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2.金属应变片</w:t>
            </w:r>
            <w:r>
              <w:rPr>
                <w:rFonts w:hint="eastAsia" w:ascii="宋体" w:hAnsi="宋体" w:cs="宋体"/>
                <w:lang w:val="en-US" w:eastAsia="zh-CN"/>
              </w:rPr>
              <w:t>：利用金属的电阻应变效应工作的传感器，当金属丝受力变形时，其电阻值会相应变化。通过测量电阻变化，就能推算出应变大小。</w:t>
            </w:r>
          </w:p>
          <w:p w14:paraId="4F9A42AE">
            <w:pPr>
              <w:ind w:firstLine="210" w:firstLineChars="100"/>
              <w:rPr>
                <w:rFonts w:hint="eastAsia" w:ascii="宋体" w:hAnsi="宋体" w:eastAsia="宋体" w:cs="宋体"/>
                <w:lang w:val="en-US" w:eastAsia="zh-CN"/>
              </w:rPr>
            </w:pPr>
            <w:r>
              <w:drawing>
                <wp:inline distT="0" distB="0" distL="114300" distR="114300">
                  <wp:extent cx="1292225" cy="1019175"/>
                  <wp:effectExtent l="0" t="0" r="0" b="0"/>
                  <wp:docPr id="55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C3EC9">
            <w:pPr>
              <w:ind w:firstLine="210" w:firstLineChars="100"/>
              <w:rPr>
                <w:rFonts w:hint="default" w:ascii="宋体" w:hAnsi="宋体" w:eastAsia="宋体" w:cs="宋体"/>
                <w:lang w:eastAsia="zh-CN"/>
              </w:rPr>
            </w:pPr>
            <w:r>
              <w:rPr>
                <w:rFonts w:hint="default" w:ascii="宋体" w:hAnsi="宋体" w:cs="宋体"/>
                <w:lang w:eastAsia="zh-CN"/>
              </w:rPr>
              <w:t>3.应变桥工作原理</w:t>
            </w:r>
            <w:r>
              <w:rPr>
                <w:rFonts w:hint="eastAsia" w:ascii="宋体" w:hAnsi="宋体" w:cs="宋体"/>
                <w:lang w:eastAsia="zh-CN"/>
              </w:rPr>
              <w:t>：把应变片接入惠斯通电桥的一臂（或多臂）。当试件受力变形时→应变片电阻变化→破坏电桥平衡→输出端产生与应变成比例的电压信号。通过测量这个电压，就能精确反推出应变大小。</w:t>
            </w:r>
          </w:p>
          <w:p w14:paraId="5BF5890E">
            <w:pPr>
              <w:ind w:firstLine="210" w:firstLineChars="100"/>
              <w:rPr>
                <w:rFonts w:hint="default" w:ascii="宋体" w:hAnsi="宋体" w:eastAsia="宋体" w:cs="宋体"/>
                <w:lang w:val="en-US" w:eastAsia="zh-CN"/>
              </w:rPr>
            </w:pPr>
            <w:r>
              <w:drawing>
                <wp:inline distT="0" distB="0" distL="114300" distR="114300">
                  <wp:extent cx="2437130" cy="1126490"/>
                  <wp:effectExtent l="0" t="0" r="1905" b="1270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30" cy="112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A210">
            <w:pPr>
              <w:numPr>
                <w:ilvl w:val="0"/>
                <w:numId w:val="1"/>
              </w:numPr>
              <w:rPr>
                <w:rFonts w:eastAsia="黑体"/>
                <w:b/>
                <w:bCs/>
                <w:sz w:val="24"/>
                <w:szCs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实验仪器：</w:t>
            </w:r>
          </w:p>
          <w:p w14:paraId="2BCC0F2E"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直流恒压源、九孔板1块、电子秤模块1个、差动放大器模块1个、22KΩ电位器模块1个、1KΩ电阻模块一个、350Ω电阻模块3个、应变片转接盒模块4个、短接片2个、万用表1个、20g砝码6个、导线若干。</w:t>
            </w: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32848BBA">
            <w:pPr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单臂电桥</w:t>
            </w:r>
          </w:p>
          <w:p w14:paraId="1338E190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把元件插在九孔板上：把电位器、差动放大器，电阻和应变片转接盒按右图所示插在九孔板上，注意22K电位器的滑动端与1K电阻相连，电桥只有一个臂（R4位置）接入应变片；</w:t>
            </w:r>
          </w:p>
          <w:p w14:paraId="05B227D0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连线：</w:t>
            </w:r>
          </w:p>
          <w:p w14:paraId="1569D789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1.2.1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把22K电位器的固定电阻的两端接到电源的±4V电压接口上；</w:t>
            </w:r>
          </w:p>
          <w:p w14:paraId="0273F85D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1.2.2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把电桥两端也接到±4V电压接口上（为了让ΔU 为正，电桥的上端接+4V，下端接−4V）； </w:t>
            </w:r>
          </w:p>
          <w:p w14:paraId="781842F2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2.3把差动放大器的V+和V-两处分别接到电源的+15V和−15V电压接口，注意这里不可以反接；</w:t>
            </w:r>
          </w:p>
          <w:p w14:paraId="5E5B304F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2.4把±4V和±15V电源的地线接到差动放大器的接地端；</w:t>
            </w:r>
          </w:p>
          <w:p w14:paraId="0DAF784E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2.5把R4位置的应变片转接盒接到电子秤模块的R4上；</w:t>
            </w:r>
          </w:p>
          <w:p w14:paraId="78D09F77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2.6把万用表的地线接到差动放大器的地线端，万用表的火线接到差动放大器的输出端V0；</w:t>
            </w:r>
          </w:p>
          <w:p w14:paraId="65297C26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差动放大器调零：</w:t>
            </w:r>
          </w:p>
          <w:p w14:paraId="2CFF1C20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3.1. 把差动放大器的VP和VN两接口短接，把增益调到最大；</w:t>
            </w:r>
          </w:p>
          <w:p w14:paraId="1C956D19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3.2. 把万用表调到直流电压2V量程（如果显示超量程就先用20V）；</w:t>
            </w:r>
          </w:p>
          <w:p w14:paraId="507E070C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3.3. 调节差动放大器的调零旋钮，使万用表测得的电压V0的值接近0V，小于1mV即可视为已调零；</w:t>
            </w:r>
          </w:p>
          <w:p w14:paraId="1B177AED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调节电桥平衡：</w:t>
            </w:r>
          </w:p>
          <w:p w14:paraId="2823C352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4.1. 差动放大器调零后，把差动放大器的VP和VN接口分别接到电桥右臂和左臂的中点，用转接盒连接（ VP和VN分别接右侧和左侧，是为了使ΔU为正，便于记录）；</w:t>
            </w:r>
          </w:p>
          <w:p w14:paraId="3CC1125A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4.2. 调节22K电位器，使万用表的测得的电压值接近0V，小于5mV即可视为已调零，可近似认为电桥平衡；</w:t>
            </w:r>
          </w:p>
          <w:p w14:paraId="7C4D4D7D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测量差动放大器输出电压ΔU与砝码个数的关系：</w:t>
            </w:r>
          </w:p>
          <w:p w14:paraId="567FBB3C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5.1. 电桥平衡后，记录此时的电压值，即0个砝码时的ΔU，填入表1；</w:t>
            </w:r>
          </w:p>
          <w:p w14:paraId="6FB79E82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5.2. 逐个增加砝码，记录对应的ΔU，填入表格1；</w:t>
            </w:r>
          </w:p>
          <w:p w14:paraId="4B144DFE">
            <w:pPr>
              <w:ind w:firstLine="630" w:firstLineChars="3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33C020E">
            <w:pPr>
              <w:rPr>
                <w:rFonts w:hint="default" w:ascii="宋体" w:hAnsi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 xml:space="preserve">  2.双臂电桥</w:t>
            </w:r>
          </w:p>
          <w:p w14:paraId="7C45E0A1">
            <w:pPr>
              <w:ind w:firstLine="420" w:firstLineChars="200"/>
              <w:rPr>
                <w:rFonts w:hint="default" w:ascii="宋体" w:hAnsi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2.1在单臂电桥电路的基础上，把R3替换为应变片电阻R3；</w:t>
            </w:r>
          </w:p>
          <w:p w14:paraId="17BA3B62">
            <w:pPr>
              <w:ind w:firstLine="420" w:firstLineChars="200"/>
              <w:rPr>
                <w:rFonts w:hint="default" w:ascii="宋体" w:hAnsi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2.2按单臂电桥步骤的第4.2步调节电桥平衡；</w:t>
            </w:r>
          </w:p>
          <w:p w14:paraId="7F1F3C42">
            <w:pPr>
              <w:ind w:firstLine="420" w:firstLineChars="200"/>
              <w:rPr>
                <w:rFonts w:hint="default" w:ascii="宋体" w:hAnsi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2.3测量ΔU与砝码个数的关系，记录表格2；</w:t>
            </w:r>
          </w:p>
          <w:p w14:paraId="249FA2C5">
            <w:pPr>
              <w:rPr>
                <w:rFonts w:hint="default" w:ascii="宋体" w:hAnsi="宋体" w:cs="宋体"/>
                <w:sz w:val="21"/>
                <w:szCs w:val="21"/>
              </w:rPr>
            </w:pPr>
          </w:p>
          <w:p w14:paraId="6FD9BBE9">
            <w:pPr>
              <w:rPr>
                <w:rFonts w:hint="default" w:ascii="宋体" w:hAnsi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 xml:space="preserve">  3.全臂电桥</w:t>
            </w:r>
          </w:p>
          <w:p w14:paraId="51E938A2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3.1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在双臂电桥电路的基础上，把R1和R2替换为应变片电阻的R1和R2；</w:t>
            </w:r>
          </w:p>
          <w:p w14:paraId="6C1E1D75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3.2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按相同方法调节电桥平衡；</w:t>
            </w:r>
          </w:p>
          <w:p w14:paraId="58EAD333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cs="宋体"/>
                <w:sz w:val="21"/>
                <w:szCs w:val="21"/>
              </w:rPr>
              <w:t>3.3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测量ΔU与砝码个数的关系，记录表格3；</w:t>
            </w:r>
          </w:p>
          <w:p w14:paraId="7E22F4FE">
            <w:pPr>
              <w:rPr>
                <w:rFonts w:eastAsia="黑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5EB1516E">
            <w:pPr>
              <w:spacing w:line="360" w:lineRule="auto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原始数据：</w:t>
            </w:r>
          </w:p>
          <w:tbl>
            <w:tblPr>
              <w:tblStyle w:val="25"/>
              <w:tblW w:w="785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6"/>
              <w:gridCol w:w="706"/>
              <w:gridCol w:w="1076"/>
              <w:gridCol w:w="1076"/>
              <w:gridCol w:w="1076"/>
              <w:gridCol w:w="1076"/>
              <w:gridCol w:w="1076"/>
              <w:gridCol w:w="1076"/>
            </w:tblGrid>
            <w:tr w14:paraId="085ECA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0" w:hRule="atLeast"/>
                <w:tblHeader/>
              </w:trPr>
              <w:tc>
                <w:tcPr>
                  <w:tcW w:w="696" w:type="dxa"/>
                </w:tcPr>
                <w:p w14:paraId="641B616F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砝码个数</w:t>
                  </w:r>
                </w:p>
              </w:tc>
              <w:tc>
                <w:tcPr>
                  <w:tcW w:w="706" w:type="dxa"/>
                </w:tcPr>
                <w:p w14:paraId="08D5611D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质量(g)</w:t>
                  </w:r>
                </w:p>
              </w:tc>
              <w:tc>
                <w:tcPr>
                  <w:tcW w:w="1076" w:type="dxa"/>
                </w:tcPr>
                <w:p w14:paraId="770AFF5C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单臂上行(V)</w:t>
                  </w:r>
                </w:p>
              </w:tc>
              <w:tc>
                <w:tcPr>
                  <w:tcW w:w="1076" w:type="dxa"/>
                </w:tcPr>
                <w:p w14:paraId="6E663128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单臂下行(V)</w:t>
                  </w:r>
                </w:p>
              </w:tc>
              <w:tc>
                <w:tcPr>
                  <w:tcW w:w="1076" w:type="dxa"/>
                </w:tcPr>
                <w:p w14:paraId="5C8198FA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双臂上行(V)</w:t>
                  </w:r>
                </w:p>
              </w:tc>
              <w:tc>
                <w:tcPr>
                  <w:tcW w:w="1076" w:type="dxa"/>
                </w:tcPr>
                <w:p w14:paraId="0B59213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双臂下行(V)</w:t>
                  </w:r>
                </w:p>
              </w:tc>
              <w:tc>
                <w:tcPr>
                  <w:tcW w:w="1076" w:type="dxa"/>
                </w:tcPr>
                <w:p w14:paraId="6AC8A17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全臂上行(V)</w:t>
                  </w:r>
                </w:p>
              </w:tc>
              <w:tc>
                <w:tcPr>
                  <w:tcW w:w="1076" w:type="dxa"/>
                </w:tcPr>
                <w:p w14:paraId="2E581E7C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全臂下行(V)</w:t>
                  </w:r>
                </w:p>
              </w:tc>
            </w:tr>
            <w:tr w14:paraId="1F065BB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9" w:hRule="atLeast"/>
              </w:trPr>
              <w:tc>
                <w:tcPr>
                  <w:tcW w:w="696" w:type="dxa"/>
                </w:tcPr>
                <w:p w14:paraId="750E6437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</w:t>
                  </w:r>
                </w:p>
              </w:tc>
              <w:tc>
                <w:tcPr>
                  <w:tcW w:w="706" w:type="dxa"/>
                </w:tcPr>
                <w:p w14:paraId="692FC70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</w:t>
                  </w:r>
                </w:p>
              </w:tc>
              <w:tc>
                <w:tcPr>
                  <w:tcW w:w="1076" w:type="dxa"/>
                </w:tcPr>
                <w:p w14:paraId="6D522AA5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-0.0057</w:t>
                  </w:r>
                </w:p>
              </w:tc>
              <w:tc>
                <w:tcPr>
                  <w:tcW w:w="1076" w:type="dxa"/>
                </w:tcPr>
                <w:p w14:paraId="3F397BBA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-0.0059</w:t>
                  </w:r>
                </w:p>
              </w:tc>
              <w:tc>
                <w:tcPr>
                  <w:tcW w:w="1076" w:type="dxa"/>
                </w:tcPr>
                <w:p w14:paraId="01A885DB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0.0051</w:t>
                  </w:r>
                </w:p>
              </w:tc>
              <w:tc>
                <w:tcPr>
                  <w:tcW w:w="1076" w:type="dxa"/>
                </w:tcPr>
                <w:p w14:paraId="06652FCD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0.0037</w:t>
                  </w:r>
                </w:p>
              </w:tc>
              <w:tc>
                <w:tcPr>
                  <w:tcW w:w="1076" w:type="dxa"/>
                </w:tcPr>
                <w:p w14:paraId="00019E5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0.0000</w:t>
                  </w:r>
                </w:p>
              </w:tc>
              <w:tc>
                <w:tcPr>
                  <w:tcW w:w="1076" w:type="dxa"/>
                </w:tcPr>
                <w:p w14:paraId="0BF2F713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-0.0034</w:t>
                  </w:r>
                </w:p>
              </w:tc>
            </w:tr>
            <w:tr w14:paraId="094E4F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4" w:hRule="atLeast"/>
              </w:trPr>
              <w:tc>
                <w:tcPr>
                  <w:tcW w:w="696" w:type="dxa"/>
                </w:tcPr>
                <w:p w14:paraId="07A14ACB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1</w:t>
                  </w:r>
                </w:p>
              </w:tc>
              <w:tc>
                <w:tcPr>
                  <w:tcW w:w="706" w:type="dxa"/>
                </w:tcPr>
                <w:p w14:paraId="06A0903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20</w:t>
                  </w:r>
                </w:p>
              </w:tc>
              <w:tc>
                <w:tcPr>
                  <w:tcW w:w="1076" w:type="dxa"/>
                </w:tcPr>
                <w:p w14:paraId="3C10FC13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0.0178</w:t>
                  </w:r>
                </w:p>
              </w:tc>
              <w:tc>
                <w:tcPr>
                  <w:tcW w:w="1076" w:type="dxa"/>
                </w:tcPr>
                <w:p w14:paraId="68BEE3C7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0.0176</w:t>
                  </w:r>
                </w:p>
              </w:tc>
              <w:tc>
                <w:tcPr>
                  <w:tcW w:w="1076" w:type="dxa"/>
                </w:tcPr>
                <w:p w14:paraId="7E0B5DDF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0.0467</w:t>
                  </w:r>
                </w:p>
              </w:tc>
              <w:tc>
                <w:tcPr>
                  <w:tcW w:w="1076" w:type="dxa"/>
                </w:tcPr>
                <w:p w14:paraId="3351DD57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0.0514</w:t>
                  </w:r>
                </w:p>
              </w:tc>
              <w:tc>
                <w:tcPr>
                  <w:tcW w:w="1076" w:type="dxa"/>
                </w:tcPr>
                <w:p w14:paraId="7AABED49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0.0930</w:t>
                  </w:r>
                </w:p>
              </w:tc>
              <w:tc>
                <w:tcPr>
                  <w:tcW w:w="1076" w:type="dxa"/>
                </w:tcPr>
                <w:p w14:paraId="17DB0BE8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0.0900</w:t>
                  </w:r>
                </w:p>
              </w:tc>
            </w:tr>
            <w:tr w14:paraId="0E487E3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4" w:hRule="atLeast"/>
              </w:trPr>
              <w:tc>
                <w:tcPr>
                  <w:tcW w:w="696" w:type="dxa"/>
                </w:tcPr>
                <w:p w14:paraId="02C18C73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2</w:t>
                  </w:r>
                </w:p>
              </w:tc>
              <w:tc>
                <w:tcPr>
                  <w:tcW w:w="706" w:type="dxa"/>
                </w:tcPr>
                <w:p w14:paraId="14D2558E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40</w:t>
                  </w:r>
                </w:p>
              </w:tc>
              <w:tc>
                <w:tcPr>
                  <w:tcW w:w="1076" w:type="dxa"/>
                </w:tcPr>
                <w:p w14:paraId="65A65319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0.0418</w:t>
                  </w:r>
                </w:p>
              </w:tc>
              <w:tc>
                <w:tcPr>
                  <w:tcW w:w="1076" w:type="dxa"/>
                </w:tcPr>
                <w:p w14:paraId="4EE2EB2E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0.0417</w:t>
                  </w:r>
                </w:p>
              </w:tc>
              <w:tc>
                <w:tcPr>
                  <w:tcW w:w="1076" w:type="dxa"/>
                </w:tcPr>
                <w:p w14:paraId="50A0F89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0.0956</w:t>
                  </w:r>
                </w:p>
              </w:tc>
              <w:tc>
                <w:tcPr>
                  <w:tcW w:w="1076" w:type="dxa"/>
                </w:tcPr>
                <w:p w14:paraId="60D5F287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0.0992</w:t>
                  </w:r>
                </w:p>
              </w:tc>
              <w:tc>
                <w:tcPr>
                  <w:tcW w:w="1076" w:type="dxa"/>
                </w:tcPr>
                <w:p w14:paraId="227BB40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0.1883</w:t>
                  </w:r>
                </w:p>
              </w:tc>
              <w:tc>
                <w:tcPr>
                  <w:tcW w:w="1076" w:type="dxa"/>
                </w:tcPr>
                <w:p w14:paraId="296E30B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0.1844</w:t>
                  </w:r>
                </w:p>
              </w:tc>
            </w:tr>
            <w:tr w14:paraId="6B0350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4" w:hRule="atLeast"/>
              </w:trPr>
              <w:tc>
                <w:tcPr>
                  <w:tcW w:w="696" w:type="dxa"/>
                </w:tcPr>
                <w:p w14:paraId="18C544B9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3</w:t>
                  </w:r>
                </w:p>
              </w:tc>
              <w:tc>
                <w:tcPr>
                  <w:tcW w:w="706" w:type="dxa"/>
                </w:tcPr>
                <w:p w14:paraId="4134C21F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60</w:t>
                  </w:r>
                </w:p>
              </w:tc>
              <w:tc>
                <w:tcPr>
                  <w:tcW w:w="1076" w:type="dxa"/>
                </w:tcPr>
                <w:p w14:paraId="46B0F298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0.0656</w:t>
                  </w:r>
                </w:p>
              </w:tc>
              <w:tc>
                <w:tcPr>
                  <w:tcW w:w="1076" w:type="dxa"/>
                </w:tcPr>
                <w:p w14:paraId="57C2AAFB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0.0654</w:t>
                  </w:r>
                </w:p>
              </w:tc>
              <w:tc>
                <w:tcPr>
                  <w:tcW w:w="1076" w:type="dxa"/>
                </w:tcPr>
                <w:p w14:paraId="3A5B8648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0.1440</w:t>
                  </w:r>
                </w:p>
              </w:tc>
              <w:tc>
                <w:tcPr>
                  <w:tcW w:w="1076" w:type="dxa"/>
                </w:tcPr>
                <w:p w14:paraId="03C983D9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0.1470</w:t>
                  </w:r>
                </w:p>
              </w:tc>
              <w:tc>
                <w:tcPr>
                  <w:tcW w:w="1076" w:type="dxa"/>
                </w:tcPr>
                <w:p w14:paraId="0C83361F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0.2827</w:t>
                  </w:r>
                </w:p>
              </w:tc>
              <w:tc>
                <w:tcPr>
                  <w:tcW w:w="1076" w:type="dxa"/>
                </w:tcPr>
                <w:p w14:paraId="3ECB8C4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0.2800</w:t>
                  </w:r>
                </w:p>
              </w:tc>
            </w:tr>
            <w:tr w14:paraId="6A17FF9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4" w:hRule="atLeast"/>
              </w:trPr>
              <w:tc>
                <w:tcPr>
                  <w:tcW w:w="696" w:type="dxa"/>
                </w:tcPr>
                <w:p w14:paraId="7AC6DB6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4</w:t>
                  </w:r>
                </w:p>
              </w:tc>
              <w:tc>
                <w:tcPr>
                  <w:tcW w:w="706" w:type="dxa"/>
                </w:tcPr>
                <w:p w14:paraId="384ABC97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80</w:t>
                  </w:r>
                </w:p>
              </w:tc>
              <w:tc>
                <w:tcPr>
                  <w:tcW w:w="1076" w:type="dxa"/>
                </w:tcPr>
                <w:p w14:paraId="7F61A4D2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0.0895</w:t>
                  </w:r>
                </w:p>
              </w:tc>
              <w:tc>
                <w:tcPr>
                  <w:tcW w:w="1076" w:type="dxa"/>
                </w:tcPr>
                <w:p w14:paraId="1A3D8AE8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0.0893</w:t>
                  </w:r>
                </w:p>
              </w:tc>
              <w:tc>
                <w:tcPr>
                  <w:tcW w:w="1076" w:type="dxa"/>
                </w:tcPr>
                <w:p w14:paraId="40868CB2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0.1926</w:t>
                  </w:r>
                </w:p>
              </w:tc>
              <w:tc>
                <w:tcPr>
                  <w:tcW w:w="1076" w:type="dxa"/>
                </w:tcPr>
                <w:p w14:paraId="38B32082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0.1941</w:t>
                  </w:r>
                </w:p>
              </w:tc>
              <w:tc>
                <w:tcPr>
                  <w:tcW w:w="1076" w:type="dxa"/>
                </w:tcPr>
                <w:p w14:paraId="038DDB4F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0.3764</w:t>
                  </w:r>
                </w:p>
              </w:tc>
              <w:tc>
                <w:tcPr>
                  <w:tcW w:w="1076" w:type="dxa"/>
                </w:tcPr>
                <w:p w14:paraId="2A5121F9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0.3745</w:t>
                  </w:r>
                </w:p>
              </w:tc>
            </w:tr>
            <w:tr w14:paraId="7CBA46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4" w:hRule="atLeast"/>
              </w:trPr>
              <w:tc>
                <w:tcPr>
                  <w:tcW w:w="696" w:type="dxa"/>
                </w:tcPr>
                <w:p w14:paraId="0C8C5433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5</w:t>
                  </w:r>
                </w:p>
              </w:tc>
              <w:tc>
                <w:tcPr>
                  <w:tcW w:w="706" w:type="dxa"/>
                </w:tcPr>
                <w:p w14:paraId="648B1770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100</w:t>
                  </w:r>
                </w:p>
              </w:tc>
              <w:tc>
                <w:tcPr>
                  <w:tcW w:w="1076" w:type="dxa"/>
                </w:tcPr>
                <w:p w14:paraId="4E3B6FD0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0.1134</w:t>
                  </w:r>
                </w:p>
              </w:tc>
              <w:tc>
                <w:tcPr>
                  <w:tcW w:w="1076" w:type="dxa"/>
                </w:tcPr>
                <w:p w14:paraId="6E8777B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0.1132</w:t>
                  </w:r>
                </w:p>
              </w:tc>
              <w:tc>
                <w:tcPr>
                  <w:tcW w:w="1076" w:type="dxa"/>
                </w:tcPr>
                <w:p w14:paraId="15C4A7DD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0.2414</w:t>
                  </w:r>
                </w:p>
              </w:tc>
              <w:tc>
                <w:tcPr>
                  <w:tcW w:w="1076" w:type="dxa"/>
                </w:tcPr>
                <w:p w14:paraId="6033B4E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0.2416</w:t>
                  </w:r>
                </w:p>
              </w:tc>
              <w:tc>
                <w:tcPr>
                  <w:tcW w:w="1076" w:type="dxa"/>
                </w:tcPr>
                <w:p w14:paraId="529CA809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0.4703</w:t>
                  </w:r>
                </w:p>
              </w:tc>
              <w:tc>
                <w:tcPr>
                  <w:tcW w:w="1076" w:type="dxa"/>
                </w:tcPr>
                <w:p w14:paraId="207763A9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0.4700</w:t>
                  </w:r>
                </w:p>
              </w:tc>
            </w:tr>
            <w:tr w14:paraId="45F8CD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4" w:hRule="atLeast"/>
              </w:trPr>
              <w:tc>
                <w:tcPr>
                  <w:tcW w:w="696" w:type="dxa"/>
                </w:tcPr>
                <w:p w14:paraId="57E124C7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6</w:t>
                  </w:r>
                </w:p>
              </w:tc>
              <w:tc>
                <w:tcPr>
                  <w:tcW w:w="706" w:type="dxa"/>
                </w:tcPr>
                <w:p w14:paraId="123C9DAC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120</w:t>
                  </w:r>
                </w:p>
              </w:tc>
              <w:tc>
                <w:tcPr>
                  <w:tcW w:w="1076" w:type="dxa"/>
                </w:tcPr>
                <w:p w14:paraId="0F51D138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0.1370</w:t>
                  </w:r>
                </w:p>
              </w:tc>
              <w:tc>
                <w:tcPr>
                  <w:tcW w:w="1076" w:type="dxa"/>
                </w:tcPr>
                <w:p w14:paraId="105AC063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0.1370</w:t>
                  </w:r>
                </w:p>
              </w:tc>
              <w:tc>
                <w:tcPr>
                  <w:tcW w:w="1076" w:type="dxa"/>
                </w:tcPr>
                <w:p w14:paraId="4AAD1ECD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0.2893</w:t>
                  </w:r>
                </w:p>
              </w:tc>
              <w:tc>
                <w:tcPr>
                  <w:tcW w:w="1076" w:type="dxa"/>
                </w:tcPr>
                <w:p w14:paraId="211E743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0.2893</w:t>
                  </w:r>
                </w:p>
              </w:tc>
              <w:tc>
                <w:tcPr>
                  <w:tcW w:w="1076" w:type="dxa"/>
                </w:tcPr>
                <w:p w14:paraId="6D3C7ED0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0.5645</w:t>
                  </w:r>
                </w:p>
              </w:tc>
              <w:tc>
                <w:tcPr>
                  <w:tcW w:w="1076" w:type="dxa"/>
                </w:tcPr>
                <w:p w14:paraId="15B2ECA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0.5045</w:t>
                  </w:r>
                </w:p>
              </w:tc>
            </w:tr>
          </w:tbl>
          <w:p w14:paraId="2C22379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851F77">
            <w:pPr>
              <w:spacing w:line="360" w:lineRule="auto"/>
              <w:rPr>
                <w:rFonts w:hint="eastAsia" w:eastAsia="黑体"/>
                <w:sz w:val="22"/>
                <w:szCs w:val="22"/>
                <w:lang w:eastAsia="zh-CN"/>
              </w:rPr>
            </w:pPr>
            <w:r>
              <w:rPr>
                <w:rFonts w:hint="eastAsia" w:eastAsia="黑体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3978910" cy="2239645"/>
                  <wp:effectExtent l="0" t="0" r="8890" b="8255"/>
                  <wp:docPr id="6" name="图片 6" descr="0c54fe5b65fa0ee73e8ee63e58fbe3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0c54fe5b65fa0ee73e8ee63e58fbe3f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3978910" cy="223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平均电压（上行/下行均值）</w:t>
            </w:r>
          </w:p>
          <w:tbl>
            <w:tblPr>
              <w:tblStyle w:val="25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536"/>
              <w:gridCol w:w="1536"/>
              <w:gridCol w:w="1536"/>
            </w:tblGrid>
            <w:tr w14:paraId="6E2FC01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1056" w:type="dxa"/>
                </w:tcPr>
                <w:p w14:paraId="50A8D341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质量(g)</w:t>
                  </w:r>
                </w:p>
              </w:tc>
              <w:tc>
                <w:tcPr>
                  <w:tcW w:w="1536" w:type="dxa"/>
                </w:tcPr>
                <w:p w14:paraId="03F508B0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单臂平均(V)</w:t>
                  </w:r>
                </w:p>
              </w:tc>
              <w:tc>
                <w:tcPr>
                  <w:tcW w:w="1536" w:type="dxa"/>
                </w:tcPr>
                <w:p w14:paraId="34A9635E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双臂平均(V)</w:t>
                  </w:r>
                </w:p>
              </w:tc>
              <w:tc>
                <w:tcPr>
                  <w:tcW w:w="1536" w:type="dxa"/>
                </w:tcPr>
                <w:p w14:paraId="79E037A8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全臂平均(V)</w:t>
                  </w:r>
                </w:p>
              </w:tc>
            </w:tr>
            <w:tr w14:paraId="02BE4A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6" w:type="dxa"/>
                </w:tcPr>
                <w:p w14:paraId="5053B5C1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</w:t>
                  </w:r>
                </w:p>
              </w:tc>
              <w:tc>
                <w:tcPr>
                  <w:tcW w:w="1536" w:type="dxa"/>
                </w:tcPr>
                <w:p w14:paraId="076D52B2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-0.00580</w:t>
                  </w:r>
                </w:p>
              </w:tc>
              <w:tc>
                <w:tcPr>
                  <w:tcW w:w="1536" w:type="dxa"/>
                </w:tcPr>
                <w:p w14:paraId="5433A0FC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0.00440</w:t>
                  </w:r>
                </w:p>
              </w:tc>
              <w:tc>
                <w:tcPr>
                  <w:tcW w:w="1536" w:type="dxa"/>
                </w:tcPr>
                <w:p w14:paraId="4733A14A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-0.00170</w:t>
                  </w:r>
                </w:p>
              </w:tc>
            </w:tr>
            <w:tr w14:paraId="055672C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6" w:type="dxa"/>
                </w:tcPr>
                <w:p w14:paraId="1C74368E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20</w:t>
                  </w:r>
                </w:p>
              </w:tc>
              <w:tc>
                <w:tcPr>
                  <w:tcW w:w="1536" w:type="dxa"/>
                </w:tcPr>
                <w:p w14:paraId="11DE65ED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0.01770</w:t>
                  </w:r>
                </w:p>
              </w:tc>
              <w:tc>
                <w:tcPr>
                  <w:tcW w:w="1536" w:type="dxa"/>
                </w:tcPr>
                <w:p w14:paraId="308025F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0.04905</w:t>
                  </w:r>
                </w:p>
              </w:tc>
              <w:tc>
                <w:tcPr>
                  <w:tcW w:w="1536" w:type="dxa"/>
                </w:tcPr>
                <w:p w14:paraId="27845BB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0.09150</w:t>
                  </w:r>
                </w:p>
              </w:tc>
            </w:tr>
            <w:tr w14:paraId="7D4C2AC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6" w:type="dxa"/>
                </w:tcPr>
                <w:p w14:paraId="3924C603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40</w:t>
                  </w:r>
                </w:p>
              </w:tc>
              <w:tc>
                <w:tcPr>
                  <w:tcW w:w="1536" w:type="dxa"/>
                </w:tcPr>
                <w:p w14:paraId="726D8AF1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0.04175</w:t>
                  </w:r>
                </w:p>
              </w:tc>
              <w:tc>
                <w:tcPr>
                  <w:tcW w:w="1536" w:type="dxa"/>
                </w:tcPr>
                <w:p w14:paraId="0CD9BDB8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0.09740</w:t>
                  </w:r>
                </w:p>
              </w:tc>
              <w:tc>
                <w:tcPr>
                  <w:tcW w:w="1536" w:type="dxa"/>
                </w:tcPr>
                <w:p w14:paraId="6BA02001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0.18635</w:t>
                  </w:r>
                </w:p>
              </w:tc>
            </w:tr>
            <w:tr w14:paraId="4A44C0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6" w:type="dxa"/>
                </w:tcPr>
                <w:p w14:paraId="4B34CDF5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60</w:t>
                  </w:r>
                </w:p>
              </w:tc>
              <w:tc>
                <w:tcPr>
                  <w:tcW w:w="1536" w:type="dxa"/>
                </w:tcPr>
                <w:p w14:paraId="1090F165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0.06550</w:t>
                  </w:r>
                </w:p>
              </w:tc>
              <w:tc>
                <w:tcPr>
                  <w:tcW w:w="1536" w:type="dxa"/>
                </w:tcPr>
                <w:p w14:paraId="655F8A6B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0.14550</w:t>
                  </w:r>
                </w:p>
              </w:tc>
              <w:tc>
                <w:tcPr>
                  <w:tcW w:w="1536" w:type="dxa"/>
                </w:tcPr>
                <w:p w14:paraId="3FEEDCE3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0.28135</w:t>
                  </w:r>
                </w:p>
              </w:tc>
            </w:tr>
            <w:tr w14:paraId="30F897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6" w:type="dxa"/>
                </w:tcPr>
                <w:p w14:paraId="2549CAA7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80</w:t>
                  </w:r>
                </w:p>
              </w:tc>
              <w:tc>
                <w:tcPr>
                  <w:tcW w:w="1536" w:type="dxa"/>
                </w:tcPr>
                <w:p w14:paraId="1E4D7233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0.08940</w:t>
                  </w:r>
                </w:p>
              </w:tc>
              <w:tc>
                <w:tcPr>
                  <w:tcW w:w="1536" w:type="dxa"/>
                </w:tcPr>
                <w:p w14:paraId="38E0AEB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0.19335</w:t>
                  </w:r>
                </w:p>
              </w:tc>
              <w:tc>
                <w:tcPr>
                  <w:tcW w:w="1536" w:type="dxa"/>
                </w:tcPr>
                <w:p w14:paraId="3FD87535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0.37545</w:t>
                  </w:r>
                </w:p>
              </w:tc>
            </w:tr>
            <w:tr w14:paraId="4313EE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6" w:type="dxa"/>
                </w:tcPr>
                <w:p w14:paraId="54CA729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100</w:t>
                  </w:r>
                </w:p>
              </w:tc>
              <w:tc>
                <w:tcPr>
                  <w:tcW w:w="1536" w:type="dxa"/>
                </w:tcPr>
                <w:p w14:paraId="394AD71F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0.11330</w:t>
                  </w:r>
                </w:p>
              </w:tc>
              <w:tc>
                <w:tcPr>
                  <w:tcW w:w="1536" w:type="dxa"/>
                </w:tcPr>
                <w:p w14:paraId="4ABC6FF4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0.24150</w:t>
                  </w:r>
                </w:p>
              </w:tc>
              <w:tc>
                <w:tcPr>
                  <w:tcW w:w="1536" w:type="dxa"/>
                </w:tcPr>
                <w:p w14:paraId="1D0B9DB1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0.47015</w:t>
                  </w:r>
                </w:p>
              </w:tc>
            </w:tr>
            <w:tr w14:paraId="5255A5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6" w:type="dxa"/>
                </w:tcPr>
                <w:p w14:paraId="30A39116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120</w:t>
                  </w:r>
                </w:p>
              </w:tc>
              <w:tc>
                <w:tcPr>
                  <w:tcW w:w="1536" w:type="dxa"/>
                </w:tcPr>
                <w:p w14:paraId="0301F445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0.13700</w:t>
                  </w:r>
                </w:p>
              </w:tc>
              <w:tc>
                <w:tcPr>
                  <w:tcW w:w="1536" w:type="dxa"/>
                </w:tcPr>
                <w:p w14:paraId="5A2177DC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0.28930</w:t>
                  </w:r>
                </w:p>
              </w:tc>
              <w:tc>
                <w:tcPr>
                  <w:tcW w:w="1536" w:type="dxa"/>
                </w:tcPr>
                <w:p w14:paraId="5B91720A">
                  <w:pPr>
                    <w:pStyle w:val="24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0.53450</w:t>
                  </w:r>
                </w:p>
              </w:tc>
            </w:tr>
          </w:tbl>
          <w:p w14:paraId="6FFC767C">
            <w:pPr>
              <w:spacing w:line="360" w:lineRule="auto"/>
              <w:rPr>
                <w:rFonts w:eastAsia="黑体"/>
                <w:sz w:val="24"/>
              </w:rPr>
            </w:pP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numPr>
                <w:ilvl w:val="0"/>
                <w:numId w:val="2"/>
              </w:numPr>
              <w:rPr>
                <w:rFonts w:ascii="黑体" w:hAnsi="黑体" w:eastAsia="黑体"/>
                <w:b/>
                <w:sz w:val="24"/>
                <w:szCs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数据处理</w:t>
            </w:r>
          </w:p>
          <w:p w14:paraId="4701D30C">
            <w:pPr>
              <w:widowControl w:val="0"/>
              <w:numPr>
                <w:numId w:val="0"/>
              </w:numPr>
              <w:suppressAutoHyphens/>
              <w:bidi w:val="0"/>
              <w:spacing w:before="0" w:after="0"/>
              <w:jc w:val="both"/>
              <w:rPr>
                <w:rFonts w:ascii="黑体" w:hAnsi="黑体" w:eastAsia="黑体"/>
                <w:b/>
                <w:sz w:val="24"/>
                <w:szCs w:val="24"/>
              </w:rPr>
            </w:pPr>
          </w:p>
          <w:p w14:paraId="705D95FE">
            <w:pPr>
              <w:spacing w:line="360" w:lineRule="auto"/>
              <w:rPr>
                <w:rFonts w:hint="eastAsia" w:eastAsia="黑体"/>
                <w:sz w:val="22"/>
                <w:szCs w:val="22"/>
              </w:rPr>
            </w:pPr>
            <w:bookmarkStart w:id="0" w:name="X0917c69ee925928b6f02b66b3197c3f83d24454"/>
            <w:r>
              <w:rPr>
                <w:rFonts w:hint="eastAsia" w:eastAsia="黑体"/>
                <w:sz w:val="22"/>
                <w:szCs w:val="22"/>
              </w:rPr>
              <w:t>1) 处理方法</w:t>
            </w:r>
          </w:p>
          <w:p w14:paraId="628AC12E">
            <w:pPr>
              <w:spacing w:line="360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以质量 (m) 为横轴、电压 (U) 为纵轴，对单臂/双臂/全臂平均电压分别做线性拟合：</w:t>
            </w:r>
          </w:p>
          <w:p w14:paraId="05C6BFE5">
            <w:pPr>
              <w:spacing w:line="360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U=km+b</m:t>
                </m:r>
              </m:oMath>
            </m:oMathPara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其中 (k) 为灵敏度（V/g），(b) 为零点偏置。计算零点误差（0 g 时平均输出电压）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计算上行-下行最大差值，作为回程差（滞后）指标。</w:t>
            </w:r>
          </w:p>
          <w:bookmarkEnd w:id="0"/>
          <w:p w14:paraId="78E0F4A0">
            <w:pPr>
              <w:spacing w:line="360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bookmarkStart w:id="1" w:name="Xcccff7bc7758a3627ee55d0bb02fd9aa469ebde"/>
            <w:r>
              <w:rPr>
                <w:rFonts w:hint="eastAsia" w:ascii="宋体" w:hAnsi="宋体" w:eastAsia="宋体" w:cs="宋体"/>
                <w:sz w:val="20"/>
                <w:szCs w:val="20"/>
              </w:rPr>
              <w:t>2) 计算结果（基于当前数据）</w:t>
            </w:r>
          </w:p>
          <w:p w14:paraId="6DC15CAB">
            <w:pPr>
              <w:spacing w:line="360" w:lineRule="auto"/>
              <w:rPr>
                <w:rFonts w:hint="eastAsia" w:hAnsi="Cambria Math" w:eastAsia="宋体" w:cs="宋体"/>
                <w:i w:val="0"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单臂电桥：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U≈0.0011915 m−0.0059411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，</w:t>
            </w:r>
            <m:oMath>
              <m:sSup>
                <m:sSupPr>
                  <m:ctrlPr>
                    <w:rPr>
                      <w:rFonts w:hint="default" w:ascii="Cambria Math" w:hAnsi="Cambria Math" w:eastAsia="宋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sz w:val="20"/>
                </w:rPr>
                <m:t>=0.999996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灵敏度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k≈1.1915 mV/g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（约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 xml:space="preserve">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0.02383 V/20g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零点误差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≈−5.8 mV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；最大上/下行差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≈0.2 mV</m:t>
              </m:r>
            </m:oMath>
          </w:p>
          <w:p w14:paraId="5A29DDE0">
            <w:pPr>
              <w:spacing w:line="360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双臂电桥：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U≈0.0023849 m+0.0026911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，</w:t>
            </w:r>
            <m:oMath>
              <m:sSup>
                <m:sSupPr>
                  <m:ctrlPr>
                    <w:rPr>
                      <w:rFonts w:hint="default" w:ascii="Cambria Math" w:hAnsi="Cambria Math" w:eastAsia="宋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sz w:val="20"/>
                </w:rPr>
                <m:t>=0.999913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灵敏度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k≈2.3849 mV/g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（约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0.04770 V/20g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零点误差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≈4.4 mV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；最大上/下行差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≈4.7 mV</m:t>
              </m:r>
            </m:oMath>
          </w:p>
          <w:p w14:paraId="037101F0">
            <w:pPr>
              <w:spacing w:line="360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全臂电桥（按全部数据拟合）：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U≈0.0045625 m+0.0030500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，</w:t>
            </w:r>
            <m:oMath>
              <m:sSup>
                <m:sSupPr>
                  <m:ctrlPr>
                    <w:rPr>
                      <w:rFonts w:hint="default" w:ascii="Cambria Math" w:hAnsi="Cambria Math" w:eastAsia="宋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sz w:val="20"/>
                </w:rPr>
                <m:t>=0.997938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灵敏度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k≈4.5625 mV/g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（约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0.09125 V/20g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零点误差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≈−1.7 mV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；最大上/下行差 </w:t>
            </w:r>
            <m:oMath>
              <m:r>
                <m:rPr/>
                <w:rPr>
                  <w:rFonts w:hint="default" w:ascii="Cambria Math" w:hAnsi="Cambria Math" w:eastAsia="宋体"/>
                  <w:sz w:val="20"/>
                </w:rPr>
                <m:t>≈60 mV</m:t>
              </m:r>
            </m:oMath>
          </w:p>
          <w:p w14:paraId="072B97ED">
            <w:pPr>
              <w:spacing w:line="360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说明：全臂在 120 g 下行点（0.5045 V）明显偏离整体线性趋势，导致回程差偏大、拟合 </w:t>
            </w:r>
            <m:oMath>
              <m:sSup>
                <m:sSupPr>
                  <m:ctrlPr>
                    <w:rPr>
                      <w:rFonts w:hint="default" w:ascii="Cambria Math" w:hAnsi="Cambria Math" w:eastAsia="宋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下降。若剔除此异常点，全臂拟合可达</w:t>
            </w:r>
            <m:oMath>
              <m:sSup>
                <m:sSupPr>
                  <m:ctrlPr>
                    <w:rPr>
                      <w:rFonts w:hint="default" w:ascii="Cambria Math" w:hAnsi="Cambria Math" w:eastAsia="宋体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0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sz w:val="20"/>
                </w:rPr>
                <m:t>≈0.999994</m:t>
              </m:r>
            </m:oMath>
            <w:r>
              <w:rPr>
                <w:rFonts w:hint="eastAsia" w:ascii="宋体" w:hAnsi="宋体" w:eastAsia="宋体" w:cs="宋体"/>
                <w:sz w:val="20"/>
                <w:szCs w:val="20"/>
              </w:rPr>
              <w:t>。</w:t>
            </w:r>
            <w:bookmarkEnd w:id="1"/>
          </w:p>
          <w:p w14:paraId="002CAA51">
            <w:pPr>
              <w:spacing w:line="360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  <w:p w14:paraId="2F8D9648">
            <w:pPr>
              <w:spacing w:line="360" w:lineRule="auto"/>
              <w:rPr>
                <w:rFonts w:eastAsia="黑体"/>
                <w:sz w:val="22"/>
                <w:szCs w:val="22"/>
              </w:rPr>
            </w:pPr>
            <w:r>
              <w:rPr>
                <w:rFonts w:eastAsia="黑体"/>
                <w:sz w:val="22"/>
                <w:szCs w:val="22"/>
              </w:rPr>
              <w:drawing>
                <wp:inline distT="0" distB="0" distL="114300" distR="114300">
                  <wp:extent cx="5068570" cy="3549015"/>
                  <wp:effectExtent l="0" t="0" r="11430" b="698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570" cy="354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99823">
            <w:pPr>
              <w:spacing w:line="360" w:lineRule="auto"/>
              <w:rPr>
                <w:rFonts w:eastAsia="黑体"/>
                <w:sz w:val="22"/>
                <w:szCs w:val="22"/>
              </w:rPr>
            </w:pPr>
            <w:r>
              <w:rPr>
                <w:rFonts w:eastAsia="黑体"/>
                <w:sz w:val="22"/>
                <w:szCs w:val="22"/>
              </w:rPr>
              <w:drawing>
                <wp:inline distT="0" distB="0" distL="114300" distR="114300">
                  <wp:extent cx="5090795" cy="3181985"/>
                  <wp:effectExtent l="0" t="0" r="1905" b="5715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795" cy="318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5084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3E2D0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611BA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  <w:p w14:paraId="2328F002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  <w:p w14:paraId="31589B47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  <w:p w14:paraId="4BDE6423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5F5CEC28">
            <w:pPr>
              <w:rPr>
                <w:rFonts w:hint="eastAsia" w:ascii="宋体" w:hAnsi="宋体" w:eastAsia="宋体" w:cs="宋体"/>
                <w:bCs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 xml:space="preserve">三种接法下，输出电压均随质量增加而近似线性增大，满足电子秤静态标定的基本要求。 </w:t>
            </w:r>
          </w:p>
          <w:p w14:paraId="04B27C1B">
            <w:pPr>
              <w:rPr>
                <w:rFonts w:hint="eastAsia" w:ascii="宋体" w:hAnsi="宋体" w:eastAsia="宋体" w:cs="宋体"/>
                <w:bCs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22"/>
                <w:szCs w:val="22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 xml:space="preserve">灵敏度大小规律明显：全臂 &gt; 双臂 &gt; 单臂，且双臂约为单臂 2 倍、全臂约为单臂 4 倍，与电桥理论一致。 </w:t>
            </w:r>
          </w:p>
          <w:p w14:paraId="13B00EBD">
            <w:pPr>
              <w:rPr>
                <w:rFonts w:hint="eastAsia" w:ascii="宋体" w:hAnsi="宋体" w:eastAsia="宋体" w:cs="宋体"/>
                <w:bCs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22"/>
                <w:szCs w:val="22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 xml:space="preserve">单臂和双臂数据线性度较好；全臂在大质量端（120 g 下行）出现明显偏离，导致回程差增大，提示该点可能受读数波动、结构回弹或接触稳定性影响。 </w:t>
            </w:r>
          </w:p>
          <w:p w14:paraId="3E558CF8">
            <w:pPr>
              <w:rPr>
                <w:rFonts w:hint="eastAsia" w:ascii="宋体" w:hAnsi="宋体" w:eastAsia="宋体" w:cs="宋体"/>
                <w:bCs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22"/>
                <w:szCs w:val="22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 xml:space="preserve">在当前实验条件下，电子秤方案可实现 0~120 g 范围内的质量-电压映射，采用全臂方案可获得更高灵敏度，但应进一步优化高载荷下的稳定性。 </w:t>
            </w:r>
          </w:p>
          <w:p w14:paraId="20C22A2D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43D9076">
            <w:pPr>
              <w:rPr>
                <w:rFonts w:hint="eastAsia"/>
                <w:szCs w:val="21"/>
              </w:rPr>
            </w:pPr>
            <w:bookmarkStart w:id="2" w:name="X1e1bd4d0fd9ababf6a559a0122e81007a08cf4e"/>
            <w:r>
              <w:rPr>
                <w:rFonts w:hint="eastAsia"/>
                <w:szCs w:val="21"/>
              </w:rPr>
              <w:t>1) 实验总结</w:t>
            </w:r>
          </w:p>
          <w:p w14:paraId="460FF7F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实验完成了单臂、双臂、全臂电桥电子秤的搭建、调零、标定与比较。通过数据拟合验证了电桥输出与质量近似线性关系，并观察到灵敏度随桥路臂数增加而提升。实验结果整体符合理论预期，加深了我对“应变片—电桥—差动放大”测量链路的理解。</w:t>
            </w:r>
          </w:p>
          <w:bookmarkEnd w:id="2"/>
          <w:p w14:paraId="3010F42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2) 思考题</w:t>
            </w:r>
          </w:p>
          <w:p w14:paraId="1A4D67B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问题1：哪些因素会导致电子秤非线性误差增大？怎么消除？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可能因素：应变片粘贴不均匀、梁体受力不理想（偏载）、温漂、放大器零点漂移、电桥不平衡、导线/接触电阻变化、机械回程与摩擦。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改进措施：规范粘贴与布线、保持同温环境并预热、每次测量前调零、减小偏载、重复测量取均值、对异常点复测或剔除、提高结构刚度并减小机械滞后。</w:t>
            </w:r>
          </w:p>
          <w:p w14:paraId="7CA817A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问题2：若要增加输出灵敏度，可以采取哪些措施？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可采用全臂电桥替代单臂/双臂、提高激励电压（在器件允许范围内）、提高放大器增益、选用灵敏系数更高的应变片、优化梁体结构使同样载荷产生更大应变，同时保证系统不过载和不饱和。</w:t>
            </w:r>
          </w:p>
          <w:p w14:paraId="797629D4">
            <w:pPr>
              <w:rPr>
                <w:szCs w:val="21"/>
              </w:rPr>
            </w:pP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11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OpenSymbol">
    <w:altName w:val="Segoe Print"/>
    <w:panose1 w:val="05010000000000000000"/>
    <w:charset w:val="01"/>
    <w:family w:val="roman"/>
    <w:pitch w:val="default"/>
    <w:sig w:usb0="00000000" w:usb1="00000000" w:usb2="00000000" w:usb3="00000000" w:csb0="80000001" w:csb1="00000000"/>
  </w:font>
  <w:font w:name="Liberation Sans">
    <w:altName w:val="Segoe Print"/>
    <w:panose1 w:val="020B0604020202020204"/>
    <w:charset w:val="01"/>
    <w:family w:val="roman"/>
    <w:pitch w:val="default"/>
    <w:sig w:usb0="00000000" w:usb1="00000000" w:usb2="0000002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7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7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9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7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9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7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7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0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7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0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7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7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9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7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9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A5CC1"/>
    <w:multiLevelType w:val="singleLevel"/>
    <w:tmpl w:val="ACFA5CC1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B1EA5D2"/>
    <w:multiLevelType w:val="singleLevel"/>
    <w:tmpl w:val="DB1EA5D2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D15E6B"/>
    <w:rsid w:val="2C1B6F9C"/>
    <w:rsid w:val="2E1D6FFC"/>
    <w:rsid w:val="2F186234"/>
    <w:rsid w:val="2FD812E0"/>
    <w:rsid w:val="33802709"/>
    <w:rsid w:val="356FFD18"/>
    <w:rsid w:val="37F6E4C9"/>
    <w:rsid w:val="3DFFCB6E"/>
    <w:rsid w:val="3EE33CB0"/>
    <w:rsid w:val="3F7D7CCA"/>
    <w:rsid w:val="567C7806"/>
    <w:rsid w:val="637E0F34"/>
    <w:rsid w:val="6E67C6AA"/>
    <w:rsid w:val="6F9DEB3E"/>
    <w:rsid w:val="75DF5073"/>
    <w:rsid w:val="766FB393"/>
    <w:rsid w:val="76A470DC"/>
    <w:rsid w:val="78FF533F"/>
    <w:rsid w:val="79FE5975"/>
    <w:rsid w:val="7A3BA567"/>
    <w:rsid w:val="7BBB1897"/>
    <w:rsid w:val="7EF9BF54"/>
    <w:rsid w:val="7EFB002B"/>
    <w:rsid w:val="7F7D5B35"/>
    <w:rsid w:val="BB5D0692"/>
    <w:rsid w:val="BDFE7C0E"/>
    <w:rsid w:val="BF7F3960"/>
    <w:rsid w:val="DBAF1510"/>
    <w:rsid w:val="E196F712"/>
    <w:rsid w:val="E9FFE9EB"/>
    <w:rsid w:val="EEAF5AD2"/>
    <w:rsid w:val="EFFF0864"/>
    <w:rsid w:val="F2F620D5"/>
    <w:rsid w:val="F5F69A33"/>
    <w:rsid w:val="F77F0CF5"/>
    <w:rsid w:val="FAF79E65"/>
    <w:rsid w:val="FEB79942"/>
    <w:rsid w:val="FEDF5B1D"/>
    <w:rsid w:val="FFF58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5">
    <w:name w:val="Body Text Indent"/>
    <w:basedOn w:val="1"/>
    <w:qFormat/>
    <w:uiPriority w:val="0"/>
    <w:pPr>
      <w:spacing w:line="400" w:lineRule="exact"/>
      <w:ind w:firstLine="420"/>
      <w:jc w:val="left"/>
    </w:pPr>
  </w:style>
  <w:style w:type="paragraph" w:styleId="6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"/>
    <w:basedOn w:val="3"/>
    <w:qFormat/>
    <w:uiPriority w:val="0"/>
    <w:rPr>
      <w:rFonts w:cs="Noto Sans CJK SC"/>
    </w:rPr>
  </w:style>
  <w:style w:type="table" w:styleId="11">
    <w:name w:val="Table Grid"/>
    <w:basedOn w:val="10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Placeholder Text"/>
    <w:basedOn w:val="12"/>
    <w:unhideWhenUsed/>
    <w:qFormat/>
    <w:uiPriority w:val="99"/>
    <w:rPr>
      <w:color w:val="808080"/>
    </w:rPr>
  </w:style>
  <w:style w:type="character" w:customStyle="1" w:styleId="16">
    <w:name w:val="richtext"/>
    <w:basedOn w:val="12"/>
    <w:qFormat/>
    <w:uiPriority w:val="0"/>
  </w:style>
  <w:style w:type="character" w:customStyle="1" w:styleId="17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8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9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20">
    <w:name w:val="页眉与页脚"/>
    <w:basedOn w:val="1"/>
    <w:qFormat/>
    <w:uiPriority w:val="0"/>
  </w:style>
  <w:style w:type="paragraph" w:customStyle="1" w:styleId="21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2">
    <w:name w:val="List Paragraph"/>
    <w:basedOn w:val="1"/>
    <w:qFormat/>
    <w:uiPriority w:val="99"/>
    <w:pPr>
      <w:ind w:firstLine="420"/>
    </w:pPr>
  </w:style>
  <w:style w:type="paragraph" w:customStyle="1" w:styleId="23">
    <w:name w:val="框架内容"/>
    <w:basedOn w:val="1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table" w:customStyle="1" w:styleId="2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6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1261</Words>
  <Characters>1442</Characters>
  <Paragraphs>47</Paragraphs>
  <TotalTime>0</TotalTime>
  <ScaleCrop>false</ScaleCrop>
  <LinksUpToDate>false</LinksUpToDate>
  <CharactersWithSpaces>1610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2022-05-15T15:52:00Z</dcterms:created>
  <dc:creator>User</dc:creator>
  <cp:lastModifiedBy>陈冠宇</cp:lastModifiedBy>
  <cp:lastPrinted>2022-05-10T18:20:00Z</cp:lastPrinted>
  <dcterms:modified xsi:type="dcterms:W3CDTF">2026-04-18T07:48:02Z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eyJoZGlkIjoiYWQ2NDk3YjNhOTYxM2U0MDYxOWRiMDE5ZWQ5ZWQzODkiLCJ1c2VySWQiOiI4NTk5OTEyMDAifQ==</vt:lpwstr>
  </property>
</Properties>
</file>